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topLinePunct w:val="0"/>
        <w:bidi w:val="0"/>
        <w:spacing w:before="156" w:beforeLines="50" w:line="560" w:lineRule="exact"/>
        <w:ind w:firstLine="560" w:firstLineChars="0"/>
        <w:jc w:val="left"/>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附件1</w:t>
      </w:r>
    </w:p>
    <w:p>
      <w:pPr>
        <w:pStyle w:val="2"/>
        <w:keepLines w:val="0"/>
        <w:pageBreakBefore w:val="0"/>
        <w:numPr>
          <w:ilvl w:val="0"/>
          <w:numId w:val="0"/>
        </w:numPr>
        <w:kinsoku/>
        <w:topLinePunct w:val="0"/>
        <w:bidi w:val="0"/>
        <w:spacing w:line="560" w:lineRule="exact"/>
        <w:ind w:leftChars="0"/>
        <w:jc w:val="center"/>
        <w:rPr>
          <w:rFonts w:hint="eastAsia" w:ascii="仿宋_GB2312" w:hAnsi="仿宋_GB2312" w:eastAsia="仿宋_GB2312" w:cs="仿宋_GB2312"/>
          <w:color w:val="auto"/>
          <w:kern w:val="44"/>
          <w:sz w:val="28"/>
          <w:szCs w:val="28"/>
          <w:highlight w:val="none"/>
        </w:rPr>
      </w:pPr>
      <w:r>
        <w:rPr>
          <w:rFonts w:hint="eastAsia" w:ascii="仿宋_GB2312" w:hAnsi="仿宋_GB2312" w:eastAsia="仿宋_GB2312" w:cs="仿宋_GB2312"/>
          <w:b/>
          <w:bCs/>
          <w:color w:val="auto"/>
          <w:kern w:val="2"/>
          <w:sz w:val="44"/>
          <w:szCs w:val="44"/>
          <w:highlight w:val="none"/>
          <w:lang w:val="en-US" w:eastAsia="zh-CN" w:bidi="ar-SA"/>
        </w:rPr>
        <w:t>采购项目需求</w:t>
      </w:r>
    </w:p>
    <w:p>
      <w:pPr>
        <w:keepLines w:val="0"/>
        <w:pageBreakBefore w:val="0"/>
        <w:kinsoku/>
        <w:topLinePunct w:val="0"/>
        <w:bidi w:val="0"/>
        <w:spacing w:line="560" w:lineRule="exact"/>
        <w:ind w:firstLine="562"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一、项目概况</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 xml:space="preserve">（一）预算金额: </w:t>
      </w:r>
      <w:r>
        <w:rPr>
          <w:rFonts w:hint="eastAsia" w:ascii="仿宋_GB2312" w:hAnsi="仿宋_GB2312" w:eastAsia="仿宋_GB2312" w:cs="仿宋_GB2312"/>
          <w:color w:val="auto"/>
          <w:sz w:val="28"/>
          <w:szCs w:val="28"/>
          <w:highlight w:val="none"/>
          <w:u w:val="single"/>
        </w:rPr>
        <w:t>人民币</w:t>
      </w:r>
      <w:r>
        <w:rPr>
          <w:rFonts w:hint="eastAsia" w:ascii="仿宋_GB2312" w:hAnsi="仿宋_GB2312" w:eastAsia="仿宋_GB2312" w:cs="仿宋_GB2312"/>
          <w:color w:val="auto"/>
          <w:sz w:val="28"/>
          <w:szCs w:val="28"/>
          <w:highlight w:val="none"/>
          <w:u w:val="single"/>
          <w:lang w:eastAsia="zh-CN"/>
        </w:rPr>
        <w:t>玖</w:t>
      </w:r>
      <w:r>
        <w:rPr>
          <w:rFonts w:hint="eastAsia" w:ascii="仿宋_GB2312" w:hAnsi="仿宋_GB2312" w:eastAsia="仿宋_GB2312" w:cs="仿宋_GB2312"/>
          <w:color w:val="auto"/>
          <w:sz w:val="28"/>
          <w:szCs w:val="28"/>
          <w:highlight w:val="none"/>
          <w:u w:val="single"/>
        </w:rPr>
        <w:t>拾</w:t>
      </w:r>
      <w:r>
        <w:rPr>
          <w:rFonts w:hint="eastAsia" w:ascii="仿宋_GB2312" w:hAnsi="仿宋_GB2312" w:eastAsia="仿宋_GB2312" w:cs="仿宋_GB2312"/>
          <w:color w:val="auto"/>
          <w:sz w:val="28"/>
          <w:szCs w:val="28"/>
          <w:highlight w:val="none"/>
          <w:u w:val="single"/>
          <w:lang w:eastAsia="zh-CN"/>
        </w:rPr>
        <w:t>叁</w:t>
      </w:r>
      <w:r>
        <w:rPr>
          <w:rFonts w:hint="eastAsia" w:ascii="仿宋_GB2312" w:hAnsi="仿宋_GB2312" w:eastAsia="仿宋_GB2312" w:cs="仿宋_GB2312"/>
          <w:color w:val="auto"/>
          <w:sz w:val="28"/>
          <w:szCs w:val="28"/>
          <w:highlight w:val="none"/>
          <w:u w:val="single"/>
        </w:rPr>
        <w:t>万</w:t>
      </w:r>
      <w:r>
        <w:rPr>
          <w:rFonts w:hint="eastAsia" w:ascii="仿宋_GB2312" w:hAnsi="仿宋_GB2312" w:eastAsia="仿宋_GB2312" w:cs="仿宋_GB2312"/>
          <w:color w:val="auto"/>
          <w:sz w:val="28"/>
          <w:szCs w:val="28"/>
          <w:highlight w:val="none"/>
          <w:u w:val="single"/>
          <w:lang w:eastAsia="zh-CN"/>
        </w:rPr>
        <w:t>陆仟</w:t>
      </w:r>
      <w:r>
        <w:rPr>
          <w:rFonts w:hint="eastAsia" w:ascii="仿宋_GB2312" w:hAnsi="仿宋_GB2312" w:eastAsia="仿宋_GB2312" w:cs="仿宋_GB2312"/>
          <w:color w:val="auto"/>
          <w:sz w:val="28"/>
          <w:szCs w:val="28"/>
          <w:highlight w:val="none"/>
          <w:u w:val="single"/>
        </w:rPr>
        <w:t>元整（</w:t>
      </w:r>
      <w:r>
        <w:rPr>
          <w:rFonts w:hint="eastAsia" w:ascii="仿宋_GB2312" w:hAnsi="仿宋_GB2312" w:eastAsia="仿宋_GB2312" w:cs="仿宋_GB2312"/>
          <w:color w:val="auto"/>
          <w:sz w:val="28"/>
          <w:szCs w:val="28"/>
          <w:highlight w:val="none"/>
          <w:u w:val="single"/>
          <w:lang w:val="en-US" w:eastAsia="zh-CN"/>
        </w:rPr>
        <w:t>936</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0</w:t>
      </w:r>
      <w:r>
        <w:rPr>
          <w:rFonts w:hint="eastAsia" w:ascii="仿宋_GB2312" w:hAnsi="仿宋_GB2312" w:eastAsia="仿宋_GB2312" w:cs="仿宋_GB2312"/>
          <w:color w:val="auto"/>
          <w:sz w:val="28"/>
          <w:szCs w:val="28"/>
          <w:highlight w:val="none"/>
          <w:u w:val="single"/>
        </w:rPr>
        <w:t>00.00）</w:t>
      </w:r>
      <w:r>
        <w:rPr>
          <w:rFonts w:hint="eastAsia" w:ascii="仿宋_GB2312" w:hAnsi="仿宋_GB2312" w:eastAsia="仿宋_GB2312" w:cs="仿宋_GB2312"/>
          <w:color w:val="auto"/>
          <w:sz w:val="28"/>
          <w:szCs w:val="28"/>
          <w:highlight w:val="none"/>
        </w:rPr>
        <w:t>，最高投标限价: 人民币</w:t>
      </w:r>
      <w:r>
        <w:rPr>
          <w:rFonts w:hint="eastAsia" w:ascii="仿宋_GB2312" w:hAnsi="仿宋_GB2312" w:eastAsia="仿宋_GB2312" w:cs="仿宋_GB2312"/>
          <w:color w:val="auto"/>
          <w:sz w:val="28"/>
          <w:szCs w:val="28"/>
          <w:highlight w:val="none"/>
          <w:u w:val="single"/>
          <w:lang w:eastAsia="zh-CN"/>
        </w:rPr>
        <w:t>玖拾叁万陆仟元整</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936</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000.00）</w:t>
      </w:r>
      <w:r>
        <w:rPr>
          <w:rFonts w:hint="eastAsia" w:ascii="仿宋_GB2312" w:hAnsi="仿宋_GB2312" w:eastAsia="仿宋_GB2312" w:cs="仿宋_GB2312"/>
          <w:color w:val="auto"/>
          <w:sz w:val="28"/>
          <w:szCs w:val="28"/>
          <w:highlight w:val="none"/>
          <w:lang w:eastAsia="zh-CN"/>
        </w:rPr>
        <w:t>。</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（二）项目概况: </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eastAsia="zh-CN"/>
        </w:rPr>
        <w:t>“招商街道</w:t>
      </w:r>
      <w:r>
        <w:rPr>
          <w:rFonts w:hint="eastAsia" w:ascii="仿宋_GB2312" w:hAnsi="仿宋_GB2312" w:eastAsia="仿宋_GB2312" w:cs="仿宋_GB2312"/>
          <w:color w:val="auto"/>
          <w:sz w:val="28"/>
          <w:szCs w:val="28"/>
          <w:highlight w:val="none"/>
          <w:lang w:val="en-US" w:eastAsia="zh-CN"/>
        </w:rPr>
        <w:t>2024年适老化改造服务</w:t>
      </w:r>
      <w:r>
        <w:rPr>
          <w:rFonts w:hint="eastAsia" w:ascii="仿宋_GB2312" w:hAnsi="仿宋_GB2312" w:eastAsia="仿宋_GB2312" w:cs="仿宋_GB2312"/>
          <w:color w:val="auto"/>
          <w:sz w:val="28"/>
          <w:szCs w:val="28"/>
          <w:highlight w:val="none"/>
          <w:lang w:eastAsia="zh-CN"/>
        </w:rPr>
        <w:t>项目”</w:t>
      </w:r>
      <w:r>
        <w:rPr>
          <w:rFonts w:hint="eastAsia" w:ascii="仿宋_GB2312" w:hAnsi="仿宋_GB2312" w:eastAsia="仿宋_GB2312" w:cs="仿宋_GB2312"/>
          <w:color w:val="auto"/>
          <w:sz w:val="28"/>
          <w:szCs w:val="28"/>
          <w:highlight w:val="none"/>
          <w:lang w:val="zh-CN" w:eastAsia="zh-CN"/>
        </w:rPr>
        <w:t>聚焦老年人居家生活照料、起居行走、康复护理等功能性需求，</w:t>
      </w:r>
      <w:bookmarkStart w:id="0" w:name="_Hlk131325682"/>
      <w:r>
        <w:rPr>
          <w:rFonts w:hint="eastAsia" w:ascii="仿宋_GB2312" w:hAnsi="仿宋_GB2312" w:eastAsia="仿宋_GB2312" w:cs="仿宋_GB2312"/>
          <w:color w:val="auto"/>
          <w:sz w:val="28"/>
          <w:szCs w:val="28"/>
          <w:highlight w:val="none"/>
          <w:lang w:val="zh-CN" w:eastAsia="zh-CN"/>
        </w:rPr>
        <w:t>围绕“室内行走便利、如厕洗澡安全、厨房操作方便、居家环境改善、智能安全监护、辅助器具适配”等方面</w:t>
      </w:r>
      <w:bookmarkEnd w:id="0"/>
      <w:r>
        <w:rPr>
          <w:rFonts w:hint="eastAsia" w:ascii="仿宋_GB2312" w:hAnsi="仿宋_GB2312" w:eastAsia="仿宋_GB2312" w:cs="仿宋_GB2312"/>
          <w:color w:val="auto"/>
          <w:sz w:val="28"/>
          <w:szCs w:val="28"/>
          <w:highlight w:val="none"/>
          <w:lang w:val="en-US" w:eastAsia="zh-CN"/>
        </w:rPr>
        <w:t>改善老年人的居家生活环境，对老年人缺失的生活能力进行补偿或代偿，缓解老年人因生理机能退化导致的生活不适应，提升居家生活品质。</w:t>
      </w:r>
    </w:p>
    <w:p>
      <w:pPr>
        <w:keepLines w:val="0"/>
        <w:pageBreakBefore w:val="0"/>
        <w:kinsoku/>
        <w:topLinePunct w:val="0"/>
        <w:bidi w:val="0"/>
        <w:spacing w:line="560" w:lineRule="exact"/>
        <w:ind w:firstLine="562" w:firstLineChars="200"/>
        <w:rPr>
          <w:rFonts w:hint="eastAsia" w:ascii="仿宋_GB2312" w:hAnsi="仿宋_GB2312" w:eastAsia="仿宋_GB2312" w:cs="仿宋_GB2312"/>
          <w:b/>
          <w:bCs/>
          <w:color w:val="auto"/>
          <w:sz w:val="28"/>
          <w:szCs w:val="28"/>
          <w:highlight w:val="none"/>
          <w:lang w:val="zh-CN" w:eastAsia="zh-CN"/>
        </w:rPr>
      </w:pPr>
      <w:r>
        <w:rPr>
          <w:rFonts w:hint="eastAsia" w:ascii="仿宋_GB2312" w:hAnsi="仿宋_GB2312" w:eastAsia="仿宋_GB2312" w:cs="仿宋_GB2312"/>
          <w:b/>
          <w:bCs/>
          <w:color w:val="auto"/>
          <w:sz w:val="28"/>
          <w:szCs w:val="28"/>
          <w:highlight w:val="none"/>
          <w:lang w:val="zh-CN" w:eastAsia="zh-CN"/>
        </w:rPr>
        <w:t>二、项目技术要求</w:t>
      </w:r>
    </w:p>
    <w:p>
      <w:pPr>
        <w:keepLines w:val="0"/>
        <w:pageBreakBefore w:val="0"/>
        <w:kinsoku/>
        <w:topLinePunct w:val="0"/>
        <w:bidi w:val="0"/>
        <w:spacing w:line="560" w:lineRule="exact"/>
        <w:ind w:firstLine="562"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b/>
          <w:bCs/>
          <w:color w:val="auto"/>
          <w:sz w:val="28"/>
          <w:szCs w:val="28"/>
          <w:highlight w:val="none"/>
          <w:lang w:val="zh-CN" w:eastAsia="zh-CN"/>
        </w:rPr>
        <w:t>（一）服务内容</w:t>
      </w:r>
      <w:r>
        <w:rPr>
          <w:rFonts w:hint="eastAsia" w:ascii="仿宋_GB2312" w:hAnsi="仿宋_GB2312" w:eastAsia="仿宋_GB2312" w:cs="仿宋_GB2312"/>
          <w:color w:val="auto"/>
          <w:sz w:val="28"/>
          <w:szCs w:val="28"/>
          <w:highlight w:val="none"/>
          <w:lang w:val="zh-CN" w:eastAsia="zh-CN"/>
        </w:rPr>
        <w:t>（见附件</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eastAsia="zh-CN"/>
        </w:rPr>
        <w:t>）</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围绕“室内行走便利、如厕洗澡安全、厨房操作方便、居家环境改善、智能安全监护、辅助器具适配”等方面</w:t>
      </w:r>
      <w:r>
        <w:rPr>
          <w:rFonts w:hint="eastAsia" w:ascii="仿宋_GB2312" w:hAnsi="仿宋_GB2312" w:eastAsia="仿宋_GB2312" w:cs="仿宋_GB2312"/>
          <w:color w:val="auto"/>
          <w:sz w:val="28"/>
          <w:szCs w:val="28"/>
          <w:highlight w:val="none"/>
          <w:lang w:val="en-US" w:eastAsia="zh-CN"/>
        </w:rPr>
        <w:t>改善老年人的居家生活环境，对老年人缺失的生活能力进行补偿或代偿，缓解老年人因生理机能退化导致的生活不适应，提升居家生活品质。</w:t>
      </w:r>
    </w:p>
    <w:p>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val="zh-CN" w:eastAsia="zh-CN"/>
        </w:rPr>
        <w:t>室内行走便利</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zh-CN" w:eastAsia="zh-CN" w:bidi="ar-SA"/>
        </w:rPr>
        <w:t>围绕室内通行道路优化地面高差，防滑防跌倒、墙体防撞保护等。</w:t>
      </w:r>
    </w:p>
    <w:p>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w:t>
      </w:r>
      <w:r>
        <w:rPr>
          <w:rFonts w:hint="eastAsia" w:ascii="仿宋_GB2312" w:hAnsi="仿宋_GB2312" w:eastAsia="仿宋_GB2312" w:cs="仿宋_GB2312"/>
          <w:b w:val="0"/>
          <w:bCs w:val="0"/>
          <w:color w:val="auto"/>
          <w:kern w:val="2"/>
          <w:sz w:val="28"/>
          <w:szCs w:val="28"/>
          <w:highlight w:val="none"/>
          <w:lang w:val="zh-CN" w:eastAsia="zh-CN" w:bidi="ar-SA"/>
        </w:rPr>
        <w:t>如厕洗澡安全</w:t>
      </w:r>
      <w:r>
        <w:rPr>
          <w:rFonts w:hint="eastAsia" w:ascii="仿宋_GB2312" w:hAnsi="仿宋_GB2312" w:eastAsia="仿宋_GB2312" w:cs="仿宋_GB2312"/>
          <w:b w:val="0"/>
          <w:bCs w:val="0"/>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lang w:val="zh-CN" w:eastAsia="zh-CN" w:bidi="ar-SA"/>
        </w:rPr>
        <w:t>针对卫生间区域浴缸浴房拆除，增加各类扶手、配置助浴如厕辅具等。</w:t>
      </w:r>
    </w:p>
    <w:p>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w:t>
      </w:r>
      <w:r>
        <w:rPr>
          <w:rFonts w:hint="eastAsia" w:ascii="仿宋_GB2312" w:hAnsi="仿宋_GB2312" w:eastAsia="仿宋_GB2312" w:cs="仿宋_GB2312"/>
          <w:b w:val="0"/>
          <w:bCs w:val="0"/>
          <w:color w:val="auto"/>
          <w:kern w:val="2"/>
          <w:sz w:val="28"/>
          <w:szCs w:val="28"/>
          <w:highlight w:val="none"/>
          <w:lang w:val="zh-CN" w:eastAsia="zh-CN" w:bidi="ar-SA"/>
        </w:rPr>
        <w:t>厨房操作方便</w:t>
      </w:r>
      <w:r>
        <w:rPr>
          <w:rFonts w:hint="eastAsia" w:ascii="仿宋_GB2312" w:hAnsi="仿宋_GB2312" w:eastAsia="仿宋_GB2312" w:cs="仿宋_GB2312"/>
          <w:b w:val="0"/>
          <w:bCs w:val="0"/>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lang w:val="zh-CN" w:eastAsia="zh-CN" w:bidi="ar-SA"/>
        </w:rPr>
        <w:t>集中调整橱柜台面高度、更换老旧龙头，增加台上收纳中部柜等。</w:t>
      </w:r>
    </w:p>
    <w:p>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4.</w:t>
      </w:r>
      <w:r>
        <w:rPr>
          <w:rFonts w:hint="eastAsia" w:ascii="仿宋_GB2312" w:hAnsi="仿宋_GB2312" w:eastAsia="仿宋_GB2312" w:cs="仿宋_GB2312"/>
          <w:b w:val="0"/>
          <w:bCs w:val="0"/>
          <w:color w:val="auto"/>
          <w:kern w:val="2"/>
          <w:sz w:val="28"/>
          <w:szCs w:val="28"/>
          <w:highlight w:val="none"/>
          <w:lang w:val="zh-CN" w:eastAsia="zh-CN" w:bidi="ar-SA"/>
        </w:rPr>
        <w:t>居家环境改善</w:t>
      </w:r>
      <w:r>
        <w:rPr>
          <w:rFonts w:hint="eastAsia" w:ascii="仿宋_GB2312" w:hAnsi="仿宋_GB2312" w:eastAsia="仿宋_GB2312" w:cs="仿宋_GB2312"/>
          <w:b w:val="0"/>
          <w:bCs w:val="0"/>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lang w:val="zh-CN" w:eastAsia="zh-CN" w:bidi="ar-SA"/>
        </w:rPr>
        <w:t>完善日常安全细节，更换老旧开关面板、增加床边保护护栏，增加夜间感应照明设备，提供老年专用安全家具等。</w:t>
      </w:r>
    </w:p>
    <w:p>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kern w:val="2"/>
          <w:sz w:val="28"/>
          <w:szCs w:val="28"/>
          <w:highlight w:val="none"/>
          <w:lang w:val="zh-CN" w:eastAsia="zh-CN" w:bidi="ar-SA"/>
        </w:rPr>
        <w:t>智能安全监护</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lang w:val="zh-CN" w:eastAsia="zh-CN" w:bidi="ar-SA"/>
        </w:rPr>
        <w:t>保障生活安全，增加厨房报警系统，求救系统、健康监测设备、防走失定位设备、智能康复设备等。</w:t>
      </w:r>
    </w:p>
    <w:p>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6.</w:t>
      </w:r>
      <w:r>
        <w:rPr>
          <w:rFonts w:hint="eastAsia" w:ascii="仿宋_GB2312" w:hAnsi="仿宋_GB2312" w:eastAsia="仿宋_GB2312" w:cs="仿宋_GB2312"/>
          <w:color w:val="auto"/>
          <w:kern w:val="2"/>
          <w:sz w:val="28"/>
          <w:szCs w:val="28"/>
          <w:highlight w:val="none"/>
          <w:lang w:val="zh-CN" w:eastAsia="zh-CN" w:bidi="ar-SA"/>
        </w:rPr>
        <w:t>辅助器具适配</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lang w:val="zh-CN" w:eastAsia="zh-CN" w:bidi="ar-SA"/>
        </w:rPr>
        <w:t>配置老人日常生活中缺少的辅具如手杖、轮椅、助行器、护理床，防褥疮垫、助食助听设备等。</w:t>
      </w:r>
    </w:p>
    <w:p>
      <w:pPr>
        <w:keepLines w:val="0"/>
        <w:pageBreakBefore w:val="0"/>
        <w:numPr>
          <w:ilvl w:val="0"/>
          <w:numId w:val="0"/>
        </w:numPr>
        <w:kinsoku/>
        <w:topLinePunct w:val="0"/>
        <w:bidi w:val="0"/>
        <w:spacing w:line="5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（二）服务数量</w:t>
      </w:r>
    </w:p>
    <w:p>
      <w:pPr>
        <w:pStyle w:val="5"/>
        <w:keepLines w:val="0"/>
        <w:pageBreakBefore w:val="0"/>
        <w:numPr>
          <w:ilvl w:val="0"/>
          <w:numId w:val="0"/>
        </w:numPr>
        <w:kinsoku/>
        <w:topLinePunct w:val="0"/>
        <w:bidi w:val="0"/>
        <w:spacing w:line="560" w:lineRule="exact"/>
        <w:ind w:leftChars="0" w:firstLine="560" w:firstLineChars="200"/>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完成78户（户籍）老人的适老化改造服务</w:t>
      </w:r>
    </w:p>
    <w:p>
      <w:pPr>
        <w:keepLines w:val="0"/>
        <w:pageBreakBefore w:val="0"/>
        <w:kinsoku/>
        <w:topLinePunct w:val="0"/>
        <w:bidi w:val="0"/>
        <w:spacing w:line="560" w:lineRule="exact"/>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eastAsia="zh-CN"/>
        </w:rPr>
        <w:t>三</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eastAsia="zh-CN"/>
        </w:rPr>
        <w:t>改造服务商</w:t>
      </w:r>
      <w:r>
        <w:rPr>
          <w:rFonts w:hint="eastAsia" w:ascii="仿宋_GB2312" w:hAnsi="仿宋_GB2312" w:eastAsia="仿宋_GB2312" w:cs="仿宋_GB2312"/>
          <w:b/>
          <w:color w:val="auto"/>
          <w:sz w:val="28"/>
          <w:szCs w:val="28"/>
          <w:highlight w:val="none"/>
        </w:rPr>
        <w:t>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zh-CN" w:eastAsia="zh-CN" w:bidi="ar-SA"/>
        </w:rPr>
        <w:t>改造服务商应将《建议清单》各项目施工项目、相关产品等（参考产品见附件</w:t>
      </w: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kern w:val="2"/>
          <w:sz w:val="28"/>
          <w:szCs w:val="28"/>
          <w:highlight w:val="none"/>
          <w:lang w:val="zh-CN" w:eastAsia="zh-CN" w:bidi="ar-SA"/>
        </w:rPr>
        <w:t>）上传至改造系统，充分展示施工改造项目和产品单价、规格、功能用途、使用年限、生产厂家等信息。产品选择应符合安全实用、价格合理、智慧便利等原则，每类产品应不少于3种规格或价位；也可根据客厅、卧室、卫生间、厨房等不同场景推出专项产品服务套餐，以满足老年人及其家庭多元需求。改造服务商可充分利用产品使用说明书、使用教学视频、硬件改造效果图、实景展示等形式，引导老年人及其家庭了解适老化改造，提升居家适老化改造的科学性、实用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改造服务商根据申请人需求评估结果，参考《建议清单》提出居家适老化改造方案，与申请人或其代理人就拟改造项目、改造工程量、配置产品等协商达成一致，通过改造系统进行产品服务点选，改造系统根据申请人所属类别、资助标准自动核算改造费用，并形成《深圳市老年人居家适老化改造方案》（见附件4），申请人、改造服务商双方签字确认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在改造方案审批确认后，改造服务商应在5个工作日内与申请人联系，确认实施适老化改造。改造服务商必须根据区民政部门审定的方案提供适老化改造服务。老年人居家适老化改造项目原则上应在60日内完成改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受房屋影响，实际施工与改造方案在改造项目设施长度、面积上有增减变化的，改造服务商须将实际情况录入改造系统生成新方案，由街道办事处予以审核确认，并报区民政部门备案。申请人自付金额有变化的，需在改造系统上签字确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5.实施改造过程期间，申请人因身体状况变化等原因提出超出原需求评估结果的改造需求的，各区应组织原评估团队就新需求进行重新评估，由此形成的改造方案需经街道办事处、区民政部门重新审定。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街道办事处组织原评估团队结合评估需求、改造方案进行实地验收。验收合格的，填写《深圳市老年人居家适老化改造审核验收表》（见附件5），报区民政部门确认。验收不合格的，责令改造项目服务机构限期整改，并再次组织验收。验收合格单需扫描上传至改造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7.在改造过程中，改造服务商要按照“一户一档”的原则建立项目档案（见附件6）并提交改造系统。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8.改造服务商应在改造系统中明确改造项目及设备产品的维护维修期限，就维护维修和安全使用与申请人达成协议，原则上应不少于1年。后续维护维修费用由申请人自行负担。</w:t>
      </w:r>
    </w:p>
    <w:p>
      <w:pPr>
        <w:keepLines w:val="0"/>
        <w:pageBreakBefore w:val="0"/>
        <w:numPr>
          <w:ilvl w:val="0"/>
          <w:numId w:val="0"/>
        </w:numPr>
        <w:kinsoku/>
        <w:topLinePunct w:val="0"/>
        <w:bidi w:val="0"/>
        <w:spacing w:line="560" w:lineRule="exact"/>
        <w:ind w:firstLine="562" w:firstLineChars="200"/>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kern w:val="2"/>
          <w:sz w:val="28"/>
          <w:szCs w:val="28"/>
          <w:lang w:val="en-US" w:eastAsia="zh-CN" w:bidi="ar-SA"/>
        </w:rPr>
        <w:t>（四）</w:t>
      </w:r>
      <w:r>
        <w:rPr>
          <w:rFonts w:hint="eastAsia" w:ascii="仿宋_GB2312" w:hAnsi="仿宋_GB2312" w:eastAsia="仿宋_GB2312" w:cs="仿宋_GB2312"/>
          <w:b/>
          <w:color w:val="auto"/>
          <w:sz w:val="28"/>
          <w:szCs w:val="28"/>
          <w:highlight w:val="none"/>
          <w:lang w:eastAsia="zh-CN"/>
        </w:rPr>
        <w:t>项目实施要求</w:t>
      </w:r>
    </w:p>
    <w:p>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rPr>
        <w:t>同意按照《深圳市老年人居家适老化改造实施办法》接受市、区民政部和街道办事处的监督管理;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kern w:val="2"/>
          <w:sz w:val="28"/>
          <w:szCs w:val="28"/>
          <w:highlight w:val="none"/>
          <w:lang w:val="zh-CN" w:eastAsia="zh-CN" w:bidi="ar-SA"/>
        </w:rPr>
        <w:t>改造项目涉及住宅室内装饰装修的，应遵守《住宅室内装饰装修管理办法》（建设部令第110号）有关要求；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kern w:val="2"/>
          <w:sz w:val="28"/>
          <w:szCs w:val="28"/>
          <w:highlight w:val="none"/>
          <w:lang w:val="zh-CN" w:eastAsia="zh-CN" w:bidi="ar-SA"/>
        </w:rPr>
        <w:t>改造项目须符合深圳市工程建设地方标准《无障碍设计标准》（SJG103-2021）；</w:t>
      </w:r>
    </w:p>
    <w:p>
      <w:pPr>
        <w:keepLines w:val="0"/>
        <w:pageBreakBefore w:val="0"/>
        <w:kinsoku/>
        <w:topLinePunct w:val="0"/>
        <w:bidi w:val="0"/>
        <w:adjustRightInd w:val="0"/>
        <w:snapToGrid w:val="0"/>
        <w:spacing w:line="560" w:lineRule="exact"/>
        <w:ind w:firstLine="560" w:firstLineChars="200"/>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lang w:val="en-US" w:eastAsia="zh-CN" w:bidi="ar-SA"/>
        </w:rPr>
        <w:t>4.</w:t>
      </w:r>
      <w:r>
        <w:rPr>
          <w:rFonts w:hint="eastAsia" w:ascii="仿宋_GB2312" w:hAnsi="仿宋_GB2312" w:eastAsia="仿宋_GB2312" w:cs="仿宋_GB2312"/>
          <w:color w:val="auto"/>
          <w:kern w:val="2"/>
          <w:sz w:val="28"/>
          <w:szCs w:val="28"/>
          <w:highlight w:val="none"/>
          <w:lang w:val="zh-CN" w:eastAsia="zh-CN" w:bidi="ar-SA"/>
        </w:rPr>
        <w:t>施工所需物资、产品、器材及配备的老年用品（货物）等须符合国家质量标准，应具有产品出厂检验合格证，必要时需提供第三方检验机构出具的相关产品检验证明；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kern w:val="2"/>
          <w:sz w:val="28"/>
          <w:szCs w:val="28"/>
          <w:highlight w:val="none"/>
          <w:lang w:val="zh-CN" w:eastAsia="zh-CN" w:bidi="ar-SA"/>
        </w:rPr>
        <w:t>智能化产品须符合物联网（IOT）相关技术标准和有关要求（见附件</w:t>
      </w:r>
      <w:r>
        <w:rPr>
          <w:rFonts w:hint="eastAsia" w:ascii="仿宋_GB2312" w:hAnsi="仿宋_GB2312" w:eastAsia="仿宋_GB2312" w:cs="仿宋_GB2312"/>
          <w:color w:val="auto"/>
          <w:kern w:val="2"/>
          <w:sz w:val="28"/>
          <w:szCs w:val="28"/>
          <w:highlight w:val="none"/>
          <w:lang w:val="en-US" w:eastAsia="zh-CN" w:bidi="ar-SA"/>
        </w:rPr>
        <w:t>7</w:t>
      </w:r>
      <w:r>
        <w:rPr>
          <w:rFonts w:hint="eastAsia" w:ascii="仿宋_GB2312" w:hAnsi="仿宋_GB2312" w:eastAsia="仿宋_GB2312" w:cs="仿宋_GB2312"/>
          <w:color w:val="auto"/>
          <w:kern w:val="2"/>
          <w:sz w:val="28"/>
          <w:szCs w:val="28"/>
          <w:highlight w:val="none"/>
          <w:lang w:val="zh-CN" w:eastAsia="zh-CN" w:bidi="ar-SA"/>
        </w:rPr>
        <w:t>），承诺按照相关信息系统接口标准和监管要求接入改造系统，自觉接受政府部门监督管理。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lang w:val="en-US" w:eastAsia="zh-CN" w:bidi="ar-SA"/>
        </w:rPr>
        <w:t>6.</w:t>
      </w:r>
      <w:r>
        <w:rPr>
          <w:rFonts w:hint="eastAsia" w:ascii="仿宋_GB2312" w:hAnsi="仿宋_GB2312" w:eastAsia="仿宋_GB2312" w:cs="仿宋_GB2312"/>
          <w:color w:val="auto"/>
          <w:kern w:val="2"/>
          <w:sz w:val="28"/>
          <w:szCs w:val="28"/>
          <w:highlight w:val="none"/>
          <w:lang w:val="zh-CN" w:eastAsia="zh-CN" w:bidi="ar-SA"/>
        </w:rPr>
        <w:t>改造服务商应对相关产品设备提供符合国家有关规定的维保期。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三、项目商务要求</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1.</w:t>
      </w:r>
      <w:r>
        <w:rPr>
          <w:rFonts w:hint="eastAsia" w:ascii="仿宋_GB2312" w:hAnsi="仿宋_GB2312" w:eastAsia="仿宋_GB2312" w:cs="仿宋_GB2312"/>
          <w:color w:val="auto"/>
          <w:sz w:val="28"/>
          <w:szCs w:val="28"/>
          <w:highlight w:val="none"/>
          <w:shd w:val="clear" w:color="auto" w:fill="auto"/>
        </w:rPr>
        <w:t>服务期限：</w:t>
      </w:r>
      <w:r>
        <w:rPr>
          <w:rFonts w:hint="eastAsia" w:ascii="仿宋_GB2312" w:hAnsi="仿宋_GB2312" w:eastAsia="仿宋_GB2312" w:cs="仿宋_GB2312"/>
          <w:color w:val="auto"/>
          <w:sz w:val="28"/>
          <w:szCs w:val="28"/>
          <w:highlight w:val="none"/>
          <w:shd w:val="clear" w:color="auto" w:fill="auto"/>
          <w:lang w:val="en-US" w:eastAsia="zh-CN"/>
        </w:rPr>
        <w:t>合同签订之日起至2025年02月01日。</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w:t>
      </w:r>
      <w:r>
        <w:rPr>
          <w:rFonts w:hint="eastAsia" w:ascii="仿宋_GB2312" w:hAnsi="仿宋_GB2312" w:eastAsia="仿宋_GB2312" w:cs="仿宋_GB2312"/>
          <w:color w:val="auto"/>
          <w:sz w:val="28"/>
          <w:szCs w:val="28"/>
          <w:highlight w:val="none"/>
          <w:shd w:val="clear" w:color="auto" w:fill="auto"/>
        </w:rPr>
        <w:t>付款方式：分</w:t>
      </w:r>
      <w:r>
        <w:rPr>
          <w:rFonts w:hint="eastAsia" w:ascii="仿宋_GB2312" w:hAnsi="仿宋_GB2312" w:eastAsia="仿宋_GB2312" w:cs="仿宋_GB2312"/>
          <w:color w:val="auto"/>
          <w:sz w:val="28"/>
          <w:szCs w:val="28"/>
          <w:highlight w:val="none"/>
          <w:shd w:val="clear" w:color="auto" w:fill="auto"/>
          <w:lang w:eastAsia="zh-CN"/>
        </w:rPr>
        <w:t>两次付款</w:t>
      </w:r>
      <w:r>
        <w:rPr>
          <w:rFonts w:hint="eastAsia" w:ascii="仿宋_GB2312" w:hAnsi="仿宋_GB2312" w:eastAsia="仿宋_GB2312" w:cs="仿宋_GB2312"/>
          <w:color w:val="auto"/>
          <w:sz w:val="28"/>
          <w:szCs w:val="28"/>
          <w:highlight w:val="none"/>
          <w:shd w:val="clear" w:color="auto" w:fill="auto"/>
        </w:rPr>
        <w:t>，签订合同后</w:t>
      </w:r>
      <w:r>
        <w:rPr>
          <w:rFonts w:hint="eastAsia" w:ascii="仿宋_GB2312" w:hAnsi="仿宋_GB2312" w:eastAsia="仿宋_GB2312" w:cs="仿宋_GB2312"/>
          <w:color w:val="auto"/>
          <w:sz w:val="28"/>
          <w:szCs w:val="28"/>
          <w:highlight w:val="none"/>
          <w:shd w:val="clear" w:color="auto" w:fill="auto"/>
          <w:lang w:val="en-US" w:eastAsia="zh-CN"/>
        </w:rPr>
        <w:t>30</w:t>
      </w:r>
      <w:r>
        <w:rPr>
          <w:rFonts w:hint="eastAsia" w:ascii="仿宋_GB2312" w:hAnsi="仿宋_GB2312" w:eastAsia="仿宋_GB2312" w:cs="仿宋_GB2312"/>
          <w:color w:val="auto"/>
          <w:sz w:val="28"/>
          <w:szCs w:val="28"/>
          <w:highlight w:val="none"/>
          <w:shd w:val="clear" w:color="auto" w:fill="auto"/>
        </w:rPr>
        <w:t>个工作日内支付首期款项，即合同价款的</w:t>
      </w:r>
      <w:r>
        <w:rPr>
          <w:rFonts w:hint="eastAsia" w:ascii="仿宋_GB2312" w:hAnsi="仿宋_GB2312" w:eastAsia="仿宋_GB2312" w:cs="仿宋_GB2312"/>
          <w:color w:val="auto"/>
          <w:sz w:val="28"/>
          <w:szCs w:val="28"/>
          <w:highlight w:val="none"/>
          <w:shd w:val="clear" w:color="auto" w:fill="auto"/>
          <w:lang w:val="en-US" w:eastAsia="zh-CN"/>
        </w:rPr>
        <w:t>70</w:t>
      </w:r>
      <w:r>
        <w:rPr>
          <w:rFonts w:hint="eastAsia" w:ascii="仿宋_GB2312" w:hAnsi="仿宋_GB2312" w:eastAsia="仿宋_GB2312" w:cs="仿宋_GB2312"/>
          <w:color w:val="auto"/>
          <w:sz w:val="28"/>
          <w:szCs w:val="28"/>
          <w:highlight w:val="none"/>
          <w:shd w:val="clear" w:color="auto" w:fill="auto"/>
        </w:rPr>
        <w:t>%；项目</w:t>
      </w:r>
      <w:r>
        <w:rPr>
          <w:rFonts w:hint="eastAsia" w:ascii="仿宋_GB2312" w:hAnsi="仿宋_GB2312" w:eastAsia="仿宋_GB2312" w:cs="仿宋_GB2312"/>
          <w:color w:val="auto"/>
          <w:sz w:val="28"/>
          <w:szCs w:val="28"/>
          <w:highlight w:val="none"/>
          <w:shd w:val="clear" w:color="auto" w:fill="auto"/>
          <w:lang w:eastAsia="zh-CN"/>
        </w:rPr>
        <w:t>实施完结，经甲方验收后，根据实际服务发生量，甲方向乙方支付剩余的费用</w:t>
      </w:r>
      <w:r>
        <w:rPr>
          <w:rFonts w:hint="eastAsia" w:ascii="仿宋_GB2312" w:hAnsi="仿宋_GB2312" w:eastAsia="仿宋_GB2312" w:cs="仿宋_GB2312"/>
          <w:color w:val="auto"/>
          <w:sz w:val="28"/>
          <w:szCs w:val="28"/>
          <w:highlight w:val="none"/>
          <w:shd w:val="clear" w:color="auto" w:fill="auto"/>
        </w:rPr>
        <w:t>。</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3.免费保修期：供应商在本项目适老化改造中投入使用的所有产品（耗材除外）免费保修期不少于1年，实际免费保修年限以中标供应商提供的承诺函中的免费保修期限年限为准，保修期自产品安装后通过验收之日起开始计算。</w:t>
      </w:r>
    </w:p>
    <w:p>
      <w:pPr>
        <w:keepLines w:val="0"/>
        <w:pageBreakBefore w:val="0"/>
        <w:kinsoku/>
        <w:topLinePunct w:val="0"/>
        <w:bidi w:val="0"/>
        <w:spacing w:line="560" w:lineRule="exact"/>
        <w:ind w:firstLine="562" w:firstLineChars="200"/>
        <w:rPr>
          <w:rFonts w:hint="default" w:ascii="仿宋_GB2312" w:hAnsi="仿宋_GB2312" w:eastAsia="仿宋_GB2312" w:cs="仿宋_GB2312"/>
          <w:b/>
          <w:bCs/>
          <w:color w:val="auto"/>
          <w:sz w:val="28"/>
          <w:szCs w:val="28"/>
          <w:highlight w:val="none"/>
          <w:shd w:val="clear" w:color="auto" w:fill="auto"/>
          <w:lang w:val="en-US" w:eastAsia="zh-CN"/>
        </w:rPr>
      </w:pPr>
      <w:r>
        <w:rPr>
          <w:rFonts w:hint="default" w:ascii="仿宋_GB2312" w:hAnsi="仿宋_GB2312" w:eastAsia="仿宋_GB2312" w:cs="仿宋_GB2312"/>
          <w:b/>
          <w:bCs/>
          <w:color w:val="auto"/>
          <w:sz w:val="28"/>
          <w:szCs w:val="28"/>
          <w:highlight w:val="none"/>
          <w:shd w:val="clear" w:color="auto" w:fill="auto"/>
          <w:lang w:val="en-US" w:eastAsia="zh-CN"/>
        </w:rPr>
        <w:t>注:在报价清单中有列明使用寿命要求的产品或配件，则在中标供应商的实际免费保修期年限或最短使用寿命期内(以时间长者为为准)，如因产品、配件质量问题导致不能使用的，中标供应商都应无条件负责免费更更换新产品、配件。供应商在投标报价时应对上述因素予以充分考虑。</w:t>
      </w:r>
    </w:p>
    <w:p>
      <w:pPr>
        <w:keepLines w:val="0"/>
        <w:pageBreakBefore w:val="0"/>
        <w:numPr>
          <w:ilvl w:val="0"/>
          <w:numId w:val="2"/>
        </w:numPr>
        <w:kinsoku/>
        <w:topLinePunct w:val="0"/>
        <w:bidi w:val="0"/>
        <w:spacing w:line="560" w:lineRule="exact"/>
        <w:ind w:firstLine="562" w:firstLineChars="200"/>
        <w:rPr>
          <w:rFonts w:hint="eastAsia" w:ascii="仿宋_GB2312" w:hAnsi="仿宋_GB2312" w:eastAsia="仿宋_GB2312" w:cs="仿宋_GB2312"/>
          <w:b/>
          <w:bCs/>
          <w:color w:val="auto"/>
          <w:kern w:val="44"/>
          <w:sz w:val="28"/>
          <w:szCs w:val="28"/>
          <w:highlight w:val="none"/>
        </w:rPr>
      </w:pPr>
      <w:r>
        <w:rPr>
          <w:rFonts w:hint="eastAsia" w:ascii="仿宋_GB2312" w:hAnsi="仿宋_GB2312" w:eastAsia="仿宋_GB2312" w:cs="仿宋_GB2312"/>
          <w:b/>
          <w:bCs/>
          <w:color w:val="auto"/>
          <w:kern w:val="44"/>
          <w:sz w:val="28"/>
          <w:szCs w:val="28"/>
          <w:highlight w:val="none"/>
        </w:rPr>
        <w:t>投标报价</w:t>
      </w:r>
      <w:bookmarkStart w:id="1" w:name="_GoBack"/>
      <w:bookmarkEnd w:id="1"/>
    </w:p>
    <w:tbl>
      <w:tblPr>
        <w:tblStyle w:val="8"/>
        <w:tblW w:w="81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430"/>
        <w:gridCol w:w="1046"/>
        <w:gridCol w:w="1616"/>
        <w:gridCol w:w="428"/>
        <w:gridCol w:w="819"/>
        <w:gridCol w:w="842"/>
        <w:gridCol w:w="842"/>
        <w:gridCol w:w="842"/>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10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cs="宋体"/>
                <w:b/>
                <w:bCs/>
                <w:i w:val="0"/>
                <w:iCs w:val="0"/>
                <w:color w:val="000000"/>
                <w:sz w:val="24"/>
                <w:szCs w:val="24"/>
                <w:u w:val="none"/>
                <w:lang w:eastAsia="zh-CN"/>
              </w:rPr>
              <w:t>单项服务费用上限表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改造类别</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项目改造名称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单项服务费用上限（元）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单项服务报价1（元）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单项服务报价2（元）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单项服务报价3（元）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单项服务平均报价（元）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室内行走便利</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防滑处理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防滑地垫</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防滑地胶</w:t>
            </w: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简" w:hAnsi="宋体-简" w:eastAsia="宋体-简" w:cs="宋体-简"/>
                <w:i w:val="0"/>
                <w:iCs w:val="0"/>
                <w:color w:val="000000"/>
                <w:sz w:val="20"/>
                <w:szCs w:val="20"/>
                <w:u w:val="none"/>
              </w:rPr>
            </w:pPr>
            <w:r>
              <w:rPr>
                <w:rFonts w:hint="default" w:ascii="宋体-简" w:hAnsi="宋体-简" w:eastAsia="宋体-简" w:cs="宋体-简"/>
                <w:i w:val="0"/>
                <w:iCs w:val="0"/>
                <w:color w:val="000000"/>
                <w:kern w:val="0"/>
                <w:sz w:val="20"/>
                <w:szCs w:val="20"/>
                <w:u w:val="none"/>
                <w:lang w:val="en-US" w:eastAsia="zh-CN" w:bidi="ar"/>
              </w:rPr>
              <w:t>地面高差处理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水泥坡道</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简" w:hAnsi="宋体-简" w:eastAsia="宋体-简" w:cs="宋体-简"/>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橡胶坡道</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简" w:hAnsi="宋体-简" w:eastAsia="宋体-简" w:cs="宋体-简"/>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可移动坡道</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平整硬化</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门槛移除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门槛移除</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房门拓宽</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房门拓宽</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平开门改推拉门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平开门改推拉门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下压式门把手改造</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下压式门把手</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安装防撞护角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防撞条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防撞角</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安装提示标识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如厕洗澡安全</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蹲便器改坐便器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坐便器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蹲便器改坐便器（改造费用）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坐便椅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坐便椅</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马桶增高器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马桶增高器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加装扶手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一字扶手</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w:t>
            </w:r>
            <w:r>
              <w:rPr>
                <w:rFonts w:hint="eastAsia" w:ascii="宋体" w:hAnsi="宋体" w:eastAsia="宋体" w:cs="宋体"/>
                <w:i w:val="0"/>
                <w:iCs w:val="0"/>
                <w:color w:val="000000"/>
                <w:kern w:val="0"/>
                <w:sz w:val="20"/>
                <w:szCs w:val="20"/>
                <w:u w:val="none"/>
                <w:lang w:val="en-US" w:eastAsia="zh-CN" w:bidi="ar"/>
              </w:rPr>
              <w:t>型扶手</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w:t>
            </w:r>
            <w:r>
              <w:rPr>
                <w:rFonts w:hint="eastAsia" w:ascii="宋体" w:hAnsi="宋体" w:eastAsia="宋体" w:cs="宋体"/>
                <w:i w:val="0"/>
                <w:iCs w:val="0"/>
                <w:color w:val="000000"/>
                <w:kern w:val="0"/>
                <w:sz w:val="20"/>
                <w:szCs w:val="20"/>
                <w:u w:val="none"/>
                <w:lang w:val="en-US" w:eastAsia="zh-CN" w:bidi="ar"/>
              </w:rPr>
              <w:t>型上翻落地扶手</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r>
              <w:rPr>
                <w:rFonts w:hint="eastAsia" w:ascii="宋体" w:hAnsi="宋体" w:eastAsia="宋体" w:cs="宋体"/>
                <w:i w:val="0"/>
                <w:iCs w:val="0"/>
                <w:color w:val="000000"/>
                <w:kern w:val="0"/>
                <w:sz w:val="20"/>
                <w:szCs w:val="20"/>
                <w:u w:val="none"/>
                <w:lang w:val="en-US" w:eastAsia="zh-CN" w:bidi="ar"/>
              </w:rPr>
              <w:t>扶手</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高差处扶手</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w:t>
            </w:r>
            <w:r>
              <w:rPr>
                <w:rFonts w:hint="eastAsia" w:ascii="宋体" w:hAnsi="宋体" w:eastAsia="宋体" w:cs="宋体"/>
                <w:i w:val="0"/>
                <w:iCs w:val="0"/>
                <w:color w:val="000000"/>
                <w:kern w:val="0"/>
                <w:sz w:val="20"/>
                <w:szCs w:val="20"/>
                <w:u w:val="none"/>
                <w:lang w:val="en-US" w:eastAsia="zh-CN" w:bidi="ar"/>
              </w:rPr>
              <w:t>型扶手</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马桶助力扶手架</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洗澡椅（浴凳）</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助浴凳/洗澡椅</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浴缸</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淋浴房改造</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拆除浴缸</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基本用水用电改造</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基本用水用电改造</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厨房操作方便</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台面改造</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台面升降下方留出空间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加设中部柜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开敞式中部柜</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水龙头改造</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适老化水龙头</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居家环境改善</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电源插座及开关改造</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插座、开关</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床边扶手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床边扶手</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适老家具配置</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适老桌</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适老椅</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换鞋凳</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简" w:hAnsi="宋体-简" w:eastAsia="宋体-简" w:cs="宋体-简"/>
                <w:i w:val="0"/>
                <w:iCs w:val="0"/>
                <w:color w:val="000000"/>
                <w:sz w:val="20"/>
                <w:szCs w:val="20"/>
                <w:u w:val="none"/>
              </w:rPr>
            </w:pPr>
            <w:r>
              <w:rPr>
                <w:rFonts w:hint="default" w:ascii="宋体-简" w:hAnsi="宋体-简" w:eastAsia="宋体-简" w:cs="宋体-简"/>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电动升降晾衣架</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更换或新增灯具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照明灯具</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安装感应夜灯（地灯）</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感应小夜灯</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安装闪光震动门铃</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简" w:hAnsi="宋体-简" w:eastAsia="宋体-简" w:cs="宋体-简"/>
                <w:i w:val="0"/>
                <w:iCs w:val="0"/>
                <w:color w:val="000000"/>
                <w:sz w:val="20"/>
                <w:szCs w:val="20"/>
                <w:u w:val="none"/>
              </w:rPr>
            </w:pPr>
            <w:r>
              <w:rPr>
                <w:rFonts w:hint="default" w:ascii="宋体-简" w:hAnsi="宋体-简" w:eastAsia="宋体-简" w:cs="宋体-简"/>
                <w:i w:val="0"/>
                <w:iCs w:val="0"/>
                <w:color w:val="000000"/>
                <w:kern w:val="0"/>
                <w:sz w:val="20"/>
                <w:szCs w:val="20"/>
                <w:u w:val="none"/>
                <w:lang w:val="en-US" w:eastAsia="zh-CN" w:bidi="ar"/>
              </w:rPr>
              <w:t>闪光震动门铃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智能安全监护</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防走失设备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防丢失定位器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数据集成网关</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数据集成网关</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一键呼叫装置</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一键呼叫装置</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人体感应探测器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人体感应探测器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门磁感应器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门磁感应器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煤气泄漏报警器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煤气泄漏报警器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溢水报警器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溢水报警器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烟雾报警器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烟雾报警器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健康监测设备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便携式或穿戴式设备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智慧屏</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智能门锁</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智能门锁</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智能康复设备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认知训练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上肢训练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下肢训练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感管训练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辅助器具适配</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手杖</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单脚拐杖</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三脚或四脚手杖</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凳拐</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轮椅</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助行器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助行器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接尿器或便盆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接尿器或便盆</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护理床</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护理床</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防压疮垫</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防压疮垫</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放大设备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放大镜指甲剪</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助听器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助听器</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自助进食器具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防洒碗</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助食筷</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弯柄勺</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弯柄叉</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90140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注:(1)供应商以上表《单项服务费用上限表》作为本项目的上限价格，针对以上每种产品提供三种不同价位的产品报价，并在投标文件中提供详细的产品说明。</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中标供应商根据申请人需求评估结果，参考技术要求“老年人居家适老化改造相关产品参考目录”提供详细的产品及用料说明。提出居家适老化改造方案，支付金额以实际发生数量结算。具体结算方式为:结算价=实际发生量*单次服务费用。</w:t>
      </w:r>
    </w:p>
    <w:p>
      <w:pPr>
        <w:keepLines w:val="0"/>
        <w:pageBreakBefore w:val="0"/>
        <w:kinsoku/>
        <w:topLinePunct w:val="0"/>
        <w:bidi w:val="0"/>
        <w:spacing w:line="5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(3)本项目投标报价金额为所有服务内容的全部“单项服务平均报价(元)”的合计金额。单项服务平均报价=(单项服务报价1+单项服务报价2+单项服务报价3)/3</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(4)供应商的“单项服务报价(元)”(包括报价1、2、3)金额不得超过对应服务内容的“单项服务费用上限(元)”金额。</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(5)“单项服务报价(元)”(包括报价1、2、3)为投标人自行填写，作为单次服务实际收费的金额。结算金额=实际发生量*单次服务实际收费金额。</w:t>
      </w:r>
    </w:p>
    <w:p>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五、投标文件组成：</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投标人的营业执照、资质证书（加盖公章）；</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投标人的公司简介、开户许可证（加盖公章）；</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投标人提供</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服务方案（格式自定）</w:t>
      </w:r>
      <w:r>
        <w:rPr>
          <w:rFonts w:hint="eastAsia" w:ascii="仿宋_GB2312" w:hAnsi="仿宋_GB2312" w:eastAsia="仿宋_GB2312" w:cs="仿宋_GB2312"/>
          <w:color w:val="auto"/>
          <w:sz w:val="28"/>
          <w:szCs w:val="28"/>
          <w:highlight w:val="none"/>
          <w:lang w:eastAsia="zh-CN"/>
        </w:rPr>
        <w:t>；</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4.投标人提供的投标报价一览表（需写明税率，格式自拟，加盖公章）；</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.投标人是否存在被列入经营异常名录情况、受到行政处罚的情况（需提供承诺函，格式自拟，加盖公章）；</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投标人</w:t>
      </w:r>
      <w:r>
        <w:rPr>
          <w:rFonts w:hint="eastAsia" w:ascii="仿宋_GB2312" w:hAnsi="仿宋_GB2312" w:eastAsia="仿宋_GB2312" w:cs="仿宋_GB2312"/>
          <w:color w:val="auto"/>
          <w:sz w:val="28"/>
          <w:szCs w:val="28"/>
          <w:highlight w:val="none"/>
          <w:lang w:eastAsia="zh-CN"/>
        </w:rPr>
        <w:t>的优势及特色（格式自定）；</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拟安排项目负责人（仅限1人）（格式自定）</w:t>
      </w:r>
      <w:r>
        <w:rPr>
          <w:rFonts w:hint="eastAsia" w:ascii="仿宋_GB2312" w:hAnsi="仿宋_GB2312" w:eastAsia="仿宋_GB2312" w:cs="仿宋_GB2312"/>
          <w:color w:val="auto"/>
          <w:sz w:val="28"/>
          <w:szCs w:val="28"/>
          <w:highlight w:val="none"/>
          <w:lang w:eastAsia="zh-CN"/>
        </w:rPr>
        <w:t>；</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服务便利性（格式自定）</w:t>
      </w:r>
      <w:r>
        <w:rPr>
          <w:rFonts w:hint="eastAsia" w:ascii="仿宋_GB2312" w:hAnsi="仿宋_GB2312" w:eastAsia="仿宋_GB2312" w:cs="仿宋_GB2312"/>
          <w:color w:val="auto"/>
          <w:sz w:val="28"/>
          <w:szCs w:val="28"/>
          <w:highlight w:val="none"/>
          <w:lang w:eastAsia="zh-CN"/>
        </w:rPr>
        <w:t>；</w:t>
      </w:r>
    </w:p>
    <w:p>
      <w:pPr>
        <w:keepLines w:val="0"/>
        <w:pageBreakBefore w:val="0"/>
        <w:kinsoku/>
        <w:topLinePunct w:val="0"/>
        <w:bidi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其它采购文件要求的内容及供应商认为需要补充的内容（格式自定）</w:t>
      </w:r>
      <w:r>
        <w:rPr>
          <w:rFonts w:hint="eastAsia" w:ascii="仿宋_GB2312" w:hAnsi="仿宋_GB2312" w:eastAsia="仿宋_GB2312" w:cs="仿宋_GB2312"/>
          <w:color w:val="auto"/>
          <w:sz w:val="28"/>
          <w:szCs w:val="28"/>
          <w:highlight w:val="none"/>
          <w:lang w:eastAsia="zh-CN"/>
        </w:rPr>
        <w:t>。</w:t>
      </w:r>
    </w:p>
    <w:p>
      <w:pPr>
        <w:pStyle w:val="5"/>
        <w:keepLines w:val="0"/>
        <w:pageBreakBefore w:val="0"/>
        <w:kinsoku/>
        <w:topLinePunct w:val="0"/>
        <w:bidi w:val="0"/>
        <w:spacing w:line="560" w:lineRule="exact"/>
        <w:rPr>
          <w:rFonts w:hint="eastAsia"/>
          <w:color w:val="auto"/>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Segoe Print"/>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宋体-简">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heme="minorAscii" w:hAnsiTheme="minorAscii" w:eastAsiaTheme="minorEastAsia" w:cstheme="minorBidi"/>
                              <w:szCs w:val="18"/>
                            </w:rPr>
                          </w:pPr>
                          <w:r>
                            <w:rPr>
                              <w:rFonts w:hint="default" w:asciiTheme="minorAscii" w:hAnsiTheme="minorAscii" w:eastAsiaTheme="minorEastAsia" w:cstheme="minorBidi"/>
                              <w:szCs w:val="18"/>
                            </w:rPr>
                            <w:t xml:space="preserve">第 </w:t>
                          </w:r>
                          <w:r>
                            <w:rPr>
                              <w:rFonts w:hint="default" w:asciiTheme="minorAscii" w:hAnsiTheme="minorAscii" w:eastAsiaTheme="minorEastAsia" w:cstheme="minorBidi"/>
                              <w:szCs w:val="18"/>
                            </w:rPr>
                            <w:fldChar w:fldCharType="begin"/>
                          </w:r>
                          <w:r>
                            <w:rPr>
                              <w:rFonts w:hint="default" w:asciiTheme="minorAscii" w:hAnsiTheme="minorAscii" w:eastAsiaTheme="minorEastAsia" w:cstheme="minorBidi"/>
                              <w:szCs w:val="18"/>
                            </w:rPr>
                            <w:instrText xml:space="preserve"> PAGE  \* MERGEFORMAT </w:instrText>
                          </w:r>
                          <w:r>
                            <w:rPr>
                              <w:rFonts w:hint="default" w:asciiTheme="minorAscii" w:hAnsiTheme="minorAscii" w:eastAsiaTheme="minorEastAsia" w:cstheme="minorBidi"/>
                              <w:szCs w:val="18"/>
                            </w:rPr>
                            <w:fldChar w:fldCharType="separate"/>
                          </w:r>
                          <w:r>
                            <w:rPr>
                              <w:rFonts w:hint="default" w:asciiTheme="minorAscii" w:hAnsiTheme="minorAscii" w:eastAsiaTheme="minorEastAsia" w:cstheme="minorBidi"/>
                              <w:szCs w:val="18"/>
                            </w:rPr>
                            <w:t>1</w:t>
                          </w:r>
                          <w:r>
                            <w:rPr>
                              <w:rFonts w:hint="default" w:asciiTheme="minorAscii" w:hAnsiTheme="minorAscii" w:eastAsiaTheme="minorEastAsia" w:cstheme="minorBidi"/>
                              <w:szCs w:val="18"/>
                            </w:rPr>
                            <w:fldChar w:fldCharType="end"/>
                          </w:r>
                          <w:r>
                            <w:rPr>
                              <w:rFonts w:hint="default" w:asciiTheme="minorAscii" w:hAnsiTheme="minorAscii" w:eastAsiaTheme="minorEastAsia" w:cstheme="minorBidi"/>
                              <w:szCs w:val="18"/>
                            </w:rPr>
                            <w:t xml:space="preserve"> 页 共 </w:t>
                          </w:r>
                          <w:r>
                            <w:rPr>
                              <w:rFonts w:hint="default" w:asciiTheme="minorAscii" w:hAnsiTheme="minorAscii" w:eastAsiaTheme="minorEastAsia" w:cstheme="minorBidi"/>
                              <w:szCs w:val="18"/>
                            </w:rPr>
                            <w:fldChar w:fldCharType="begin"/>
                          </w:r>
                          <w:r>
                            <w:rPr>
                              <w:rFonts w:hint="default" w:asciiTheme="minorAscii" w:hAnsiTheme="minorAscii" w:eastAsiaTheme="minorEastAsia" w:cstheme="minorBidi"/>
                              <w:szCs w:val="18"/>
                            </w:rPr>
                            <w:instrText xml:space="preserve"> NUMPAGES  \* MERGEFORMAT </w:instrText>
                          </w:r>
                          <w:r>
                            <w:rPr>
                              <w:rFonts w:hint="default" w:asciiTheme="minorAscii" w:hAnsiTheme="minorAscii" w:eastAsiaTheme="minorEastAsia" w:cstheme="minorBidi"/>
                              <w:szCs w:val="18"/>
                            </w:rPr>
                            <w:fldChar w:fldCharType="separate"/>
                          </w:r>
                          <w:r>
                            <w:rPr>
                              <w:rFonts w:hint="default" w:asciiTheme="minorAscii" w:hAnsiTheme="minorAscii" w:eastAsiaTheme="minorEastAsia" w:cstheme="minorBidi"/>
                              <w:szCs w:val="18"/>
                            </w:rPr>
                            <w:t>10</w:t>
                          </w:r>
                          <w:r>
                            <w:rPr>
                              <w:rFonts w:hint="default" w:asciiTheme="minorAscii" w:hAnsiTheme="minorAscii" w:eastAsiaTheme="minorEastAsia" w:cstheme="minorBidi"/>
                              <w:szCs w:val="18"/>
                            </w:rPr>
                            <w:fldChar w:fldCharType="end"/>
                          </w:r>
                          <w:r>
                            <w:rPr>
                              <w:rFonts w:hint="default" w:asciiTheme="minorAscii" w:hAnsiTheme="minorAscii" w:eastAsiaTheme="minorEastAsia" w:cstheme="minorBidi"/>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heme="minorAscii" w:hAnsiTheme="minorAscii" w:eastAsiaTheme="minorEastAsia" w:cstheme="minorBidi"/>
                        <w:szCs w:val="18"/>
                      </w:rPr>
                    </w:pPr>
                    <w:r>
                      <w:rPr>
                        <w:rFonts w:hint="default" w:asciiTheme="minorAscii" w:hAnsiTheme="minorAscii" w:eastAsiaTheme="minorEastAsia" w:cstheme="minorBidi"/>
                        <w:szCs w:val="18"/>
                      </w:rPr>
                      <w:t xml:space="preserve">第 </w:t>
                    </w:r>
                    <w:r>
                      <w:rPr>
                        <w:rFonts w:hint="default" w:asciiTheme="minorAscii" w:hAnsiTheme="minorAscii" w:eastAsiaTheme="minorEastAsia" w:cstheme="minorBidi"/>
                        <w:szCs w:val="18"/>
                      </w:rPr>
                      <w:fldChar w:fldCharType="begin"/>
                    </w:r>
                    <w:r>
                      <w:rPr>
                        <w:rFonts w:hint="default" w:asciiTheme="minorAscii" w:hAnsiTheme="minorAscii" w:eastAsiaTheme="minorEastAsia" w:cstheme="minorBidi"/>
                        <w:szCs w:val="18"/>
                      </w:rPr>
                      <w:instrText xml:space="preserve"> PAGE  \* MERGEFORMAT </w:instrText>
                    </w:r>
                    <w:r>
                      <w:rPr>
                        <w:rFonts w:hint="default" w:asciiTheme="minorAscii" w:hAnsiTheme="minorAscii" w:eastAsiaTheme="minorEastAsia" w:cstheme="minorBidi"/>
                        <w:szCs w:val="18"/>
                      </w:rPr>
                      <w:fldChar w:fldCharType="separate"/>
                    </w:r>
                    <w:r>
                      <w:rPr>
                        <w:rFonts w:hint="default" w:asciiTheme="minorAscii" w:hAnsiTheme="minorAscii" w:eastAsiaTheme="minorEastAsia" w:cstheme="minorBidi"/>
                        <w:szCs w:val="18"/>
                      </w:rPr>
                      <w:t>1</w:t>
                    </w:r>
                    <w:r>
                      <w:rPr>
                        <w:rFonts w:hint="default" w:asciiTheme="minorAscii" w:hAnsiTheme="minorAscii" w:eastAsiaTheme="minorEastAsia" w:cstheme="minorBidi"/>
                        <w:szCs w:val="18"/>
                      </w:rPr>
                      <w:fldChar w:fldCharType="end"/>
                    </w:r>
                    <w:r>
                      <w:rPr>
                        <w:rFonts w:hint="default" w:asciiTheme="minorAscii" w:hAnsiTheme="minorAscii" w:eastAsiaTheme="minorEastAsia" w:cstheme="minorBidi"/>
                        <w:szCs w:val="18"/>
                      </w:rPr>
                      <w:t xml:space="preserve"> 页 共 </w:t>
                    </w:r>
                    <w:r>
                      <w:rPr>
                        <w:rFonts w:hint="default" w:asciiTheme="minorAscii" w:hAnsiTheme="minorAscii" w:eastAsiaTheme="minorEastAsia" w:cstheme="minorBidi"/>
                        <w:szCs w:val="18"/>
                      </w:rPr>
                      <w:fldChar w:fldCharType="begin"/>
                    </w:r>
                    <w:r>
                      <w:rPr>
                        <w:rFonts w:hint="default" w:asciiTheme="minorAscii" w:hAnsiTheme="minorAscii" w:eastAsiaTheme="minorEastAsia" w:cstheme="minorBidi"/>
                        <w:szCs w:val="18"/>
                      </w:rPr>
                      <w:instrText xml:space="preserve"> NUMPAGES  \* MERGEFORMAT </w:instrText>
                    </w:r>
                    <w:r>
                      <w:rPr>
                        <w:rFonts w:hint="default" w:asciiTheme="minorAscii" w:hAnsiTheme="minorAscii" w:eastAsiaTheme="minorEastAsia" w:cstheme="minorBidi"/>
                        <w:szCs w:val="18"/>
                      </w:rPr>
                      <w:fldChar w:fldCharType="separate"/>
                    </w:r>
                    <w:r>
                      <w:rPr>
                        <w:rFonts w:hint="default" w:asciiTheme="minorAscii" w:hAnsiTheme="minorAscii" w:eastAsiaTheme="minorEastAsia" w:cstheme="minorBidi"/>
                        <w:szCs w:val="18"/>
                      </w:rPr>
                      <w:t>10</w:t>
                    </w:r>
                    <w:r>
                      <w:rPr>
                        <w:rFonts w:hint="default" w:asciiTheme="minorAscii" w:hAnsiTheme="minorAscii" w:eastAsiaTheme="minorEastAsia" w:cstheme="minorBidi"/>
                        <w:szCs w:val="18"/>
                      </w:rPr>
                      <w:fldChar w:fldCharType="end"/>
                    </w:r>
                    <w:r>
                      <w:rPr>
                        <w:rFonts w:hint="default" w:asciiTheme="minorAscii" w:hAnsiTheme="minorAscii" w:eastAsiaTheme="minorEastAsia" w:cstheme="minorBidi"/>
                        <w:szCs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0473E"/>
    <w:multiLevelType w:val="multilevel"/>
    <w:tmpl w:val="28F0473E"/>
    <w:lvl w:ilvl="0" w:tentative="0">
      <w:start w:val="1"/>
      <w:numFmt w:val="bullet"/>
      <w:pStyle w:val="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3F63A81"/>
    <w:multiLevelType w:val="singleLevel"/>
    <w:tmpl w:val="73F63A8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k0ZDA3Y2JhMDZmMDNmODliN2NlMzlhYzcwZjIifQ=="/>
  </w:docVars>
  <w:rsids>
    <w:rsidRoot w:val="59EE5355"/>
    <w:rsid w:val="0023096A"/>
    <w:rsid w:val="003D4663"/>
    <w:rsid w:val="00BF400E"/>
    <w:rsid w:val="01F53D45"/>
    <w:rsid w:val="03CD45E9"/>
    <w:rsid w:val="04FB2D39"/>
    <w:rsid w:val="074109F4"/>
    <w:rsid w:val="0778192E"/>
    <w:rsid w:val="096506FA"/>
    <w:rsid w:val="0AD876A7"/>
    <w:rsid w:val="0AED6E0D"/>
    <w:rsid w:val="0B303A12"/>
    <w:rsid w:val="0BC56F5F"/>
    <w:rsid w:val="0CB02BBB"/>
    <w:rsid w:val="0CED4443"/>
    <w:rsid w:val="0EBD33B9"/>
    <w:rsid w:val="0F7E197B"/>
    <w:rsid w:val="10416A25"/>
    <w:rsid w:val="10BD0E1F"/>
    <w:rsid w:val="10BD6382"/>
    <w:rsid w:val="11765283"/>
    <w:rsid w:val="118D6A5B"/>
    <w:rsid w:val="128C30FA"/>
    <w:rsid w:val="12BE4BCE"/>
    <w:rsid w:val="12E9551F"/>
    <w:rsid w:val="130C6ECC"/>
    <w:rsid w:val="13467408"/>
    <w:rsid w:val="14B95E39"/>
    <w:rsid w:val="151350A2"/>
    <w:rsid w:val="154F239B"/>
    <w:rsid w:val="15B77F45"/>
    <w:rsid w:val="16FC29C4"/>
    <w:rsid w:val="17260828"/>
    <w:rsid w:val="176667F0"/>
    <w:rsid w:val="17C61531"/>
    <w:rsid w:val="19505683"/>
    <w:rsid w:val="1A637E8D"/>
    <w:rsid w:val="1B14057B"/>
    <w:rsid w:val="1B7E43A7"/>
    <w:rsid w:val="1D551DAF"/>
    <w:rsid w:val="1E3452E1"/>
    <w:rsid w:val="1F193080"/>
    <w:rsid w:val="20216FA3"/>
    <w:rsid w:val="20B42736"/>
    <w:rsid w:val="227A681E"/>
    <w:rsid w:val="22B75931"/>
    <w:rsid w:val="23792EBE"/>
    <w:rsid w:val="243A0D7D"/>
    <w:rsid w:val="25D52D1D"/>
    <w:rsid w:val="2758126A"/>
    <w:rsid w:val="27F15CE8"/>
    <w:rsid w:val="283662AC"/>
    <w:rsid w:val="298D467F"/>
    <w:rsid w:val="299305D7"/>
    <w:rsid w:val="29B26093"/>
    <w:rsid w:val="29F3225E"/>
    <w:rsid w:val="2BB850B0"/>
    <w:rsid w:val="2C195BCB"/>
    <w:rsid w:val="2D494E01"/>
    <w:rsid w:val="30C12E8B"/>
    <w:rsid w:val="32D912FC"/>
    <w:rsid w:val="3426571B"/>
    <w:rsid w:val="363D1C35"/>
    <w:rsid w:val="365A7C39"/>
    <w:rsid w:val="375436D4"/>
    <w:rsid w:val="375F1DB0"/>
    <w:rsid w:val="37691FF5"/>
    <w:rsid w:val="38E54D64"/>
    <w:rsid w:val="3A591490"/>
    <w:rsid w:val="3C251ABE"/>
    <w:rsid w:val="3C2F0FC9"/>
    <w:rsid w:val="3E025A4C"/>
    <w:rsid w:val="3E9A63E8"/>
    <w:rsid w:val="3F1B741F"/>
    <w:rsid w:val="3F7E761C"/>
    <w:rsid w:val="3FD73381"/>
    <w:rsid w:val="41555117"/>
    <w:rsid w:val="41793A79"/>
    <w:rsid w:val="4218267E"/>
    <w:rsid w:val="44457410"/>
    <w:rsid w:val="47F70C5F"/>
    <w:rsid w:val="495C70E7"/>
    <w:rsid w:val="4BB308C1"/>
    <w:rsid w:val="4C597275"/>
    <w:rsid w:val="4C8D6646"/>
    <w:rsid w:val="4E202BB9"/>
    <w:rsid w:val="4E7B2E19"/>
    <w:rsid w:val="4EA17C8F"/>
    <w:rsid w:val="4F9B1161"/>
    <w:rsid w:val="519258BB"/>
    <w:rsid w:val="519A1675"/>
    <w:rsid w:val="5251711B"/>
    <w:rsid w:val="527C37E2"/>
    <w:rsid w:val="53297640"/>
    <w:rsid w:val="53C43E62"/>
    <w:rsid w:val="54633683"/>
    <w:rsid w:val="5495185C"/>
    <w:rsid w:val="55A40523"/>
    <w:rsid w:val="5811760C"/>
    <w:rsid w:val="59EE5355"/>
    <w:rsid w:val="5A0C4E48"/>
    <w:rsid w:val="5CCA0FB2"/>
    <w:rsid w:val="5FC65148"/>
    <w:rsid w:val="601531AE"/>
    <w:rsid w:val="6059428D"/>
    <w:rsid w:val="619C7C5C"/>
    <w:rsid w:val="62055EDD"/>
    <w:rsid w:val="62B21879"/>
    <w:rsid w:val="62CB5A6E"/>
    <w:rsid w:val="643A49DF"/>
    <w:rsid w:val="647235D2"/>
    <w:rsid w:val="656216C0"/>
    <w:rsid w:val="674B6075"/>
    <w:rsid w:val="67BE165E"/>
    <w:rsid w:val="686D2352"/>
    <w:rsid w:val="6AF1381A"/>
    <w:rsid w:val="6B7574BD"/>
    <w:rsid w:val="6BA33333"/>
    <w:rsid w:val="6DA96FAF"/>
    <w:rsid w:val="6E6A23B4"/>
    <w:rsid w:val="6ED77165"/>
    <w:rsid w:val="717A1797"/>
    <w:rsid w:val="756103A4"/>
    <w:rsid w:val="76504DFF"/>
    <w:rsid w:val="76D336FD"/>
    <w:rsid w:val="772F3C2D"/>
    <w:rsid w:val="7747252F"/>
    <w:rsid w:val="775F23E8"/>
    <w:rsid w:val="78222126"/>
    <w:rsid w:val="78977B66"/>
    <w:rsid w:val="7BF00B62"/>
    <w:rsid w:val="7C904A46"/>
    <w:rsid w:val="7CE8273A"/>
    <w:rsid w:val="7D69294D"/>
    <w:rsid w:val="7F190115"/>
    <w:rsid w:val="7F346AEE"/>
    <w:rsid w:val="7FA77AA0"/>
    <w:rsid w:val="EEFE3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3"/>
    <w:next w:val="4"/>
    <w:autoRedefine/>
    <w:qFormat/>
    <w:uiPriority w:val="0"/>
    <w:pPr>
      <w:tabs>
        <w:tab w:val="left" w:pos="2210"/>
      </w:tabs>
      <w:adjustRightInd w:val="0"/>
      <w:jc w:val="center"/>
      <w:textAlignment w:val="baseline"/>
      <w:outlineLvl w:val="1"/>
    </w:pPr>
    <w:rPr>
      <w:kern w:val="0"/>
      <w:sz w:val="24"/>
      <w:szCs w:val="20"/>
    </w:rPr>
  </w:style>
  <w:style w:type="paragraph" w:styleId="3">
    <w:name w:val="heading 3"/>
    <w:basedOn w:val="4"/>
    <w:next w:val="1"/>
    <w:autoRedefine/>
    <w:qFormat/>
    <w:uiPriority w:val="0"/>
    <w:pPr>
      <w:tabs>
        <w:tab w:val="left" w:pos="2210"/>
      </w:tabs>
      <w:spacing w:before="260" w:after="260" w:line="240" w:lineRule="auto"/>
      <w:outlineLvl w:val="2"/>
    </w:pPr>
    <w:rPr>
      <w:rFonts w:ascii="宋体" w:hAnsi="宋体" w:eastAsia="宋体"/>
      <w:szCs w:val="32"/>
    </w:rPr>
  </w:style>
  <w:style w:type="paragraph" w:styleId="4">
    <w:name w:val="heading 4"/>
    <w:basedOn w:val="1"/>
    <w:next w:val="1"/>
    <w:autoRedefine/>
    <w:qFormat/>
    <w:uiPriority w:val="0"/>
    <w:pPr>
      <w:keepNext/>
      <w:numPr>
        <w:ilvl w:val="0"/>
        <w:numId w:val="1"/>
      </w:numPr>
      <w:tabs>
        <w:tab w:val="left" w:pos="2210"/>
      </w:tabs>
      <w:wordWrap w:val="0"/>
      <w:overflowPunct w:val="0"/>
      <w:autoSpaceDE w:val="0"/>
      <w:autoSpaceDN w:val="0"/>
      <w:adjustRightInd w:val="0"/>
      <w:spacing w:line="360" w:lineRule="auto"/>
      <w:jc w:val="left"/>
      <w:outlineLvl w:val="3"/>
    </w:pPr>
    <w:rPr>
      <w:rFonts w:ascii="宋体" w:hAnsi="MS Sans Serif"/>
      <w:b/>
      <w:kern w:val="0"/>
      <w:sz w:val="2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12" w:lineRule="atLeast"/>
      <w:ind w:firstLine="420"/>
      <w:textAlignment w:val="baseline"/>
    </w:pPr>
    <w:rPr>
      <w:kern w:val="0"/>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51"/>
    <w:basedOn w:val="9"/>
    <w:autoRedefine/>
    <w:qFormat/>
    <w:uiPriority w:val="0"/>
    <w:rPr>
      <w:rFonts w:hint="eastAsia" w:ascii="宋体" w:hAnsi="宋体" w:eastAsia="宋体" w:cs="宋体"/>
      <w:color w:val="000000"/>
      <w:sz w:val="20"/>
      <w:szCs w:val="20"/>
      <w:u w:val="none"/>
    </w:rPr>
  </w:style>
  <w:style w:type="character" w:customStyle="1" w:styleId="11">
    <w:name w:val="font61"/>
    <w:basedOn w:val="9"/>
    <w:autoRedefine/>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3930</Words>
  <Characters>4193</Characters>
  <Lines>0</Lines>
  <Paragraphs>0</Paragraphs>
  <TotalTime>82</TotalTime>
  <ScaleCrop>false</ScaleCrop>
  <LinksUpToDate>false</LinksUpToDate>
  <CharactersWithSpaces>4200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2023-03-08T14:13:00Z</dcterms:created>
  <dc:creator>Administrator</dc:creator>
  <cp:lastModifiedBy>婷</cp:lastModifiedBy>
  <cp:lastPrinted>2024-04-30T02:48:00Z</cp:lastPrinted>
  <dcterms:modified xsi:type="dcterms:W3CDTF">2024-04-30T06:25:56Z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75717DCC44054943BD260B0ADBFC96ED_13</vt:lpwstr>
  </property>
</Properties>
</file>