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 w:eastAsia="zh-CN" w:bidi="ar-SA"/>
        </w:rPr>
      </w:pPr>
      <w:r>
        <w:rPr>
          <w:rFonts w:hint="eastAsia" w:ascii="方正小标宋_GBK" w:hAnsi="方正小标宋_GBK" w:eastAsia="方正小标宋_GBK" w:cs="方正小标宋_GBK"/>
          <w:b w:val="0"/>
          <w:bCs w:val="0"/>
          <w:kern w:val="2"/>
          <w:sz w:val="44"/>
          <w:szCs w:val="44"/>
          <w:lang w:val="en" w:eastAsia="zh-CN" w:bidi="ar-SA"/>
        </w:rPr>
        <w:t>深圳市南山区粤海街道办事处协助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 w:eastAsia="zh-CN" w:bidi="ar-SA"/>
        </w:rPr>
      </w:pPr>
      <w:r>
        <w:rPr>
          <w:rFonts w:hint="eastAsia" w:ascii="方正小标宋_GBK" w:hAnsi="方正小标宋_GBK" w:eastAsia="方正小标宋_GBK" w:cs="方正小标宋_GBK"/>
          <w:b w:val="0"/>
          <w:bCs w:val="0"/>
          <w:kern w:val="2"/>
          <w:sz w:val="44"/>
          <w:szCs w:val="44"/>
          <w:lang w:val="en" w:eastAsia="zh-CN" w:bidi="ar-SA"/>
        </w:rPr>
        <w:t>民生诉求服务项目招标文件</w:t>
      </w:r>
    </w:p>
    <w:p>
      <w:pPr>
        <w:spacing w:line="560" w:lineRule="exact"/>
        <w:rPr>
          <w:rFonts w:hint="eastAsia"/>
          <w:lang w:val="en" w:eastAsia="zh-CN"/>
        </w:rPr>
      </w:pPr>
    </w:p>
    <w:p>
      <w:pPr>
        <w:keepNext w:val="0"/>
        <w:keepLines w:val="0"/>
        <w:pageBreakBefore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黑体" w:hAnsi="黑体" w:eastAsia="黑体" w:cs="宋体"/>
          <w:b w:val="0"/>
          <w:bCs/>
          <w:kern w:val="2"/>
          <w:sz w:val="32"/>
          <w:szCs w:val="32"/>
          <w:lang w:val="en-US" w:eastAsia="zh-CN" w:bidi="ar-SA"/>
        </w:rPr>
        <w:t>项目概况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深圳市南山区粤海街道位于南山区中部、东起沙河西路，西接南海大道，南到东滨路，北到北环大道。辖区总面积14.24平方公里，实际管理人口约31万人，共划分为282个网格。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2025年街道共接收民生诉求工单51445件，其中办理完成45843件，办理量占全区街道办理工单总量（169982件）的26.97%，位居全区第一，且工作量呈逐年上升趋势。根据广东省人民政府办公厅《广东省深化12345热线平台“即接即办”改革大力提升为民服务水平工作方案》文件精神，为进一步提升街道民生诉求办理质效，有效应对持续增长的工作负荷，持续优化服务，深化民生诉求综合服务改革，全面提升基层治理的社会化、科学化、精细化水平，粤海街道拟向社会公开招标，委托第三方服务机构街道协助民生诉求服务项目有序开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项目名称：深圳市南山区粤海街道办事处协助民生诉求服务项目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项目预算：</w:t>
      </w:r>
      <w:r>
        <w:rPr>
          <w:rFonts w:hint="eastAsia" w:ascii="仿宋_GB2312" w:hAnsi="Times New Roman" w:eastAsia="仿宋_GB2312" w:cs="Times New Roman"/>
          <w:color w:val="auto"/>
          <w:kern w:val="2"/>
          <w:sz w:val="32"/>
          <w:szCs w:val="32"/>
          <w:lang w:val="en-US" w:eastAsia="zh-CN" w:bidi="ar-SA"/>
        </w:rPr>
        <w:t>52万元</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210" w:leftChars="0" w:right="0" w:rightChars="0" w:firstLine="42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宋体"/>
          <w:b w:val="0"/>
          <w:bCs/>
          <w:kern w:val="2"/>
          <w:sz w:val="32"/>
          <w:szCs w:val="32"/>
          <w:lang w:val="en-US" w:eastAsia="zh-CN" w:bidi="ar-SA"/>
        </w:rPr>
        <w:t>服务内容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（一）服务内容要求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kern w:val="2"/>
          <w:sz w:val="32"/>
          <w:szCs w:val="32"/>
          <w:highlight w:val="none"/>
          <w:lang w:bidi="ar-SA"/>
        </w:rPr>
      </w:pPr>
      <w:r>
        <w:rPr>
          <w:rFonts w:hint="eastAsia" w:ascii="仿宋_GB2312" w:hAnsi="Times New Roman" w:eastAsia="仿宋_GB2312" w:cs="Times New Roman"/>
          <w:color w:val="auto"/>
          <w:spacing w:val="0"/>
          <w:kern w:val="2"/>
          <w:sz w:val="32"/>
          <w:szCs w:val="32"/>
          <w:highlight w:val="none"/>
          <w:lang w:bidi="ar-SA"/>
        </w:rPr>
        <w:t>由中标单位安排运营团队从事</w:t>
      </w:r>
      <w:r>
        <w:rPr>
          <w:rFonts w:hint="eastAsia" w:ascii="仿宋_GB2312" w:hAnsi="Times New Roman" w:eastAsia="仿宋_GB2312" w:cs="Times New Roman"/>
          <w:color w:val="auto"/>
          <w:spacing w:val="0"/>
          <w:kern w:val="2"/>
          <w:sz w:val="32"/>
          <w:szCs w:val="32"/>
          <w:highlight w:val="none"/>
          <w:lang w:eastAsia="zh-CN" w:bidi="ar-SA"/>
        </w:rPr>
        <w:t>协助民生诉求服务工作（</w:t>
      </w:r>
      <w:r>
        <w:rPr>
          <w:rFonts w:hint="eastAsia" w:ascii="仿宋_GB2312" w:hAnsi="Times New Roman" w:eastAsia="仿宋_GB2312" w:cs="Times New Roman"/>
          <w:color w:val="auto"/>
          <w:spacing w:val="0"/>
          <w:kern w:val="2"/>
          <w:sz w:val="32"/>
          <w:szCs w:val="32"/>
          <w:highlight w:val="none"/>
          <w:lang w:bidi="ar-SA"/>
        </w:rPr>
        <w:t>具体人数由甲乙双方书面确定的为准</w:t>
      </w:r>
      <w:r>
        <w:rPr>
          <w:rFonts w:hint="eastAsia" w:ascii="仿宋_GB2312" w:hAnsi="Times New Roman" w:eastAsia="仿宋_GB2312" w:cs="Times New Roman"/>
          <w:color w:val="auto"/>
          <w:spacing w:val="0"/>
          <w:kern w:val="2"/>
          <w:sz w:val="32"/>
          <w:szCs w:val="32"/>
          <w:highlight w:val="none"/>
          <w:lang w:val="en-US" w:eastAsia="zh-CN" w:bidi="ar-SA"/>
        </w:rPr>
        <w:t>）</w:t>
      </w:r>
      <w:r>
        <w:rPr>
          <w:rFonts w:hint="eastAsia" w:ascii="仿宋_GB2312" w:hAnsi="Times New Roman" w:eastAsia="仿宋_GB2312" w:cs="Times New Roman"/>
          <w:color w:val="auto"/>
          <w:spacing w:val="0"/>
          <w:kern w:val="2"/>
          <w:sz w:val="32"/>
          <w:szCs w:val="32"/>
          <w:highlight w:val="none"/>
          <w:lang w:bidi="ar-SA"/>
        </w:rPr>
        <w:t>，按照采购单位制定的工作标准，在采购单位划定的区域内负责辖区民生诉求工单的分拨、退回、跟进、办结等协助性工作</w:t>
      </w:r>
      <w:r>
        <w:rPr>
          <w:rFonts w:hint="eastAsia" w:ascii="仿宋_GB2312" w:hAnsi="Times New Roman" w:eastAsia="仿宋_GB2312" w:cs="Times New Roman"/>
          <w:color w:val="auto"/>
          <w:kern w:val="2"/>
          <w:sz w:val="32"/>
          <w:szCs w:val="32"/>
          <w:highlight w:val="none"/>
          <w:lang w:bidi="ar-SA"/>
        </w:rPr>
        <w:t>。</w:t>
      </w:r>
      <w:r>
        <w:rPr>
          <w:rFonts w:hint="eastAsia" w:ascii="仿宋_GB2312" w:hAnsi="Times New Roman" w:eastAsia="仿宋_GB2312" w:cs="Times New Roman"/>
          <w:color w:val="auto"/>
          <w:kern w:val="2"/>
          <w:sz w:val="32"/>
          <w:szCs w:val="32"/>
          <w:lang w:eastAsia="zh-CN" w:bidi="ar-SA"/>
        </w:rPr>
        <w:t>具体服务内容：</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1.协助工单分拨与退回：协助工单的即时接收、初步研判。在收到工单后半个工作日内，依据职责分工完成工单初步研判与精准分派，对不属于街道职能的工单，在一个工作日内及时退回上级平台。</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i w:val="0"/>
          <w:iCs w:val="0"/>
          <w:snapToGrid/>
          <w:color w:val="auto"/>
          <w:kern w:val="2"/>
          <w:sz w:val="32"/>
          <w:szCs w:val="32"/>
          <w:u w:val="none"/>
          <w:lang w:val="en-US" w:eastAsia="zh-CN" w:bidi="ar-SA"/>
        </w:rPr>
      </w:pPr>
      <w:r>
        <w:rPr>
          <w:rFonts w:hint="eastAsia" w:ascii="仿宋_GB2312" w:hAnsi="Times New Roman" w:eastAsia="仿宋_GB2312" w:cs="Times New Roman"/>
          <w:color w:val="auto"/>
          <w:kern w:val="2"/>
          <w:sz w:val="32"/>
          <w:szCs w:val="32"/>
          <w:lang w:val="en-US" w:eastAsia="zh-CN" w:bidi="ar-SA"/>
        </w:rPr>
        <w:t>2.协助工单协调与催办：</w:t>
      </w:r>
      <w:r>
        <w:rPr>
          <w:rFonts w:hint="eastAsia" w:ascii="仿宋_GB2312" w:hAnsi="Times New Roman" w:eastAsia="仿宋_GB2312" w:cs="Times New Roman"/>
          <w:i w:val="0"/>
          <w:iCs w:val="0"/>
          <w:snapToGrid/>
          <w:color w:val="auto"/>
          <w:kern w:val="2"/>
          <w:sz w:val="32"/>
          <w:szCs w:val="32"/>
          <w:u w:val="none"/>
          <w:lang w:val="en-US" w:eastAsia="zh-CN" w:bidi="ar-SA"/>
        </w:rPr>
        <w:t>协助工单办理过程中的跨部门协调、临近时限工单的催办提醒。在工单办理期限届满前两个工作日，通过短信等方式对承办单位进行催办。如办理单位需要延期的，则按照相关规定进行延期操作，保障按时办结率。</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i w:val="0"/>
          <w:iCs w:val="0"/>
          <w:snapToGrid/>
          <w:color w:val="auto"/>
          <w:kern w:val="2"/>
          <w:sz w:val="32"/>
          <w:szCs w:val="32"/>
          <w:u w:val="none"/>
          <w:lang w:val="en-US" w:eastAsia="zh-CN" w:bidi="ar-SA"/>
        </w:rPr>
      </w:pPr>
      <w:r>
        <w:rPr>
          <w:rFonts w:hint="eastAsia" w:ascii="仿宋_GB2312" w:hAnsi="Times New Roman" w:eastAsia="仿宋_GB2312" w:cs="Times New Roman"/>
          <w:i w:val="0"/>
          <w:iCs w:val="0"/>
          <w:snapToGrid/>
          <w:color w:val="auto"/>
          <w:kern w:val="2"/>
          <w:sz w:val="32"/>
          <w:szCs w:val="32"/>
          <w:u w:val="none"/>
          <w:lang w:val="en-US" w:eastAsia="zh-CN" w:bidi="ar-SA"/>
        </w:rPr>
        <w:t>3.协助工单审核与办结：协助对承办单位反馈的回复内容进行合规性审核。对存在“虚假办结”、“答非所问”等不符合办结要求的工单实行退回重办。</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i w:val="0"/>
          <w:iCs w:val="0"/>
          <w:snapToGrid/>
          <w:color w:val="auto"/>
          <w:kern w:val="2"/>
          <w:sz w:val="32"/>
          <w:szCs w:val="32"/>
          <w:u w:val="none"/>
          <w:lang w:val="en-US" w:eastAsia="zh-CN" w:bidi="ar-SA"/>
        </w:rPr>
      </w:pPr>
      <w:r>
        <w:rPr>
          <w:rFonts w:hint="eastAsia" w:ascii="仿宋_GB2312" w:hAnsi="Times New Roman" w:eastAsia="仿宋_GB2312" w:cs="Times New Roman"/>
          <w:i w:val="0"/>
          <w:iCs w:val="0"/>
          <w:snapToGrid/>
          <w:color w:val="auto"/>
          <w:kern w:val="2"/>
          <w:sz w:val="32"/>
          <w:szCs w:val="32"/>
          <w:u w:val="none"/>
          <w:lang w:val="en-US" w:eastAsia="zh-CN" w:bidi="ar-SA"/>
        </w:rPr>
        <w:t>4.协助工单差评处置：协助对市民评价为不满意的工单进行处理。在收到差评工单后半个工作日内重新分拨至承办单位，并启动差评处置流程，协助承办单位对差评工单准备申诉材料，及时完成差评处置。</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i w:val="0"/>
          <w:iCs w:val="0"/>
          <w:snapToGrid/>
          <w:color w:val="auto"/>
          <w:kern w:val="2"/>
          <w:sz w:val="32"/>
          <w:szCs w:val="32"/>
          <w:u w:val="none"/>
          <w:lang w:val="en-US" w:eastAsia="zh-CN" w:bidi="ar-SA"/>
        </w:rPr>
      </w:pPr>
      <w:r>
        <w:rPr>
          <w:rFonts w:hint="eastAsia" w:ascii="仿宋_GB2312" w:hAnsi="Times New Roman" w:eastAsia="仿宋_GB2312" w:cs="Times New Roman"/>
          <w:i w:val="0"/>
          <w:iCs w:val="0"/>
          <w:snapToGrid/>
          <w:color w:val="auto"/>
          <w:kern w:val="2"/>
          <w:sz w:val="32"/>
          <w:szCs w:val="32"/>
          <w:u w:val="none"/>
          <w:lang w:val="en-US" w:eastAsia="zh-CN" w:bidi="ar-SA"/>
        </w:rPr>
        <w:t>5.协助工单回访：协助对市民已办结工单进行电话回访。核实办理结果真实性，记录市民真实反馈。</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i w:val="0"/>
          <w:iCs w:val="0"/>
          <w:snapToGrid/>
          <w:color w:val="auto"/>
          <w:kern w:val="2"/>
          <w:sz w:val="32"/>
          <w:szCs w:val="32"/>
          <w:u w:val="none"/>
          <w:lang w:val="en-US" w:eastAsia="zh-CN" w:bidi="ar-SA"/>
        </w:rPr>
      </w:pPr>
      <w:r>
        <w:rPr>
          <w:rFonts w:hint="eastAsia" w:ascii="仿宋_GB2312" w:hAnsi="Times New Roman" w:eastAsia="仿宋_GB2312" w:cs="Times New Roman"/>
          <w:i w:val="0"/>
          <w:iCs w:val="0"/>
          <w:snapToGrid/>
          <w:color w:val="auto"/>
          <w:kern w:val="2"/>
          <w:sz w:val="32"/>
          <w:szCs w:val="32"/>
          <w:u w:val="none"/>
          <w:lang w:val="en-US" w:eastAsia="zh-CN" w:bidi="ar-SA"/>
        </w:rPr>
        <w:t>6.协助数据分析与档案管理：协助工单数据的汇总统计。在每个工作日结束前形成上一个工作日的民生诉求日报；定期形成分析报表；并对办结工单资料进行整理归档。</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_GB2312" w:hAnsi="Times New Roman" w:eastAsia="仿宋_GB2312" w:cs="Times New Roman"/>
          <w:i w:val="0"/>
          <w:iCs w:val="0"/>
          <w:snapToGrid/>
          <w:color w:val="auto"/>
          <w:kern w:val="2"/>
          <w:sz w:val="32"/>
          <w:szCs w:val="32"/>
          <w:u w:val="none"/>
          <w:lang w:val="en-US" w:eastAsia="zh-CN" w:bidi="ar-SA"/>
        </w:rPr>
      </w:pPr>
      <w:r>
        <w:rPr>
          <w:rFonts w:hint="eastAsia" w:ascii="仿宋_GB2312" w:hAnsi="Times New Roman" w:eastAsia="仿宋_GB2312" w:cs="Times New Roman"/>
          <w:i w:val="0"/>
          <w:iCs w:val="0"/>
          <w:snapToGrid/>
          <w:color w:val="auto"/>
          <w:kern w:val="2"/>
          <w:sz w:val="32"/>
          <w:szCs w:val="32"/>
          <w:u w:val="none"/>
          <w:lang w:val="en-US" w:eastAsia="zh-CN" w:bidi="ar-SA"/>
        </w:rPr>
        <w:t>7.协助项目应急保障：协助应急处突。其它民生诉求相关的突发紧急任务（如集中爆发式投诉、重大活动保障）产生的加班协调、临时增援等保障性支出。</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（二）服务团队要求</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1.中标单位应根据项目要求组建服务团队，服务团队驻点街道开展服务工作，服务团队应具备以下基本条件：</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（1）总数量：根据甲方实际工作需要，配备不少于4人完成相关工作。</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（2）派驻人员条件：</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a.遵守我国法律、法规，具有良好的政治素质和职业道德；</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b.本科学历及以上。</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（3）中标单位必须做好人员储备，驻点人员因产假、病休假、离职、调岗等原因需离开工作岗位5个工作日以上的，中标单位应当在五个工作日内完成人员的补充。</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Times New Roman" w:eastAsia="仿宋_GB2312" w:cs="Times New Roman"/>
          <w:color w:val="auto"/>
          <w:spacing w:val="0"/>
          <w:kern w:val="2"/>
          <w:sz w:val="32"/>
          <w:szCs w:val="32"/>
          <w:lang w:val="en-US" w:eastAsia="zh-CN" w:bidi="ar-SA"/>
        </w:rPr>
      </w:pPr>
      <w:r>
        <w:rPr>
          <w:rFonts w:hint="eastAsia" w:ascii="仿宋_GB2312" w:hAnsi="Times New Roman" w:eastAsia="仿宋_GB2312" w:cs="Times New Roman"/>
          <w:color w:val="auto"/>
          <w:spacing w:val="0"/>
          <w:kern w:val="2"/>
          <w:sz w:val="32"/>
          <w:szCs w:val="32"/>
          <w:lang w:val="en-US" w:eastAsia="zh-CN" w:bidi="ar-SA"/>
        </w:rPr>
        <w:t>（4）组织架构科学、合理，保证管理落实到位，岗位具有明确的分工和职责要求。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（三）项目培训要求</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spacing w:val="0"/>
          <w:kern w:val="2"/>
          <w:sz w:val="32"/>
          <w:szCs w:val="32"/>
          <w:highlight w:val="none"/>
          <w:lang w:bidi="ar-SA"/>
        </w:rPr>
      </w:pPr>
      <w:r>
        <w:rPr>
          <w:rFonts w:hint="eastAsia" w:ascii="仿宋_GB2312" w:hAnsi="Times New Roman" w:eastAsia="仿宋_GB2312" w:cs="Times New Roman"/>
          <w:color w:val="auto"/>
          <w:spacing w:val="0"/>
          <w:kern w:val="2"/>
          <w:sz w:val="32"/>
          <w:szCs w:val="32"/>
          <w:lang w:eastAsia="zh-CN" w:bidi="ar-SA"/>
        </w:rPr>
        <w:t>拟派驻</w:t>
      </w:r>
      <w:r>
        <w:rPr>
          <w:rFonts w:hint="eastAsia" w:ascii="仿宋_GB2312" w:hAnsi="Times New Roman" w:eastAsia="仿宋_GB2312" w:cs="Times New Roman"/>
          <w:color w:val="auto"/>
          <w:spacing w:val="0"/>
          <w:kern w:val="2"/>
          <w:sz w:val="32"/>
          <w:szCs w:val="32"/>
          <w:lang w:bidi="ar-SA"/>
        </w:rPr>
        <w:t>人员需参加采购单位统一组织的岗前培训（安排培训教材和课件），并经考试合格，取得上岗证后，才能从事</w:t>
      </w:r>
      <w:r>
        <w:rPr>
          <w:rFonts w:hint="eastAsia" w:ascii="仿宋_GB2312" w:hAnsi="Times New Roman" w:eastAsia="仿宋_GB2312" w:cs="Times New Roman"/>
          <w:color w:val="auto"/>
          <w:spacing w:val="0"/>
          <w:kern w:val="2"/>
          <w:sz w:val="32"/>
          <w:szCs w:val="32"/>
          <w:lang w:eastAsia="zh-CN" w:bidi="ar-SA"/>
        </w:rPr>
        <w:t>协助民生诉求服务工作</w:t>
      </w:r>
      <w:r>
        <w:rPr>
          <w:rFonts w:hint="eastAsia" w:ascii="仿宋_GB2312" w:hAnsi="Times New Roman" w:eastAsia="仿宋_GB2312" w:cs="Times New Roman"/>
          <w:color w:val="auto"/>
          <w:spacing w:val="0"/>
          <w:kern w:val="2"/>
          <w:sz w:val="32"/>
          <w:szCs w:val="32"/>
          <w:lang w:bidi="ar-SA"/>
        </w:rPr>
        <w:t>。培训考试不合格者，不得上岗工作。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（四）项目服务管理要求</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eastAsia="zh-CN" w:bidi="ar-SA"/>
        </w:rPr>
        <w:t>1.中标单位应当严格按照本合同的约定开展项目、履行提供服务的义务，认真组织实施服务项目，按时完成服务项目任务，保证服务数量、质量和效果，主动接受有关部门、服务对象及社会监督。</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eastAsia="zh-CN" w:bidi="ar-SA"/>
        </w:rPr>
        <w:t>2.中标单位应对从事协助民生诉求服务工作人员进行岗前培训和考试、日常管理监督，以及合同履约评价，并积极协助采购单位做好民生诉求的协助性工作。投标供应商须提供承诺函并在投标文件中作出承诺。</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val="en-US" w:eastAsia="zh-CN" w:bidi="ar-SA"/>
        </w:rPr>
        <w:t>3</w:t>
      </w:r>
      <w:r>
        <w:rPr>
          <w:rFonts w:hint="eastAsia" w:ascii="仿宋_GB2312" w:hAnsi="Times New Roman" w:eastAsia="仿宋_GB2312" w:cs="Times New Roman"/>
          <w:color w:val="auto"/>
          <w:kern w:val="2"/>
          <w:sz w:val="32"/>
          <w:szCs w:val="32"/>
          <w:highlight w:val="none"/>
          <w:lang w:eastAsia="zh-CN" w:bidi="ar-SA"/>
        </w:rPr>
        <w:t>.中标单位应建立健全财务管理制度，严格遵守相关财政财务规定，对项目资金进行规范的财务管理和会计核算，加强自身监督，确保项目资金规范管理和使用。</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val="en-US" w:eastAsia="zh-CN" w:bidi="ar-SA"/>
        </w:rPr>
        <w:t>4</w:t>
      </w:r>
      <w:r>
        <w:rPr>
          <w:rFonts w:hint="eastAsia" w:ascii="仿宋_GB2312" w:hAnsi="Times New Roman" w:eastAsia="仿宋_GB2312" w:cs="Times New Roman"/>
          <w:color w:val="auto"/>
          <w:kern w:val="2"/>
          <w:sz w:val="32"/>
          <w:szCs w:val="32"/>
          <w:highlight w:val="none"/>
          <w:lang w:eastAsia="zh-CN" w:bidi="ar-SA"/>
        </w:rPr>
        <w:t>.中标单位不得将其承接在本合同项下的全部服务项目转包给第三人或者将其承接的全部服务项目肢解以后以分包的名义分别转包第三人。</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val="en-US" w:eastAsia="zh-CN" w:bidi="ar-SA"/>
        </w:rPr>
        <w:t>5</w:t>
      </w:r>
      <w:r>
        <w:rPr>
          <w:rFonts w:hint="eastAsia" w:ascii="仿宋_GB2312" w:hAnsi="Times New Roman" w:eastAsia="仿宋_GB2312" w:cs="Times New Roman"/>
          <w:color w:val="auto"/>
          <w:kern w:val="2"/>
          <w:sz w:val="32"/>
          <w:szCs w:val="32"/>
          <w:highlight w:val="none"/>
          <w:lang w:eastAsia="zh-CN" w:bidi="ar-SA"/>
        </w:rPr>
        <w:t>.中标单位应对安排从事协助民生诉求服务工作的人员进行健康体检和资格审查，含身份证、毕业证、学位证、履历表，有没有失信、犯罪或重大过失记录等，并将工作人员名单、身份证（居住证）复印件、学历认证复印件等报送采购单位资格审查和备案。</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val="en-US" w:eastAsia="zh-CN" w:bidi="ar-SA"/>
        </w:rPr>
        <w:t>6</w:t>
      </w:r>
      <w:r>
        <w:rPr>
          <w:rFonts w:hint="eastAsia" w:ascii="仿宋_GB2312" w:hAnsi="Times New Roman" w:eastAsia="仿宋_GB2312" w:cs="Times New Roman"/>
          <w:color w:val="auto"/>
          <w:kern w:val="2"/>
          <w:sz w:val="32"/>
          <w:szCs w:val="32"/>
          <w:highlight w:val="none"/>
          <w:lang w:eastAsia="zh-CN" w:bidi="ar-SA"/>
        </w:rPr>
        <w:t>.中标单位派驻采购单位的员工，中标单位应当按照《劳动合同法》等相关法律规定合法合规用工。如解除合同涉及经济补偿/赔偿的、涉及工伤的等劳动用工问题由中标单位负责解决，相关费用由中标单位负担。</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lang w:val="en-US" w:eastAsia="zh-CN" w:bidi="ar-SA"/>
        </w:rPr>
        <w:t>7</w:t>
      </w:r>
      <w:r>
        <w:rPr>
          <w:rFonts w:hint="eastAsia" w:ascii="仿宋_GB2312" w:hAnsi="Times New Roman" w:eastAsia="仿宋_GB2312" w:cs="Times New Roman"/>
          <w:color w:val="auto"/>
          <w:kern w:val="2"/>
          <w:sz w:val="32"/>
          <w:szCs w:val="32"/>
          <w:highlight w:val="none"/>
          <w:lang w:eastAsia="zh-CN" w:bidi="ar-SA"/>
        </w:rPr>
        <w:t>.中标单位应建立职业规划、团队建设、党团工会服务及安全生产管理、健康管理服务。</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lang w:val="en-US" w:eastAsia="zh-CN" w:bidi="ar-SA"/>
        </w:rPr>
        <w:t>8</w:t>
      </w:r>
      <w:r>
        <w:rPr>
          <w:rFonts w:hint="eastAsia" w:ascii="仿宋_GB2312" w:hAnsi="Times New Roman" w:eastAsia="仿宋_GB2312" w:cs="Times New Roman"/>
          <w:color w:val="auto"/>
          <w:kern w:val="2"/>
          <w:sz w:val="32"/>
          <w:szCs w:val="32"/>
          <w:highlight w:val="none"/>
          <w:lang w:eastAsia="zh-CN" w:bidi="ar-SA"/>
        </w:rPr>
        <w:t>.中标单位工作人员在提供服务过程中应依法依规履职，不得以采购单位或监督方名义实施任何违法违规行为，否则由此产生的责任由中标单位承担，因此造成不良影响的，采购单位有权单方面解除本合同，不予支付服务费。</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right="0" w:firstLine="640" w:firstLineChars="0"/>
        <w:jc w:val="both"/>
        <w:textAlignment w:val="auto"/>
        <w:rPr>
          <w:rFonts w:hint="eastAsia"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val="en-US" w:eastAsia="zh-CN" w:bidi="ar-SA"/>
        </w:rPr>
        <w:t>9</w:t>
      </w:r>
      <w:r>
        <w:rPr>
          <w:rFonts w:hint="eastAsia" w:ascii="仿宋_GB2312" w:hAnsi="Times New Roman" w:eastAsia="仿宋_GB2312" w:cs="Times New Roman"/>
          <w:color w:val="auto"/>
          <w:kern w:val="2"/>
          <w:sz w:val="32"/>
          <w:szCs w:val="32"/>
          <w:highlight w:val="none"/>
          <w:lang w:eastAsia="zh-CN" w:bidi="ar-SA"/>
        </w:rPr>
        <w:t>.中标单位应与协助民生诉求服务工作的人员建立劳动合同关系，采购单位与协助民生诉求服务工作的人员不存在任何劳动合同关系。中标单位全面负责协助民生诉求服务工作的人员的劳动用工管理、劳动纠纷处理与社保管理，处理涉及劳动关系的所有事宜，与协助民生诉求服务工作的人员签订劳动合同，并且提供给采购单位备案。中标单位按劳动合同法规定与员工签订劳动合同、发放员工的工资、工会福利、经济补偿金、购买住房公积金、养老保险、医疗保险、工伤保险、生育保险、失业保险、意外伤害险等。</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10</w:t>
      </w:r>
      <w:r>
        <w:rPr>
          <w:rFonts w:hint="eastAsia" w:ascii="仿宋_GB2312" w:hAnsi="Times New Roman" w:eastAsia="仿宋_GB2312" w:cs="Times New Roman"/>
          <w:color w:val="auto"/>
          <w:kern w:val="2"/>
          <w:sz w:val="32"/>
          <w:szCs w:val="32"/>
          <w:highlight w:val="none"/>
          <w:lang w:eastAsia="zh-CN" w:bidi="ar-SA"/>
        </w:rPr>
        <w:t>.除中标单位报价中的综合服务费部分和已提取的经济补偿金外，剩余经费均应用于项目管理。如采购单位审查出现中标单位挪用项目管理经费的，按实际挪用金额的2倍进行处罚，采购单位有权单方解除合同，且不承担因此造成的任何责任。</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210" w:leftChars="0" w:right="0" w:rightChars="0" w:firstLine="420" w:firstLineChars="0"/>
        <w:jc w:val="both"/>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供应商资格要求</w:t>
      </w:r>
    </w:p>
    <w:p>
      <w:pPr>
        <w:spacing w:line="560" w:lineRule="exact"/>
        <w:ind w:firstLine="640" w:firstLineChars="200"/>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一）具有独立法人资格或具有独立承担民事责任能力的其他组织，并具有相关经营范围【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pPr>
        <w:spacing w:line="560" w:lineRule="exact"/>
        <w:ind w:firstLine="640" w:firstLineChars="200"/>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二）①具备《中华人民共和国政府采购法》第二十二条规定的条件；②参与本项目政府采购活动时不存在被有关部门禁止参与政府采购活动且在有效期内的情况；③参加本项目政府采购活动前三年内无行贿犯罪记录，不存在《深圳市财政局政府采购供应商信用信息管理办法》（深财规〔2023〕3号）列明的严重违法失信行为；④未被列入失信被执行人、重大税收违法案件当事人名单、政府采购严重违法失信行为记录名单；⑤除单一来源采购，为采购项目提供整体设计、规范编制或者项目管理、监理、检测等服务的供应商，不得再参加该采购项目的其他采购活动（须提供《政府采购投标及履约承诺函》）</w:t>
      </w:r>
    </w:p>
    <w:p>
      <w:pPr>
        <w:spacing w:line="560" w:lineRule="exact"/>
        <w:ind w:firstLine="640" w:firstLineChars="200"/>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181717" w:themeColor="background2" w:themeShade="1A"/>
          <w:sz w:val="32"/>
          <w:szCs w:val="32"/>
        </w:rPr>
        <w:t>（四）本项目不接受联合体投标，不允许分包、转包</w:t>
      </w:r>
      <w:r>
        <w:rPr>
          <w:rFonts w:hint="eastAsia" w:ascii="仿宋_GB2312" w:hAnsi="仿宋_GB2312" w:eastAsia="仿宋_GB2312" w:cs="仿宋_GB2312"/>
          <w:color w:val="181717" w:themeColor="background2" w:themeShade="1A"/>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评标定标方法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eastAsia="仿宋_GB2312" w:cs="Times New Roman"/>
          <w:b w:val="0"/>
          <w:bCs w:val="0"/>
          <w:color w:val="auto"/>
          <w:kern w:val="2"/>
          <w:sz w:val="32"/>
          <w:szCs w:val="32"/>
          <w:lang w:val="en-US" w:eastAsia="zh-CN" w:bidi="ar-SA"/>
        </w:rPr>
      </w:pPr>
      <w:r>
        <w:rPr>
          <w:rFonts w:hint="eastAsia" w:ascii="仿宋_GB2312" w:eastAsia="仿宋_GB2312" w:cs="Times New Roman"/>
          <w:b w:val="0"/>
          <w:bCs w:val="0"/>
          <w:color w:val="auto"/>
          <w:kern w:val="2"/>
          <w:sz w:val="32"/>
          <w:szCs w:val="32"/>
          <w:lang w:val="en-US" w:eastAsia="zh-CN" w:bidi="ar-SA"/>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7"/>
        <w:tblW w:w="97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72"/>
        <w:gridCol w:w="794"/>
        <w:gridCol w:w="1620"/>
        <w:gridCol w:w="885"/>
        <w:gridCol w:w="5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72"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序号</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评分项</w:t>
            </w:r>
          </w:p>
        </w:tc>
        <w:tc>
          <w:tcPr>
            <w:tcW w:w="5338"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72" w:type="dxa"/>
            <w:vMerge w:val="restart"/>
            <w:tcBorders>
              <w:top w:val="single" w:color="000000" w:sz="8" w:space="0"/>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1</w:t>
            </w:r>
          </w:p>
        </w:tc>
        <w:tc>
          <w:tcPr>
            <w:tcW w:w="3299"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价格</w:t>
            </w:r>
            <w:r>
              <w:rPr>
                <w:rFonts w:hint="eastAsia" w:asciiTheme="minorEastAsia" w:hAnsiTheme="minorEastAsia"/>
                <w:b/>
                <w:bCs/>
                <w:color w:val="000000" w:themeColor="text1"/>
                <w:highlight w:val="none"/>
                <w:lang w:eastAsia="zh-CN"/>
                <w14:textFill>
                  <w14:solidFill>
                    <w14:schemeClr w14:val="tx1"/>
                  </w14:solidFill>
                </w14:textFill>
              </w:rPr>
              <w:t>部分</w:t>
            </w:r>
          </w:p>
        </w:tc>
        <w:tc>
          <w:tcPr>
            <w:tcW w:w="5338" w:type="dxa"/>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eastAsia="宋体"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72" w:type="dxa"/>
            <w:vMerge w:val="continue"/>
            <w:tcBorders>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tc>
        <w:tc>
          <w:tcPr>
            <w:tcW w:w="8637"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1.本项目投标报价金额为所有服务内容的全部“单项服务报价（元）”的合计金额；</w:t>
            </w: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 xml:space="preserve">2.采用低价优先法计算，即满足招标文件要求且投标价格最低的投标报价为评标基准价，其价格分为20分。其他投标人的价格分统一按照下列公式计算： </w:t>
            </w: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投标报价得分=(评标基准价／投标报价)×20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1072" w:type="dxa"/>
            <w:vMerge w:val="restart"/>
            <w:tcBorders>
              <w:left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EastAsia"/>
                <w:b/>
                <w:bCs/>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EastAsia"/>
                <w:b/>
                <w:bCs/>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EastAsia"/>
                <w:b/>
                <w:bCs/>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EastAsia"/>
                <w:b/>
                <w:bCs/>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EastAsia"/>
                <w:b/>
                <w:bCs/>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eastAsiaTheme="minorEastAsia"/>
                <w:lang w:val="en-US" w:eastAsia="zh-CN"/>
              </w:rPr>
            </w:pPr>
            <w:r>
              <w:rPr>
                <w:rFonts w:hint="eastAsia" w:asciiTheme="minorEastAsia" w:hAnsiTheme="minorEastAsia" w:eastAsiaTheme="minorEastAsia" w:cstheme="minorEastAsia"/>
                <w:b/>
                <w:bCs/>
                <w:lang w:val="en-US" w:eastAsia="zh-CN"/>
              </w:rPr>
              <w:t>2</w:t>
            </w:r>
          </w:p>
        </w:tc>
        <w:tc>
          <w:tcPr>
            <w:tcW w:w="3299"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技术部分</w:t>
            </w:r>
          </w:p>
        </w:tc>
        <w:tc>
          <w:tcPr>
            <w:tcW w:w="5338" w:type="dxa"/>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auto"/>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eastAsiaTheme="minorEastAsia"/>
                <w:lang w:val="en-US" w:eastAsia="zh-CN"/>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shd w:val="clear" w:color="auto" w:fill="auto"/>
                <w:lang w:val="en-US"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项目服务方案</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FF0000"/>
                <w:highlight w:val="none"/>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FF0000"/>
                <w:highlight w:val="none"/>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10</w:t>
            </w:r>
          </w:p>
        </w:tc>
        <w:tc>
          <w:tcPr>
            <w:tcW w:w="5338" w:type="dxa"/>
            <w:tcBorders>
              <w:left w:val="single" w:color="000000" w:sz="8" w:space="0"/>
              <w:right w:val="single" w:color="000000" w:sz="8" w:space="0"/>
            </w:tcBorders>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（一）评</w:t>
            </w:r>
            <w:r>
              <w:rPr>
                <w:rFonts w:hint="eastAsia" w:asciiTheme="minorEastAsia" w:hAnsiTheme="minorEastAsia"/>
                <w:color w:val="000000" w:themeColor="text1"/>
                <w:highlight w:val="none"/>
                <w:lang w:eastAsia="zh-CN"/>
                <w14:textFill>
                  <w14:solidFill>
                    <w14:schemeClr w14:val="tx1"/>
                  </w14:solidFill>
                </w14:textFill>
              </w:rPr>
              <w:t>分</w:t>
            </w:r>
            <w:r>
              <w:rPr>
                <w:rFonts w:hint="eastAsia" w:asciiTheme="minorEastAsia" w:hAnsiTheme="minorEastAsia"/>
                <w:color w:val="000000" w:themeColor="text1"/>
                <w:highlight w:val="none"/>
                <w14:textFill>
                  <w14:solidFill>
                    <w14:schemeClr w14:val="tx1"/>
                  </w14:solidFill>
                </w14:textFill>
              </w:rPr>
              <w:t>内容：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投标人制定并提供本项目的服务方案，方案内容包括但不限于：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1.对本项目的认识与理解；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2.工作方法、工作流程和进度安排；</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3.配备的人员组织机构；</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4.绩效奖励方案。</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（二）评</w:t>
            </w:r>
            <w:r>
              <w:rPr>
                <w:rFonts w:hint="eastAsia" w:asciiTheme="minorEastAsia" w:hAnsiTheme="minorEastAsia"/>
                <w:color w:val="000000" w:themeColor="text1"/>
                <w:highlight w:val="none"/>
                <w:lang w:eastAsia="zh-CN"/>
                <w14:textFill>
                  <w14:solidFill>
                    <w14:schemeClr w14:val="tx1"/>
                  </w14:solidFill>
                </w14:textFill>
              </w:rPr>
              <w:t>分</w:t>
            </w:r>
            <w:r>
              <w:rPr>
                <w:rFonts w:hint="eastAsia" w:asciiTheme="minorEastAsia" w:hAnsiTheme="minorEastAsia"/>
                <w:color w:val="000000" w:themeColor="text1"/>
                <w:highlight w:val="none"/>
                <w14:textFill>
                  <w14:solidFill>
                    <w14:schemeClr w14:val="tx1"/>
                  </w14:solidFill>
                </w14:textFill>
              </w:rPr>
              <w:t>依据：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1.针对上述4项内容，提供4项内容得40分，提供任意3项内容得30分，提供任意2项内容得20分，提供任意1项内容得10分，其他情况不得分，本项最高得40分。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2.在第1项得分的基础上，根据以下标准进行评价评分：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评价为优：实施方案全面、内容具体详实、理解准确、透彻，得60分；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评价为良：实施方案较全面、内容较为具体详实、理解较准确、透彻，得30分；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评价为中：实施方案一般，内容较为一般，理解一般，评价为中，得10分；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评价为差：实施方案不够全面、内容不够具体详实，理解不够准确、透彻，不得分。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b w:val="0"/>
                <w:bCs w:val="0"/>
              </w:rPr>
            </w:pPr>
            <w:r>
              <w:rPr>
                <w:rFonts w:hint="eastAsia" w:asciiTheme="minorEastAsia" w:hAnsiTheme="minorEastAsia"/>
                <w:color w:val="000000" w:themeColor="text1"/>
                <w:highlight w:val="none"/>
                <w14:textFill>
                  <w14:solidFill>
                    <w14:schemeClr w14:val="tx1"/>
                  </w14:solidFill>
                </w14:textFill>
              </w:rPr>
              <w:t>以上2项累计得分，本项满分100分。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16"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14:textFill>
                  <w14:solidFill>
                    <w14:schemeClr w14:val="tx1"/>
                  </w14:solidFill>
                </w14:textFill>
              </w:rPr>
            </w:pPr>
            <w:r>
              <w:rPr>
                <w:rFonts w:hint="eastAsia" w:ascii="宋体" w:hAnsi="宋体" w:eastAsia="宋体" w:cs="宋体"/>
                <w:szCs w:val="21"/>
              </w:rPr>
              <w:t>项目重点难点分析、应对措施及相关的合理化建议</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10</w:t>
            </w:r>
          </w:p>
        </w:tc>
        <w:tc>
          <w:tcPr>
            <w:tcW w:w="5338" w:type="dxa"/>
            <w:tcBorders>
              <w:left w:val="single" w:color="000000" w:sz="8" w:space="0"/>
              <w:right w:val="single" w:color="000000" w:sz="8" w:space="0"/>
            </w:tcBorders>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（一）评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内容：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投标人制定并提供本项目的项目重点难点分析、应对措施及相关的合理化建议方案，方案内容包括但不限于：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1.项目重点、难点的分析；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2.项目重点、难点的应对措施分析；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3.针对项目实施提出建议。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（二）评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依据：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1.针对上述3项内容，提供3项内容得30分，提供任意2项内容得20分，提供任意1项内容得10分，其他情况不得分，本项最高得30分。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2.在第1项得分的基础上，根据以下标准进行评价评分：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评价为优：对重难点理解准确全面，有针对性详细分析，且能提出符合实际且可行性强的应对措施，得70分；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评价为良：对重难点理解不准确但进行了针对性详细分析或对重难点理解准确但对重难点分析不全面，应对措施详细但不能完全贴合实际或可行性不强，得30分；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评价为中：对重难点理解不准确且重难点分析不全面，应对措施简要且不能贴合实际的，得10分；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评价为差：没有正确理解重难点且没有详细分析，应对措施不符合实际的，不得分。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以上2项累计得分，本项满分100分。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16"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宋体" w:hAnsi="宋体" w:eastAsia="宋体" w:cs="宋体"/>
                <w:szCs w:val="21"/>
              </w:rPr>
            </w:pPr>
            <w:r>
              <w:rPr>
                <w:rFonts w:hint="eastAsia" w:ascii="宋体" w:hAnsi="宋体" w:eastAsia="宋体" w:cs="宋体"/>
                <w:szCs w:val="21"/>
              </w:rPr>
              <w:t>质量（完成时间、安全、环保）保障措施及方案</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10</w:t>
            </w:r>
          </w:p>
        </w:tc>
        <w:tc>
          <w:tcPr>
            <w:tcW w:w="5338" w:type="dxa"/>
            <w:tcBorders>
              <w:left w:val="single" w:color="000000" w:sz="8" w:space="0"/>
              <w:right w:val="single" w:color="000000" w:sz="8" w:space="0"/>
            </w:tcBorders>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（一）评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内容：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投标人制定并提供本项目的质量保障措施及方案，方案内容包括但不限于：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1.项目质量管理（如：管理团队人员保障、制度等）；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2.项目安全保障措施（如：员工人身安全保障、财产安全保障、信息网络安全等）；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3.内部操作规程（如：管理运作制度、员工管理办法、业务流程等）；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4.应急处理及客户服务方案（如：应急处理原则、突发伤害事故的处理、劳动争议事故处理等）。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（二）评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依据：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1.针对上述4项内容，提供4项内容得40分，提供任意3项内容得30分，提供任意2项内容得20分，提供任意1项内容得10分，其他情况不得分，本项最高得40分。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2.在第1项得分的基础上，根据以下标准进行评价评分：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评价为优：方案内容全面、针对性强、可操作性强，得60分；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评价为良：方案较全面、针对性较强、可操作性较强，得30分；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评价为中：方案内容完整性、针对性、可操作性均一般，得10分；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评价为差：方案内容不完善、针对性较弱、可操作性不强，不得分。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以上2项累计得分，本项满分100分。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16"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4</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宋体" w:hAnsi="宋体" w:eastAsia="宋体" w:cs="宋体"/>
                <w:szCs w:val="21"/>
              </w:rPr>
            </w:pPr>
            <w:r>
              <w:rPr>
                <w:rFonts w:hint="eastAsia" w:ascii="宋体" w:hAnsi="宋体" w:eastAsia="宋体" w:cs="宋体"/>
                <w:szCs w:val="21"/>
              </w:rPr>
              <w:t>拟安排的项目管理负责人情况（仅限一人）</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10</w:t>
            </w:r>
          </w:p>
        </w:tc>
        <w:tc>
          <w:tcPr>
            <w:tcW w:w="5338" w:type="dxa"/>
            <w:tcBorders>
              <w:left w:val="single" w:color="000000" w:sz="8" w:space="0"/>
              <w:right w:val="single" w:color="000000" w:sz="8" w:space="0"/>
            </w:tcBorders>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（一）评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内容：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拟安排的项目管理负责人（仅限一人）须为投标人自有员工，否则投入的该人员作不得分处理，在此基础上，按照以下规则评分：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1.项目管理负责人具有硕士研究生（或以上）学历，得20分；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2.项目管理负责人具有人力资源和社会保障部门或相关评价机构颁发的企业人力资源管理师（三级或以上级别）证书，得30分；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3.项目经验：提供2023年1月至本项目投标截止之日（以合同签订时间为准）具有作为项目负责人为行政事业单位提供的人力资源服务类或辅助服务或派遣类项目业绩，每提供1项得10分，本小项最高得50分。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以上3项累计得分，本项满分100分。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（二）评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依据：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1.【自有员工证明材料】通过投标人缴纳的近三个月（2026年</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default" w:asciiTheme="minorEastAsia" w:hAnsiTheme="minorEastAsia"/>
                <w:b w:val="0"/>
                <w:bCs w:val="0"/>
                <w:color w:val="000000" w:themeColor="text1"/>
                <w:highlight w:val="none"/>
                <w14:textFill>
                  <w14:solidFill>
                    <w14:schemeClr w14:val="tx1"/>
                  </w14:solidFill>
                </w14:textFill>
              </w:rPr>
              <w:t>月-</w:t>
            </w: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b w:val="0"/>
                <w:bCs w:val="0"/>
                <w:color w:val="000000" w:themeColor="text1"/>
                <w:highlight w:val="none"/>
                <w14:textFill>
                  <w14:solidFill>
                    <w14:schemeClr w14:val="tx1"/>
                  </w14:solidFill>
                </w14:textFill>
              </w:rPr>
              <w:t>月）的任意一个月的社保证明作为本单位员工的证明依据，如供应商成立不足一个月或员工入职不足一个月的，提供情况说明函（格式自拟），无需提供相关人员社保，视为满足要求。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学历证明材料】提供学历证书扫描件以及学信网（https：//www.chsi.com.cn/）的验证结果网页截图（对于较早颁发的学历证书，学信网无法查询的，可提供其他佐证材料（如毕业院校、人社部门等颁发机构或监管机构等单位出具的证明）扫描件；海外留学人员学历无法通过学信网站查询的，需提供教育部留学服务中心出具的学历学位认证书及教育部留学服务中心官网查询截图。证明材料均提供扫描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评分项第2项证明材料】提供证书扫描件以及技能人才评价证书全国联网查询截图（http：//zscx.osta.org.cn/），若证书是由社会组织颁发的，还需同时提供该组织在“中国社会组织政务服务平台（全国社会组织信用信息公示平台）https：//chinanpo.mca.gov.cn/”的查询截图（截图需体现网址且状态为正常）；</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4.【评分项第3项证明材料】提供业绩合同关键页（包括但不限于含签订合同双方的单位名称、合同项目名称、服务内容、项目负责人名称与含签订合同双方的落款盖章、签订日期的关键页等）扫描件，如合同关键页无法体现项目负责人信息的，还须同时提供上述合同甲方（采购方）出具并加盖公章的相关证明材料（须列明合同名称、合同服务时间、项目负责人姓名等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5.如未按要求提供证明材料，或所提供的证明材料未能体现上述评分内容的，视为该证明材料无效。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16"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5</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宋体" w:hAnsi="宋体" w:eastAsia="宋体" w:cs="宋体"/>
                <w:szCs w:val="21"/>
              </w:rPr>
            </w:pPr>
            <w:r>
              <w:rPr>
                <w:rFonts w:hint="eastAsia" w:ascii="宋体" w:hAnsi="宋体" w:eastAsia="宋体" w:cs="宋体"/>
                <w:szCs w:val="21"/>
                <w:highlight w:val="none"/>
              </w:rPr>
              <w:t>拟安排的项目管理团队成员情况（项目负责人除外）</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10</w:t>
            </w:r>
          </w:p>
        </w:tc>
        <w:tc>
          <w:tcPr>
            <w:tcW w:w="5338" w:type="dxa"/>
            <w:tcBorders>
              <w:left w:val="single" w:color="000000" w:sz="8" w:space="0"/>
              <w:right w:val="single" w:color="000000" w:sz="8" w:space="0"/>
            </w:tcBorders>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（一）评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内容：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拟安排的项目管理团队成员须为投标人自有员工，否则投入的该人员作不得分处理，在此基础上，按照以下规则评分：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1.每有一人具有本科（或以上）学历，得10分，本项最高得60分；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2.每有一人具有人力资源和社会保障部门或相关评价机构颁发的企业人力资源管理师（三级或以上级别）证书，得20分，本项最高得40分。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以上2项累计得分，本项满分100分。同一人满足多项条件可重复计分。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（二）评</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14:textFill>
                  <w14:solidFill>
                    <w14:schemeClr w14:val="tx1"/>
                  </w14:solidFill>
                </w14:textFill>
              </w:rPr>
              <w:t>依据：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1.【自有员工证明材料】通过投标人缴纳的近三个月（2026年</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default" w:asciiTheme="minorEastAsia" w:hAnsiTheme="minorEastAsia"/>
                <w:b w:val="0"/>
                <w:bCs w:val="0"/>
                <w:color w:val="000000" w:themeColor="text1"/>
                <w:highlight w:val="none"/>
                <w14:textFill>
                  <w14:solidFill>
                    <w14:schemeClr w14:val="tx1"/>
                  </w14:solidFill>
                </w14:textFill>
              </w:rPr>
              <w:t>月-</w:t>
            </w: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b w:val="0"/>
                <w:bCs w:val="0"/>
                <w:color w:val="000000" w:themeColor="text1"/>
                <w:highlight w:val="none"/>
                <w14:textFill>
                  <w14:solidFill>
                    <w14:schemeClr w14:val="tx1"/>
                  </w14:solidFill>
                </w14:textFill>
              </w:rPr>
              <w:t>月）的任意一个月的社保证明作为本单位员工的证明依据，如供应商成立不足一个月或员工入职不足一个月的，提供情况说明函（格式自拟），无需提供相关人员社保，视为满足要求。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学历证明材料】提供学历证书扫描件以及学信网（https：//www.chsi.com.cn/）的验证结果网页截图（对于较早颁发的学历证书，学信网无法查询的，可提供其他佐证材料（如毕业院校、人社部门等颁发机构或监管机构等单位出具的证明）扫描件；海外留学人员学历无法通过学信网站查询的，需提供教育部留学服务中心出具的学历学位认证书及教育部留学服务中心官网查询截图。证明材料均提供扫描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评分项第2项证明材料】提供证书扫描件以及技能人才评价证书全国联网查询截图（http：//zscx.osta.org.cn/）。若证书是由社会组织颁发的，还需同时提供该组织在“中国社会组织政务服务平台（全国社会组织信用信息公示平台）https：//chinanpo.mca.gov.cn/”的查询截图（截图需体现网址且状态为正常）。</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4.如未按要求提供证明材料，或所提供的证明材料未能体现上述评分内容的，视为该证明材料无效。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1072" w:type="dxa"/>
            <w:vMerge w:val="restart"/>
            <w:tcBorders>
              <w:left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3</w:t>
            </w:r>
          </w:p>
        </w:tc>
        <w:tc>
          <w:tcPr>
            <w:tcW w:w="3299" w:type="dxa"/>
            <w:gridSpan w:val="3"/>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综合实力</w:t>
            </w:r>
          </w:p>
        </w:tc>
        <w:tc>
          <w:tcPr>
            <w:tcW w:w="5338" w:type="dxa"/>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5"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宋体" w:hAnsi="宋体" w:eastAsia="宋体" w:cs="宋体"/>
                <w:color w:val="000000"/>
                <w:szCs w:val="21"/>
              </w:rPr>
              <w:t>投标人认证情况</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auto"/>
                <w:highlight w:val="none"/>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auto"/>
                <w:highlight w:val="none"/>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5</w:t>
            </w:r>
          </w:p>
        </w:tc>
        <w:tc>
          <w:tcPr>
            <w:tcW w:w="5338" w:type="dxa"/>
            <w:tcBorders>
              <w:left w:val="single" w:color="000000" w:sz="8" w:space="0"/>
              <w:right w:val="single" w:color="000000" w:sz="8" w:space="0"/>
            </w:tcBorders>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（一）评分内容：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考察投标人的认证情况：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1.具有质量管理体系认证证书，得20分；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2.具有环境管理体系认证证书，得20分；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3.具有职业健康安全管理体系认证证书，得20分；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4.具有合规管理体系认证证书，得20分；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5.具有社会责任管理体系认证证书，得20分。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以上5项得分累计，最高100分。以上认证证书认证范围需涵盖所列明的所有内容：人力资源服务、劳务派遣服务、招聘服务、人才测评服务、人才培训服务、档案管理服务。</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（二）评分依据：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1.提供有效认证证书扫描件及全国认证认可信息公共服务平台（认e云）（http：//cx.cnca.cn/）的认证信息截图（须体现网站信息，且截图需显示证书状态为有效）。</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b w:val="0"/>
                <w:bCs w:val="0"/>
                <w:lang w:eastAsia="zh-CN"/>
              </w:rPr>
            </w:pPr>
            <w:r>
              <w:rPr>
                <w:rFonts w:hint="eastAsia"/>
                <w:b w:val="0"/>
                <w:bCs w:val="0"/>
                <w:lang w:eastAsia="zh-CN"/>
              </w:rPr>
              <w:t>2.如未按要求提供证明材料，或所提供的证明材料未能体现上述评分内容的，视为该证明材料无效。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同类项目业绩</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10</w:t>
            </w:r>
          </w:p>
        </w:tc>
        <w:tc>
          <w:tcPr>
            <w:tcW w:w="5338" w:type="dxa"/>
            <w:tcBorders>
              <w:left w:val="single" w:color="000000" w:sz="8" w:space="0"/>
              <w:right w:val="single" w:color="000000" w:sz="8" w:space="0"/>
            </w:tcBorders>
          </w:tcPr>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（一）评</w:t>
            </w:r>
            <w:r>
              <w:rPr>
                <w:rFonts w:hint="eastAsia"/>
                <w:b w:val="0"/>
                <w:bCs w:val="0"/>
                <w:lang w:val="en-US" w:eastAsia="zh-CN"/>
              </w:rPr>
              <w:t>分</w:t>
            </w:r>
            <w:r>
              <w:rPr>
                <w:rFonts w:hint="default"/>
                <w:b w:val="0"/>
                <w:bCs w:val="0"/>
                <w:lang w:val="en-US" w:eastAsia="zh-CN"/>
              </w:rPr>
              <w:t>内容：</w:t>
            </w:r>
          </w:p>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投标人2023年1月至本项目投标截止之日（以合同签订时间为准）为</w:t>
            </w:r>
            <w:r>
              <w:rPr>
                <w:rFonts w:hint="default"/>
                <w:b w:val="0"/>
                <w:bCs w:val="0"/>
                <w:highlight w:val="none"/>
                <w:lang w:val="en-US" w:eastAsia="zh-CN"/>
              </w:rPr>
              <w:t>行政事业单位</w:t>
            </w:r>
            <w:r>
              <w:rPr>
                <w:rFonts w:hint="default"/>
                <w:b w:val="0"/>
                <w:bCs w:val="0"/>
                <w:lang w:val="en-US" w:eastAsia="zh-CN"/>
              </w:rPr>
              <w:t>提供人力资源服务类或辅助服务或派遣类项目案例，每提供1项案例得20分，本项最高得100分。</w:t>
            </w:r>
          </w:p>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注：同项服务的多次（多年）长期续签合同只计算为1项业绩。</w:t>
            </w:r>
          </w:p>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（二）评</w:t>
            </w:r>
            <w:r>
              <w:rPr>
                <w:rFonts w:hint="eastAsia"/>
                <w:b w:val="0"/>
                <w:bCs w:val="0"/>
                <w:lang w:val="en-US" w:eastAsia="zh-CN"/>
              </w:rPr>
              <w:t>分</w:t>
            </w:r>
            <w:r>
              <w:rPr>
                <w:rFonts w:hint="default"/>
                <w:b w:val="0"/>
                <w:bCs w:val="0"/>
                <w:lang w:val="en-US" w:eastAsia="zh-CN"/>
              </w:rPr>
              <w:t>依据：</w:t>
            </w:r>
          </w:p>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1.提供合同关键页（包括但不限于含签订合同双方的单位名称、合同项目名称与含签订合同双方的落款盖章、签订日期的关键页等）扫描件。</w:t>
            </w:r>
          </w:p>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2.同一业绩满足多项要求不重复得分。</w:t>
            </w:r>
          </w:p>
          <w:p>
            <w:pPr>
              <w:keepNext w:val="0"/>
              <w:keepLines w:val="0"/>
              <w:suppressLineNumbers w:val="0"/>
              <w:wordWrap w:val="0"/>
              <w:spacing w:before="0" w:beforeAutospacing="0" w:after="0" w:afterAutospacing="0" w:line="560" w:lineRule="exact"/>
              <w:ind w:left="0" w:right="0" w:firstLine="420" w:firstLineChars="200"/>
              <w:jc w:val="left"/>
              <w:rPr>
                <w:rFonts w:hint="default"/>
                <w:b w:val="0"/>
                <w:bCs w:val="0"/>
                <w:lang w:val="en-US" w:eastAsia="zh-CN"/>
              </w:rPr>
            </w:pPr>
            <w:r>
              <w:rPr>
                <w:rFonts w:hint="default"/>
                <w:b w:val="0"/>
                <w:bCs w:val="0"/>
                <w:lang w:val="en-US" w:eastAsia="zh-CN"/>
              </w:rPr>
              <w:t>3.如未按要求提供证明材料，或所提供的证明材料未能体现上述评分内容的，视为该证明材料无效。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56"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宋体" w:hAnsi="宋体" w:eastAsia="宋体" w:cs="宋体"/>
                <w:color w:val="000000"/>
                <w:szCs w:val="21"/>
              </w:rPr>
              <w:t>履约评价</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FF0000"/>
                <w:highlight w:val="none"/>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FF0000"/>
                <w:highlight w:val="none"/>
                <w:lang w:val="en-US" w:eastAsia="zh-CN"/>
              </w:rPr>
            </w:pPr>
          </w:p>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b w:val="0"/>
                <w:bCs w:val="0"/>
                <w:color w:val="auto"/>
                <w:highlight w:val="none"/>
                <w:lang w:val="en-US" w:eastAsia="zh-CN"/>
              </w:rPr>
              <w:t>10</w:t>
            </w:r>
          </w:p>
        </w:tc>
        <w:tc>
          <w:tcPr>
            <w:tcW w:w="5338" w:type="dxa"/>
            <w:tcBorders>
              <w:left w:val="single" w:color="000000" w:sz="8" w:space="0"/>
              <w:right w:val="single" w:color="000000" w:sz="8" w:space="0"/>
            </w:tcBorders>
            <w:vAlign w:val="center"/>
          </w:tcPr>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pPr>
            <w:r>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t>（一）评审内容：</w:t>
            </w:r>
          </w:p>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pPr>
            <w:r>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t>投标人在上述“类似项目业绩”经评审得分的有效业绩，并取得合同甲方（采购方）出具的履约评价（表格或公函等相关形式）为优或满意或95分（及以上）或其他同等评价的，每提供1项得20分，本项最高得100分。</w:t>
            </w:r>
          </w:p>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pPr>
            <w:r>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t>（二）评审依据：</w:t>
            </w:r>
          </w:p>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pPr>
            <w:r>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t>1.提供履约评价证明材料【项目履约评价方须与合同甲方（采购方）一致，且履约评价证明材料需加盖合同甲方（采购方）公章或业务章或部门章。若合同甲方（采购方）有名称变更的，投标人还需提供说明函并加盖投标人公章】扫描件。</w:t>
            </w:r>
          </w:p>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pPr>
            <w:r>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t>2.如履约评价中只有“合格”与“不合格”两种档次的，不符合评审要求，作不得分处理。</w:t>
            </w:r>
          </w:p>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eastAsia" w:ascii="宋体" w:hAnsi="宋体" w:eastAsia="宋体" w:cs="宋体"/>
                <w:i w:val="0"/>
                <w:iCs w:val="0"/>
                <w:color w:val="000000"/>
                <w:kern w:val="2"/>
                <w:sz w:val="28"/>
                <w:szCs w:val="28"/>
                <w:u w:val="none"/>
                <w:lang w:val="en-US" w:eastAsia="zh-CN" w:bidi="ar-SA"/>
              </w:rPr>
            </w:pPr>
            <w:r>
              <w:rPr>
                <w:rFonts w:hint="default" w:asciiTheme="minorEastAsia" w:hAnsiTheme="minorEastAsia" w:eastAsiaTheme="minorEastAsia" w:cstheme="minorBidi"/>
                <w:i w:val="0"/>
                <w:iCs w:val="0"/>
                <w:color w:val="000000" w:themeColor="text1"/>
                <w:kern w:val="2"/>
                <w:sz w:val="21"/>
                <w:szCs w:val="24"/>
                <w:highlight w:val="none"/>
                <w:u w:val="none"/>
                <w:lang w:val="en-US" w:eastAsia="zh-CN" w:bidi="ar-SA"/>
                <w14:textFill>
                  <w14:solidFill>
                    <w14:schemeClr w14:val="tx1"/>
                  </w14:solidFill>
                </w14:textFill>
              </w:rPr>
              <w:t>3.如未按要求提供证明材料，或所提供的证明材料未能体现上述评分内容的，视为该证明材料无效。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8" w:hRule="atLeast"/>
          <w:jc w:val="center"/>
        </w:trPr>
        <w:tc>
          <w:tcPr>
            <w:tcW w:w="1072" w:type="dxa"/>
            <w:vMerge w:val="restart"/>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4</w:t>
            </w:r>
          </w:p>
        </w:tc>
        <w:tc>
          <w:tcPr>
            <w:tcW w:w="3299" w:type="dxa"/>
            <w:gridSpan w:val="3"/>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诚信情况</w:t>
            </w:r>
          </w:p>
        </w:tc>
        <w:tc>
          <w:tcPr>
            <w:tcW w:w="5338" w:type="dxa"/>
            <w:tcBorders>
              <w:left w:val="single" w:color="000000" w:sz="8" w:space="0"/>
              <w:right w:val="single" w:color="000000" w:sz="8" w:space="0"/>
            </w:tcBorders>
            <w:vAlign w:val="center"/>
          </w:tcPr>
          <w:p>
            <w:pPr>
              <w:keepNext w:val="0"/>
              <w:keepLines w:val="0"/>
              <w:widowControl/>
              <w:suppressLineNumbers w:val="0"/>
              <w:wordWrap w:val="0"/>
              <w:spacing w:before="0" w:beforeAutospacing="0" w:after="0" w:afterAutospacing="0" w:line="560" w:lineRule="exact"/>
              <w:ind w:left="0" w:right="0"/>
              <w:jc w:val="center"/>
              <w:textAlignment w:val="auto"/>
              <w:rPr>
                <w:rFonts w:hint="eastAsia" w:asciiTheme="minorEastAsia" w:hAnsiTheme="minorEastAsia" w:eastAsiaTheme="minorEastAsia" w:cstheme="minorBidi"/>
                <w:b/>
                <w:bCs/>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bCs/>
                <w:i w:val="0"/>
                <w:iCs w:val="0"/>
                <w:color w:val="000000" w:themeColor="text1"/>
                <w:kern w:val="2"/>
                <w:sz w:val="21"/>
                <w:szCs w:val="24"/>
                <w:highlight w:val="none"/>
                <w:u w:val="none"/>
                <w:lang w:val="en-US" w:eastAsia="zh-CN" w:bidi="ar"/>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55"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leftChars="0" w:right="0" w:rightChars="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91" w:hRule="atLeast"/>
          <w:jc w:val="center"/>
        </w:trPr>
        <w:tc>
          <w:tcPr>
            <w:tcW w:w="1072"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Theme="minorEastAsia" w:hAnsiTheme="minorEastAsia"/>
                <w:b w:val="0"/>
                <w:bCs w:val="0"/>
                <w:color w:val="FF0000"/>
                <w:highlight w:val="none"/>
                <w:lang w:eastAsia="zh-CN"/>
              </w:rPr>
            </w:pPr>
            <w:r>
              <w:rPr>
                <w:rFonts w:hint="eastAsia" w:ascii="宋体" w:hAnsi="宋体" w:eastAsia="宋体" w:cs="宋体"/>
                <w:szCs w:val="21"/>
              </w:rPr>
              <w:t>诚信情况</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default" w:asciiTheme="minorEastAsia" w:hAnsiTheme="minorEastAsia"/>
                <w:b w:val="0"/>
                <w:bCs w:val="0"/>
                <w:color w:val="FF0000"/>
                <w:highlight w:val="none"/>
                <w:lang w:val="en-US" w:eastAsia="zh-CN"/>
              </w:rPr>
            </w:pPr>
            <w:r>
              <w:rPr>
                <w:rFonts w:hint="eastAsia" w:ascii="宋体" w:hAnsi="宋体" w:eastAsia="宋体" w:cs="宋体"/>
                <w:b w:val="0"/>
                <w:bCs w:val="0"/>
                <w:color w:val="auto"/>
                <w:szCs w:val="21"/>
                <w:highlight w:val="none"/>
                <w:lang w:val="en-US" w:eastAsia="zh-CN"/>
              </w:rPr>
              <w:t>5</w:t>
            </w:r>
          </w:p>
        </w:tc>
        <w:tc>
          <w:tcPr>
            <w:tcW w:w="5338" w:type="dxa"/>
            <w:tcBorders>
              <w:left w:val="single" w:color="000000" w:sz="8" w:space="0"/>
              <w:right w:val="single" w:color="000000" w:sz="8" w:space="0"/>
            </w:tcBorders>
            <w:vAlign w:val="center"/>
          </w:tcPr>
          <w:p>
            <w:pPr>
              <w:keepNext w:val="0"/>
              <w:keepLines w:val="0"/>
              <w:pageBreakBefore w:val="0"/>
              <w:suppressLineNumbers w:val="0"/>
              <w:kinsoku/>
              <w:wordWrap w:val="0"/>
              <w:topLinePunct w:val="0"/>
              <w:bidi w:val="0"/>
              <w:spacing w:before="0" w:beforeAutospacing="0" w:after="0" w:afterAutospacing="0" w:line="560" w:lineRule="exact"/>
              <w:ind w:left="0" w:right="0" w:firstLine="420" w:firstLineChars="200"/>
              <w:jc w:val="left"/>
              <w:rPr>
                <w:rFonts w:hint="default" w:asciiTheme="minorEastAsia" w:hAnsiTheme="minorEastAsia" w:eastAsiaTheme="minorEastAsia" w:cstheme="minorBidi"/>
                <w:color w:val="000000" w:themeColor="text1"/>
                <w:szCs w:val="24"/>
                <w:highlight w:val="none"/>
                <w14:textFill>
                  <w14:solidFill>
                    <w14:schemeClr w14:val="tx1"/>
                  </w14:solidFill>
                </w14:textFill>
              </w:rPr>
            </w:pPr>
            <w:r>
              <w:rPr>
                <w:rFonts w:hint="default" w:asciiTheme="minorEastAsia" w:hAnsiTheme="minorEastAsia" w:eastAsiaTheme="minorEastAsia" w:cstheme="minorBidi"/>
                <w:color w:val="000000" w:themeColor="text1"/>
                <w:szCs w:val="24"/>
                <w:highlight w:val="none"/>
                <w14:textFill>
                  <w14:solidFill>
                    <w14:schemeClr w14:val="tx1"/>
                  </w14:solidFill>
                </w14:textFill>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keepNext w:val="0"/>
              <w:keepLines w:val="0"/>
              <w:widowControl w:val="0"/>
              <w:suppressLineNumbers w:val="0"/>
              <w:wordWrap w:val="0"/>
              <w:spacing w:before="0" w:beforeAutospacing="0" w:after="0" w:afterAutospacing="0" w:line="560" w:lineRule="exact"/>
              <w:ind w:left="0" w:right="0" w:firstLine="42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default" w:asciiTheme="minorEastAsia" w:hAnsiTheme="minorEastAsia" w:eastAsiaTheme="minorEastAsia" w:cstheme="minorBidi"/>
                <w:color w:val="000000" w:themeColor="text1"/>
                <w:szCs w:val="24"/>
                <w:highlight w:val="none"/>
                <w14:textFill>
                  <w14:solidFill>
                    <w14:schemeClr w14:val="tx1"/>
                  </w14:solidFill>
                </w14:textFill>
              </w:rPr>
              <w:t>查询渠道具体包括“信用中国”（www.creditchina.gov.cn）、“中国政府采购网”（www.ccgp.gov.cn）”以及“深圳市政府采购监管网”（http</w:t>
            </w:r>
            <w:r>
              <w:rPr>
                <w:rFonts w:hint="default" w:asciiTheme="minorEastAsia" w:hAnsiTheme="minorEastAsia" w:eastAsiaTheme="minorEastAsia" w:cstheme="minorBidi"/>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stheme="minorBidi"/>
                <w:color w:val="000000" w:themeColor="text1"/>
                <w:szCs w:val="24"/>
                <w:highlight w:val="none"/>
                <w14:textFill>
                  <w14:solidFill>
                    <w14:schemeClr w14:val="tx1"/>
                  </w14:solidFill>
                </w14:textFill>
              </w:rPr>
              <w:t>//zfcg.sz.gov.cn）为供应商信用信息的查询渠道，相关信息以开标当日的查询结果为准。</w:t>
            </w:r>
          </w:p>
        </w:tc>
      </w:tr>
    </w:tbl>
    <w:p>
      <w:pPr>
        <w:spacing w:line="560" w:lineRule="exact"/>
        <w:ind w:firstLine="640" w:firstLineChars="200"/>
        <w:rPr>
          <w:rFonts w:ascii="黑体" w:hAnsi="黑体" w:eastAsia="黑体" w:cs="宋体"/>
          <w:bCs/>
          <w:sz w:val="32"/>
          <w:szCs w:val="32"/>
        </w:rPr>
      </w:pPr>
      <w:r>
        <w:rPr>
          <w:rFonts w:hint="eastAsia" w:ascii="黑体" w:hAnsi="黑体" w:eastAsia="黑体" w:cs="宋体"/>
          <w:bCs/>
          <w:sz w:val="32"/>
          <w:szCs w:val="32"/>
        </w:rPr>
        <w:t>五、商务需求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（一）服务期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自合同签订之日</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年。本项目为长期服务项目，合同履行期限最长不超过三十六个月；如甲方对履约情况不满意，甲方不再续约。</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（二）服务地点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深圳市南山区粤海街道辖区</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（三）报价要求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1.本项目服务费采用包干制，应包括服务成本、法定税费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利润。由投标供应商根据采购文件所提供的资料自行测算投标报价；一经中标，报价总价作为中标供应商与采购人签订的合同金额，合同期限内不做调整。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2.投标供应商的报价不得超过项目预算金额。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3.投标供应商的报价，应当是本项目采购范围和采购文件及合同条款上所列的各项内容中所述的全部，不得以任何理由予以重复。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spacing w:after="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6.投标人应充分了解项目的位置、情况、道路及任何其它足以影响投标报价的情况，任何因忽视或误解项目情况而导致的索赔或服务期限延长申请将不获批准。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（四）付款方式</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按照区财政局的支付要求和采购人内部管理制度进行支付，</w:t>
      </w:r>
      <w:r>
        <w:rPr>
          <w:rFonts w:hint="eastAsia" w:ascii="仿宋_GB2312" w:hAnsi="仿宋_GB2312" w:eastAsia="仿宋_GB2312" w:cs="仿宋_GB2312"/>
          <w:sz w:val="32"/>
          <w:szCs w:val="32"/>
          <w:lang w:val="en-US" w:eastAsia="zh-CN"/>
        </w:rPr>
        <w:t>合同签订后的一个月内，甲方向乙方支付服务费用总额的60%，即人民币312000.00元（大写：叁拾壹万贰任元整）。甲方于合同签订之日起第6个月，支付服务费用总额的35%，即人民币182000.00元（大写：壹拾捌万贰任元整），剩余服务费用总额的5%，即人民币26000.00元（大写：贰万陆任元整），甲方于合同期满前一个月经过甲方验收合格后10个工作日内，向乙方支付。</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（五）违约责任</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1.中标单位有下列情形之一，采购单位有权依法单方解除合同，中标单位按中标价的5％支付违约金，并承担由此给采购单位造成的相关损失：</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（1）拒不配合监督检查，或者在监督检查中提供虚假信息，致使检查情况失实的；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（2）受相关政府部门警告、责令停止（改正）违法行为、罚款、没收非法所得等行政处罚的；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（3）派驻人员年度违法犯罪率超过总人数2％的；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（4）不能完成指定的任务，经甲方提出三次书面意见后仍不能达到要求的；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（5）其他违反法律法规规定情形的。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2.中标单位有下列情形的，采购单位有权依法单方解除合同，未支付的服务费用采购单位不再支付，中标单位应按中标价的10％支付违约金，并承担由此给采购单位造成的经济损失：</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（1）转包、挂靠其他服务供应商的；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（2）擅自变更或者中止合同的；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（3）拖欠派驻人员工资，经劳动或其他政府部门催告或者通报仍不清偿的；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（4）擅自实施行政处罚、行政强制措施的；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（5）因其资质降低达不到招标要求，或者被行业主管部门取消资质或者责令停业的；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（6）因工作失误被媒体报道，造成严重后果或者恶劣影响的，经查证属实的；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（7）在服务中存在不当行为被区级以上行政主管部门列入不良行为记录的；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（8）经二次以上（含二次）的有效投诉处理仍不纠正的（有效投诉指的是供应商被投诉内容经查实确定为违反购买服务合同、采购单位的规章制度有关规定的事实）；</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（9）有商业贿赂行为的；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（10）被列入劳动关系“黑名单”的；</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（11）法律法规规章规定的其他情形。</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除上述约定或者法定解除条件外，采购单位和中标单位双方均不得单方面提前解除合同。如一方提前提出解除合同，需提前三个月书面通知对方，由此给对方造成损失的，提前解除合同一方应赔偿全部损失，并按合同未履行部分的服务费支付违约金。</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4.因中标单位工作人员违法或失职行为造成采购单位损害的，中标单位承担全部经济责任和法律责任。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 w:eastAsia="楷体_GB2312" w:cs="Times New Roman"/>
          <w:color w:val="auto"/>
          <w:kern w:val="2"/>
          <w:sz w:val="32"/>
          <w:szCs w:val="32"/>
          <w:lang w:val="en-US" w:eastAsia="zh-CN" w:bidi="ar-SA"/>
        </w:rPr>
      </w:pPr>
      <w:r>
        <w:rPr>
          <w:rFonts w:hint="eastAsia" w:ascii="楷体_GB2312" w:hAnsi="楷体" w:eastAsia="楷体_GB2312" w:cs="Times New Roman"/>
          <w:color w:val="auto"/>
          <w:kern w:val="2"/>
          <w:sz w:val="32"/>
          <w:szCs w:val="32"/>
          <w:lang w:val="en-US" w:eastAsia="zh-CN" w:bidi="ar-SA"/>
        </w:rPr>
        <w:t>（六）其他要求</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1.采购单位制定服务考核制度对服务单位进行考核。</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2.采购单位将适时对服务进行考核，如达不到要求，则有权终止本服务合同。</w:t>
      </w: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3.中标单位在服务区域内的人员及财产的意外伤害或损失，均由中标单位负责并承担相应责任。</w:t>
      </w:r>
    </w:p>
    <w:p>
      <w:pPr>
        <w:pStyle w:val="2"/>
        <w:spacing w:line="560" w:lineRule="exact"/>
        <w:ind w:firstLine="640" w:firstLineChars="200"/>
        <w:rPr>
          <w:rFonts w:ascii="黑体" w:hAnsi="黑体" w:eastAsia="黑体" w:cs="宋体"/>
          <w:bCs/>
          <w:sz w:val="32"/>
          <w:szCs w:val="32"/>
        </w:rPr>
      </w:pPr>
      <w:r>
        <w:rPr>
          <w:rFonts w:hint="eastAsia" w:ascii="黑体" w:hAnsi="黑体" w:eastAsia="黑体" w:cs="宋体"/>
          <w:bCs/>
          <w:sz w:val="32"/>
          <w:szCs w:val="32"/>
        </w:rPr>
        <w:t>六、投标文件编制</w:t>
      </w:r>
      <w:bookmarkStart w:id="0" w:name="_GoBack"/>
      <w:bookmarkEnd w:id="0"/>
    </w:p>
    <w:p>
      <w:pPr>
        <w:spacing w:line="56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sz w:val="32"/>
          <w:szCs w:val="32"/>
        </w:rPr>
        <w:t>投标文件</w:t>
      </w:r>
      <w:r>
        <w:rPr>
          <w:rFonts w:hint="eastAsia" w:ascii="仿宋_GB2312" w:hAnsi="仿宋_GB2312" w:eastAsia="仿宋_GB2312" w:cs="仿宋_GB2312"/>
          <w:color w:val="FF0000"/>
          <w:sz w:val="32"/>
          <w:szCs w:val="32"/>
        </w:rPr>
        <w:t>一正四</w:t>
      </w:r>
      <w:r>
        <w:rPr>
          <w:rFonts w:hint="eastAsia" w:ascii="仿宋_GB2312" w:hAnsi="仿宋_GB2312" w:eastAsia="仿宋_GB2312" w:cs="仿宋_GB2312"/>
          <w:sz w:val="32"/>
          <w:szCs w:val="32"/>
        </w:rPr>
        <w:t>副（副本可采用正本盖章复印件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正本与副本须分别装订成册，不得采用活页夹。投标文件须编制目录，并且逐页标注连续页码，否则，采购人对由于投标文件装订松散而造成的丢失或其他后果不承担任何责任。</w:t>
      </w:r>
      <w:r>
        <w:rPr>
          <w:rFonts w:hint="eastAsia" w:ascii="仿宋_GB2312" w:hAnsi="仿宋_GB2312" w:eastAsia="仿宋_GB2312" w:cs="仿宋_GB2312"/>
          <w:sz w:val="32"/>
          <w:szCs w:val="32"/>
        </w:rPr>
        <w:t>），要求按以下顺序编制，并密封包装：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投标报名表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2.报价一览表</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投标人资质条件</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3.1营业执照复印件加盖公章</w:t>
      </w:r>
    </w:p>
    <w:p>
      <w:pPr>
        <w:pStyle w:val="4"/>
        <w:spacing w:after="0" w:line="560" w:lineRule="exact"/>
        <w:ind w:left="638" w:leftChars="304" w:firstLine="320" w:firstLineChars="100"/>
        <w:rPr>
          <w:rFonts w:hint="eastAsia" w:eastAsia="仿宋_GB2312"/>
          <w:lang w:eastAsia="zh-CN"/>
        </w:rPr>
      </w:pPr>
      <w:r>
        <w:rPr>
          <w:rFonts w:hint="eastAsia" w:ascii="仿宋_GB2312" w:hAnsi="仿宋_GB2312" w:eastAsia="仿宋_GB2312" w:cs="仿宋_GB2312"/>
          <w:sz w:val="32"/>
          <w:szCs w:val="32"/>
        </w:rPr>
        <w:t>3.2法人证明及法人身份证复印件或法人授权委托书及</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身份证复印件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.技术部分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.综合实力部分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.投标人认为需要补充的资料（由投标人自定）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7.政府采购投标及履约承诺函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8.供应商基本情况表</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4770"/>
    <w:rsid w:val="0D5E041F"/>
    <w:rsid w:val="0EE93BB2"/>
    <w:rsid w:val="160F49DB"/>
    <w:rsid w:val="2FFCC929"/>
    <w:rsid w:val="2FFF2A0B"/>
    <w:rsid w:val="31803638"/>
    <w:rsid w:val="3D873D63"/>
    <w:rsid w:val="4EDF8AA2"/>
    <w:rsid w:val="5379DE81"/>
    <w:rsid w:val="53DF6B55"/>
    <w:rsid w:val="5763921A"/>
    <w:rsid w:val="5FE91723"/>
    <w:rsid w:val="6C7DD750"/>
    <w:rsid w:val="6F7DA1DD"/>
    <w:rsid w:val="6FF7A3FF"/>
    <w:rsid w:val="71C43173"/>
    <w:rsid w:val="74FD8C52"/>
    <w:rsid w:val="775F66AF"/>
    <w:rsid w:val="78FF066D"/>
    <w:rsid w:val="7B566EBF"/>
    <w:rsid w:val="7E5F85BA"/>
    <w:rsid w:val="7EA810A6"/>
    <w:rsid w:val="7FBB5F20"/>
    <w:rsid w:val="7FEFDCB4"/>
    <w:rsid w:val="7FEFF522"/>
    <w:rsid w:val="8F9B0E63"/>
    <w:rsid w:val="8FEFFCD3"/>
    <w:rsid w:val="9ABDD61B"/>
    <w:rsid w:val="AFD335E6"/>
    <w:rsid w:val="B7DF54AB"/>
    <w:rsid w:val="BCB42027"/>
    <w:rsid w:val="BEEF9378"/>
    <w:rsid w:val="CDFFC766"/>
    <w:rsid w:val="DCDB38D5"/>
    <w:rsid w:val="EFFF898A"/>
    <w:rsid w:val="F75569C8"/>
    <w:rsid w:val="F9DFC70F"/>
    <w:rsid w:val="FBCA0EF0"/>
    <w:rsid w:val="FBFF9B4B"/>
    <w:rsid w:val="FDD7C4F8"/>
    <w:rsid w:val="FEB34B03"/>
    <w:rsid w:val="FEFDA59D"/>
    <w:rsid w:val="FF9E166F"/>
    <w:rsid w:val="FFADC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Plain Text"/>
    <w:basedOn w:val="1"/>
    <w:qFormat/>
    <w:uiPriority w:val="0"/>
    <w:rPr>
      <w:rFonts w:ascii="宋体" w:cs="Courier New"/>
      <w:szCs w:val="21"/>
    </w:rPr>
  </w:style>
  <w:style w:type="paragraph" w:styleId="4">
    <w:name w:val="Body Text"/>
    <w:basedOn w:val="1"/>
    <w:next w:val="1"/>
    <w:link w:val="10"/>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unhideWhenUsed/>
    <w:qFormat/>
    <w:uiPriority w:val="99"/>
    <w:pPr>
      <w:ind w:firstLine="420" w:firstLineChars="100"/>
    </w:pPr>
  </w:style>
  <w:style w:type="paragraph" w:customStyle="1" w:styleId="9">
    <w:name w:val="_Style 1"/>
    <w:basedOn w:val="1"/>
    <w:next w:val="1"/>
    <w:unhideWhenUsed/>
    <w:qFormat/>
    <w:uiPriority w:val="99"/>
    <w:pPr>
      <w:ind w:firstLine="420" w:firstLineChars="200"/>
    </w:pPr>
    <w:rPr>
      <w:rFonts w:hint="eastAsia"/>
    </w:rPr>
  </w:style>
  <w:style w:type="character" w:customStyle="1" w:styleId="10">
    <w:name w:val="正文文本 Char"/>
    <w:basedOn w:val="8"/>
    <w:link w:val="4"/>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530</Words>
  <Characters>547</Characters>
  <Lines>1</Lines>
  <Paragraphs>1</Paragraphs>
  <TotalTime>29</TotalTime>
  <ScaleCrop>false</ScaleCrop>
  <LinksUpToDate>false</LinksUpToDate>
  <CharactersWithSpaces>549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2025-01-05T22:26:00Z</dcterms:created>
  <dc:creator>admin</dc:creator>
  <cp:lastModifiedBy>游海波</cp:lastModifiedBy>
  <cp:lastPrinted>2026-03-13T11:44:21Z</cp:lastPrinted>
  <dcterms:modified xsi:type="dcterms:W3CDTF">2026-03-13T14:39:38Z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421F2CDAEC3849B6ABE90E98B72E3E84</vt:lpwstr>
  </property>
  <property fmtid="{D5CDD505-2E9C-101B-9397-08002B2CF9AE}" pid="4" name="KSOTemplateDocerSaveRecord">
    <vt:lpwstr>eyJoZGlkIjoiYTExMzg5NmYwZWU0ODcwYmNlNzJjYzU1NmQyM2QzNTEiLCJ1c2VySWQiOiIzNDc5MDU3OTgifQ==</vt:lpwstr>
  </property>
</Properties>
</file>