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color w:val="000000" w:themeColor="text1"/>
          <w:kern w:val="2"/>
          <w:sz w:val="44"/>
          <w:szCs w:val="44"/>
          <w:lang w:val="en" w:eastAsia="zh-CN" w:bidi="ar-SA"/>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 w:eastAsia="zh-CN" w:bidi="ar-SA"/>
          <w14:textFill>
            <w14:solidFill>
              <w14:schemeClr w14:val="tx1"/>
            </w14:solidFill>
          </w14:textFill>
        </w:rPr>
        <w:t>粤海街道</w:t>
      </w:r>
      <w:r>
        <w:rPr>
          <w:rFonts w:hint="eastAsia"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t>办事处荣泰楼物业管理</w:t>
      </w:r>
      <w:r>
        <w:rPr>
          <w:rFonts w:hint="eastAsia" w:ascii="方正小标宋_GBK" w:hAnsi="方正小标宋_GBK" w:eastAsia="方正小标宋_GBK" w:cs="方正小标宋_GBK"/>
          <w:b w:val="0"/>
          <w:bCs w:val="0"/>
          <w:color w:val="000000" w:themeColor="text1"/>
          <w:kern w:val="2"/>
          <w:sz w:val="44"/>
          <w:szCs w:val="44"/>
          <w:lang w:val="en" w:eastAsia="zh-CN" w:bidi="ar-SA"/>
          <w14:textFill>
            <w14:solidFill>
              <w14:schemeClr w14:val="tx1"/>
            </w14:solidFill>
          </w14:textFill>
        </w:rPr>
        <w:t>服务</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color w:val="000000" w:themeColor="text1"/>
          <w:kern w:val="2"/>
          <w:sz w:val="44"/>
          <w:szCs w:val="44"/>
          <w:lang w:val="en" w:eastAsia="zh-CN" w:bidi="ar-SA"/>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 w:eastAsia="zh-CN" w:bidi="ar-SA"/>
          <w14:textFill>
            <w14:solidFill>
              <w14:schemeClr w14:val="tx1"/>
            </w14:solidFill>
          </w14:textFill>
        </w:rPr>
        <w:t>项目招标文件</w:t>
      </w:r>
    </w:p>
    <w:p>
      <w:pPr>
        <w:adjustRightInd w:val="0"/>
        <w:snapToGrid w:val="0"/>
        <w:spacing w:line="560" w:lineRule="exact"/>
        <w:rPr>
          <w:rFonts w:hint="eastAsia"/>
          <w:color w:val="000000" w:themeColor="text1"/>
          <w:lang w:val="en" w:eastAsia="zh-CN"/>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adjustRightInd w:val="0"/>
        <w:snapToGrid w:val="0"/>
        <w:spacing w:beforeAutospacing="0" w:line="560" w:lineRule="exact"/>
        <w:ind w:left="210" w:leftChars="0" w:firstLine="420" w:firstLineChars="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项目概况</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粤海街道办事处荣泰楼位于南山区后海大道2491号，本次招标内容为该办公楼的物业管理服务，为保障办公区域环境卫生与安全秩序工作的无缝衔接，确保物业服务达到既定标准，依据街道现行的《深圳市南山区粤海街道办事处货物、服务和工程项目自行采购管理制度》，现拟对该服务项目公开招标。</w:t>
      </w:r>
    </w:p>
    <w:p>
      <w:pPr>
        <w:widowControl w:val="0"/>
        <w:numPr>
          <w:ilvl w:val="0"/>
          <w:numId w:val="0"/>
        </w:numPr>
        <w:adjustRightInd w:val="0"/>
        <w:snapToGrid w:val="0"/>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项目名称：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粤海街道办事处荣泰楼物业管理服务项目。</w:t>
      </w:r>
    </w:p>
    <w:p>
      <w:pPr>
        <w:widowControl w:val="0"/>
        <w:numPr>
          <w:ilvl w:val="0"/>
          <w:numId w:val="0"/>
        </w:numPr>
        <w:adjustRightInd w:val="0"/>
        <w:snapToGrid w:val="0"/>
        <w:spacing w:line="56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项目预算：30万元。</w:t>
      </w:r>
    </w:p>
    <w:p>
      <w:pPr>
        <w:pStyle w:val="8"/>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60" w:lineRule="exact"/>
        <w:ind w:left="210" w:leftChars="0" w:right="0" w:rightChars="0" w:firstLine="420" w:firstLine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服务内容</w:t>
      </w:r>
    </w:p>
    <w:p>
      <w:pPr>
        <w:keepNext w:val="0"/>
        <w:keepLines w:val="0"/>
        <w:widowControl w:val="0"/>
        <w:numPr>
          <w:ilvl w:val="0"/>
          <w:numId w:val="0"/>
        </w:numPr>
        <w:suppressLineNumbers w:val="0"/>
        <w:adjustRightInd w:val="0"/>
        <w:snapToGrid w:val="0"/>
        <w:spacing w:line="560" w:lineRule="exact"/>
        <w:ind w:firstLine="640" w:firstLineChars="200"/>
        <w:jc w:val="left"/>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t>（一）保洁服务</w:t>
      </w:r>
    </w:p>
    <w:p>
      <w:pPr>
        <w:keepNext w:val="0"/>
        <w:keepLines w:val="0"/>
        <w:widowControl w:val="0"/>
        <w:numPr>
          <w:ilvl w:val="0"/>
          <w:numId w:val="0"/>
        </w:numPr>
        <w:suppressLineNumbers w:val="0"/>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保洁面积共3218.51平方米，共三层，日常配置2名保洁员，工作时长8小时。工作内容：</w:t>
      </w:r>
      <w:r>
        <w:rPr>
          <w:rFonts w:hint="eastAsia" w:ascii="仿宋_GB2312" w:hAnsi="仿宋_GB2312" w:eastAsia="仿宋_GB2312" w:cs="仿宋_GB2312"/>
          <w:i w:val="0"/>
          <w:caps w:val="0"/>
          <w:color w:val="000000" w:themeColor="text1"/>
          <w:spacing w:val="0"/>
          <w:kern w:val="2"/>
          <w:sz w:val="32"/>
          <w:szCs w:val="32"/>
          <w:shd w:val="clear"/>
          <w:lang w:val="en-US" w:eastAsia="zh-CN" w:bidi="ar-SA"/>
          <w14:textFill>
            <w14:solidFill>
              <w14:schemeClr w14:val="tx1"/>
            </w14:solidFill>
          </w14:textFill>
        </w:rPr>
        <w:t>明确各区域的每日/每周/每月保洁作业标准、频次、使用工具及清洁剂要求、垃圾收集与暂存要求、清运时间等。</w:t>
      </w:r>
    </w:p>
    <w:p>
      <w:pPr>
        <w:numPr>
          <w:ilvl w:val="-1"/>
          <w:numId w:val="0"/>
        </w:numPr>
        <w:adjustRightInd w:val="0"/>
        <w:snapToGrid w:val="0"/>
        <w:spacing w:line="560" w:lineRule="exact"/>
        <w:ind w:firstLine="640" w:firstLineChars="200"/>
        <w:jc w:val="left"/>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t>（</w:t>
      </w:r>
      <w:r>
        <w:rPr>
          <w:rFonts w:hint="eastAsia" w:ascii="楷体_GB2312" w:hAnsi="楷体_GB2312" w:eastAsia="楷体_GB2312" w:cs="楷体_GB2312"/>
          <w:color w:val="000000" w:themeColor="text1"/>
          <w:kern w:val="0"/>
          <w:sz w:val="32"/>
          <w:szCs w:val="32"/>
          <w:highlight w:val="none"/>
          <w:shd w:val="clear" w:color="auto" w:fill="auto"/>
          <w:lang w:val="en-US" w:eastAsia="zh-CN" w:bidi="zh-CN"/>
          <w14:textFill>
            <w14:solidFill>
              <w14:schemeClr w14:val="tx1"/>
            </w14:solidFill>
          </w14:textFill>
        </w:rPr>
        <w:t>二</w:t>
      </w:r>
      <w:r>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t>）安保服务</w:t>
      </w:r>
    </w:p>
    <w:p>
      <w:pPr>
        <w:numPr>
          <w:ilvl w:val="-1"/>
          <w:numId w:val="0"/>
        </w:numPr>
        <w:adjustRightInd w:val="0"/>
        <w:snapToGrid w:val="0"/>
        <w:spacing w:line="560" w:lineRule="exact"/>
        <w:ind w:firstLine="640" w:firstLineChars="200"/>
        <w:jc w:val="left"/>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安保岗1个，配置2名安保员。工作内容：明确日常安保值守与秩序维护管理制度、停车场管理、安全巡查路线、</w:t>
      </w:r>
      <w:r>
        <w:rPr>
          <w:rFonts w:hint="eastAsia" w:ascii="仿宋_GB2312" w:hAnsi="仿宋_GB2312" w:eastAsia="仿宋_GB2312" w:cs="仿宋_GB2312"/>
          <w:i w:val="0"/>
          <w:caps w:val="0"/>
          <w:color w:val="000000" w:themeColor="text1"/>
          <w:spacing w:val="0"/>
          <w:kern w:val="2"/>
          <w:sz w:val="32"/>
          <w:szCs w:val="32"/>
          <w:shd w:val="clear"/>
          <w:lang w:val="en-US" w:eastAsia="zh-CN" w:bidi="ar-SA"/>
          <w14:textFill>
            <w14:solidFill>
              <w14:schemeClr w14:val="tx1"/>
            </w14:solidFill>
          </w14:textFill>
        </w:rPr>
        <w:t>应急处置流程与报告机制等。</w:t>
      </w:r>
    </w:p>
    <w:p>
      <w:pPr>
        <w:pStyle w:val="8"/>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60" w:lineRule="exact"/>
        <w:ind w:left="210" w:leftChars="0" w:right="0" w:rightChars="0" w:firstLine="420" w:firstLineChars="0"/>
        <w:jc w:val="both"/>
        <w:textAlignment w:val="auto"/>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供应商资格要求</w:t>
      </w:r>
    </w:p>
    <w:p>
      <w:pPr>
        <w:ind w:firstLine="640" w:firstLineChars="200"/>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181717" w:themeColor="background2" w:themeShade="1A"/>
          <w:sz w:val="32"/>
          <w:szCs w:val="32"/>
        </w:rPr>
        <w:t>（一）具有独立法人资格或具有独立承担民事责任能力的其他组织，并具有相关经营范围【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具备《中华人民共和国政府采购法》第二十二条规定的条件；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参与本项目政府采购活动时不存在被有关部门禁止参与政府采购活动且在有效期内的情况；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参加本项目政府采购活动前三年内无行贿犯罪记录，不存在《深圳市财政局政府采购供应商信用信息管理办法》（深财规〔2023〕3号）列明的严重违法失信行为；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④</w:t>
      </w:r>
      <w:r>
        <w:rPr>
          <w:rFonts w:hint="eastAsia" w:ascii="仿宋_GB2312" w:hAnsi="仿宋_GB2312" w:eastAsia="仿宋_GB2312" w:cs="仿宋_GB2312"/>
          <w:color w:val="000000" w:themeColor="text1"/>
          <w:sz w:val="32"/>
          <w:szCs w:val="32"/>
          <w14:textFill>
            <w14:solidFill>
              <w14:schemeClr w14:val="tx1"/>
            </w14:solidFill>
          </w14:textFill>
        </w:rPr>
        <w:t>未被列入失信被执行人、重大税收违法案件当事人名单、政府采购严重违法失信行为记录名单；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⑤</w:t>
      </w:r>
      <w:r>
        <w:rPr>
          <w:rFonts w:hint="eastAsia" w:ascii="仿宋_GB2312" w:hAnsi="仿宋_GB2312" w:eastAsia="仿宋_GB2312" w:cs="仿宋_GB2312"/>
          <w:color w:val="000000" w:themeColor="text1"/>
          <w:sz w:val="32"/>
          <w:szCs w:val="32"/>
          <w14:textFill>
            <w14:solidFill>
              <w14:schemeClr w14:val="tx1"/>
            </w14:solidFill>
          </w14:textFill>
        </w:rPr>
        <w:t>除单一来源采购，为采购项目提供整体设计、规范编制或者项目管理、监理、检测等服务的供应商，不得再参加该采购项目的其他采购活动（须提供《政府采购投标及履约承诺函》）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numPr>
          <w:ilvl w:val="0"/>
          <w:numId w:val="0"/>
        </w:num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（四）本项目不接受联合体投标，不允许分包、转包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60" w:lineRule="exact"/>
        <w:ind w:left="210" w:leftChars="0" w:firstLine="420" w:firstLineChars="0"/>
        <w:textAlignment w:val="auto"/>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评标定标方法</w:t>
      </w:r>
    </w:p>
    <w:p>
      <w:pPr>
        <w:keepNext w:val="0"/>
        <w:keepLines w:val="0"/>
        <w:pageBreakBefore w:val="0"/>
        <w:kinsoku/>
        <w:wordWrap/>
        <w:overflowPunct/>
        <w:topLinePunct w:val="0"/>
        <w:autoSpaceDE/>
        <w:autoSpaceDN/>
        <w:bidi w:val="0"/>
        <w:adjustRightInd w:val="0"/>
        <w:snapToGrid w:val="0"/>
        <w:spacing w:beforeAutospacing="0" w:line="560" w:lineRule="exact"/>
        <w:ind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794"/>
        <w:gridCol w:w="1620"/>
        <w:gridCol w:w="885"/>
        <w:gridCol w:w="5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5" w:type="dxa"/>
            <w:vMerge w:val="restart"/>
            <w:tcBorders>
              <w:top w:val="single" w:color="000000" w:sz="8" w:space="0"/>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1</w:t>
            </w:r>
          </w:p>
        </w:tc>
        <w:tc>
          <w:tcPr>
            <w:tcW w:w="3299"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价格</w:t>
            </w:r>
            <w:r>
              <w:rPr>
                <w:rFonts w:hint="eastAsia" w:asciiTheme="minorEastAsia" w:hAnsiTheme="minorEastAsia"/>
                <w:b/>
                <w:bCs/>
                <w:color w:val="000000" w:themeColor="text1"/>
                <w:highlight w:val="none"/>
                <w:lang w:eastAsia="zh-CN"/>
                <w14:textFill>
                  <w14:solidFill>
                    <w14:schemeClr w14:val="tx1"/>
                  </w14:solidFill>
                </w14:textFill>
              </w:rPr>
              <w:t>部分</w:t>
            </w:r>
          </w:p>
        </w:tc>
        <w:tc>
          <w:tcPr>
            <w:tcW w:w="5338" w:type="dxa"/>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eastAsia="宋体"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14:textFill>
                  <w14:solidFill>
                    <w14:schemeClr w14:val="tx1"/>
                  </w14:solidFill>
                </w14:textFill>
              </w:rPr>
            </w:pPr>
          </w:p>
        </w:tc>
        <w:tc>
          <w:tcPr>
            <w:tcW w:w="8637"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1.本项目投标报价金额为所有服务内容的全部“单项服务报价（元）”的合计金额；</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 xml:space="preserve">2.采用低价优先法计算，即满足招标文件要求且投标价格最低的投标报价为评标基准价，其价格分为20分。其他投标人的价格分统一按照下列公式计算： </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投标报价得分=(评标基准价／投标报价)×20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2</w:t>
            </w:r>
          </w:p>
        </w:tc>
        <w:tc>
          <w:tcPr>
            <w:tcW w:w="3299"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技术部分</w:t>
            </w:r>
          </w:p>
        </w:tc>
        <w:tc>
          <w:tcPr>
            <w:tcW w:w="5338" w:type="dxa"/>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w:t>
            </w:r>
            <w:r>
              <w:rPr>
                <w:rFonts w:hint="default" w:asciiTheme="minorEastAsia" w:hAnsiTheme="minorEastAsia"/>
                <w:b/>
                <w:bCs/>
                <w:color w:val="000000" w:themeColor="text1"/>
                <w:highlight w:val="none"/>
                <w:lang w:val="en" w:eastAsia="zh-CN"/>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eastAsiaTheme="minorEastAsia"/>
                <w:color w:val="000000" w:themeColor="text1"/>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shd w:val="clear" w:color="auto" w:fill="auto"/>
                <w:lang w:val="en-US"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color w:val="000000" w:themeColor="text1"/>
                <w14:textFill>
                  <w14:solidFill>
                    <w14:schemeClr w14:val="tx1"/>
                  </w14:solidFill>
                </w14:textFill>
              </w:rPr>
            </w:pPr>
          </w:p>
        </w:tc>
        <w:tc>
          <w:tcPr>
            <w:tcW w:w="794" w:type="dxa"/>
            <w:tcBorders>
              <w:top w:val="single" w:color="000000" w:sz="8" w:space="0"/>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项目服务方案</w:t>
            </w:r>
          </w:p>
        </w:tc>
        <w:tc>
          <w:tcPr>
            <w:tcW w:w="885" w:type="dxa"/>
            <w:tcBorders>
              <w:top w:val="single" w:color="000000" w:sz="8" w:space="0"/>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b w:val="0"/>
                <w:bCs w:val="0"/>
                <w:color w:val="000000" w:themeColor="text1"/>
                <w:highlight w:val="none"/>
                <w:lang w:val="en" w:eastAsia="zh-CN"/>
                <w14:textFill>
                  <w14:solidFill>
                    <w14:schemeClr w14:val="tx1"/>
                  </w14:solidFill>
                </w14:textFill>
              </w:rPr>
              <w:t>3</w:t>
            </w:r>
          </w:p>
        </w:tc>
        <w:tc>
          <w:tcPr>
            <w:tcW w:w="5338" w:type="dxa"/>
            <w:tcBorders>
              <w:left w:val="single" w:color="000000" w:sz="8" w:space="0"/>
              <w:right w:val="single" w:color="000000" w:sz="8" w:space="0"/>
            </w:tcBorders>
          </w:tcPr>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（一）评分内容</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投标人需提供项目服务方案，服务方案包含但不限于：</w:t>
            </w:r>
          </w:p>
          <w:p>
            <w:pPr>
              <w:pStyle w:val="4"/>
              <w:keepNext w:val="0"/>
              <w:keepLines w:val="0"/>
              <w:numPr>
                <w:ilvl w:val="-1"/>
                <w:numId w:val="0"/>
              </w:numPr>
              <w:suppressLineNumbers w:val="0"/>
              <w:adjustRightInd w:val="0"/>
              <w:snapToGrid w:val="0"/>
              <w:spacing w:before="0" w:beforeAutospacing="0" w:after="0" w:afterAutospacing="0" w:line="560" w:lineRule="exact"/>
              <w:ind w:left="0" w:right="0" w:firstLine="420" w:firstLineChars="200"/>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1.基础服务规划（保洁、绿化、设施维护）；</w:t>
            </w:r>
          </w:p>
          <w:p>
            <w:pPr>
              <w:pStyle w:val="4"/>
              <w:keepNext w:val="0"/>
              <w:keepLines w:val="0"/>
              <w:numPr>
                <w:ilvl w:val="-1"/>
                <w:numId w:val="0"/>
              </w:numPr>
              <w:suppressLineNumbers w:val="0"/>
              <w:adjustRightInd w:val="0"/>
              <w:snapToGrid w:val="0"/>
              <w:spacing w:before="0" w:beforeAutospacing="0" w:after="0" w:afterAutospacing="0" w:line="560" w:lineRule="exact"/>
              <w:ind w:left="0" w:right="0" w:firstLine="420" w:firstLineChars="200"/>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2.安全管理方案（秩序、消防、应急）；</w:t>
            </w:r>
          </w:p>
          <w:p>
            <w:pPr>
              <w:pStyle w:val="4"/>
              <w:keepNext w:val="0"/>
              <w:keepLines w:val="0"/>
              <w:numPr>
                <w:ilvl w:val="-1"/>
                <w:numId w:val="0"/>
              </w:numPr>
              <w:suppressLineNumbers w:val="0"/>
              <w:adjustRightInd w:val="0"/>
              <w:snapToGrid w:val="0"/>
              <w:spacing w:before="0" w:beforeAutospacing="0" w:after="0" w:afterAutospacing="0" w:line="560" w:lineRule="exact"/>
              <w:ind w:left="0" w:right="0" w:firstLine="420" w:firstLineChars="200"/>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3.服务优化（贴合街道物业管理需求、创新增值服务）；</w:t>
            </w:r>
          </w:p>
          <w:p>
            <w:pPr>
              <w:pStyle w:val="4"/>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ind w:left="0" w:right="0" w:firstLine="420" w:firstLineChars="200"/>
              <w:jc w:val="left"/>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4.服务质量管控（有明确考核、监督机制）。</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（二）评分依据</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投标人提供的项目服务方案每满足以上1点要求的得</w:t>
            </w:r>
            <w:r>
              <w:rPr>
                <w:rFonts w:hint="eastAsia" w:asciiTheme="minorEastAsia" w:hAnsiTheme="minorEastAsia"/>
                <w:b w:val="0"/>
                <w:bCs w:val="0"/>
                <w:color w:val="000000" w:themeColor="text1"/>
                <w:highlight w:val="none"/>
                <w:lang w:val="en-US" w:eastAsia="zh-CN"/>
                <w14:textFill>
                  <w14:solidFill>
                    <w14:schemeClr w14:val="tx1"/>
                  </w14:solidFill>
                </w14:textFill>
              </w:rPr>
              <w:t>5</w:t>
            </w:r>
            <w:r>
              <w:rPr>
                <w:rFonts w:hint="eastAsia" w:asciiTheme="minorEastAsia" w:hAnsiTheme="minorEastAsia"/>
                <w:b w:val="0"/>
                <w:bCs w:val="0"/>
                <w:color w:val="000000" w:themeColor="text1"/>
                <w:highlight w:val="none"/>
                <w14:textFill>
                  <w14:solidFill>
                    <w14:schemeClr w14:val="tx1"/>
                  </w14:solidFill>
                </w14:textFill>
              </w:rPr>
              <w:t>分，最高得</w:t>
            </w:r>
            <w:r>
              <w:rPr>
                <w:rFonts w:hint="eastAsia" w:asciiTheme="minorEastAsia" w:hAnsiTheme="minorEastAsia"/>
                <w:b w:val="0"/>
                <w:bCs w:val="0"/>
                <w:color w:val="000000" w:themeColor="text1"/>
                <w:highlight w:val="none"/>
                <w:lang w:val="en-US" w:eastAsia="zh-CN"/>
                <w14:textFill>
                  <w14:solidFill>
                    <w14:schemeClr w14:val="tx1"/>
                  </w14:solidFill>
                </w14:textFill>
              </w:rPr>
              <w:t>20</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在此基础上，评委会根据相应情况进行打分：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优：方案内容完整、科学合理、清晰准确，得</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default" w:asciiTheme="minorEastAsia" w:hAnsiTheme="minorEastAsia"/>
                <w:b w:val="0"/>
                <w:bCs w:val="0"/>
                <w:color w:val="000000" w:themeColor="text1"/>
                <w:highlight w:val="none"/>
                <w:lang w:val="en" w:eastAsia="zh-CN"/>
                <w14:textFill>
                  <w14:solidFill>
                    <w14:schemeClr w14:val="tx1"/>
                  </w14:solidFill>
                </w14:textFill>
              </w:rPr>
              <w:t>0</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default" w:asciiTheme="minorEastAsia" w:hAnsiTheme="minorEastAsia"/>
                <w:b w:val="0"/>
                <w:bCs w:val="0"/>
                <w:color w:val="000000" w:themeColor="text1"/>
                <w:highlight w:val="none"/>
                <w:lang w:val="en" w:eastAsia="zh-CN"/>
                <w14:textFill>
                  <w14:solidFill>
                    <w14:schemeClr w14:val="tx1"/>
                  </w14:solidFill>
                </w14:textFill>
              </w:rPr>
              <w:t>3</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良：方案内容较为完整、较为合理、较为清晰，得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b w:val="0"/>
                <w:bCs w:val="0"/>
                <w:color w:val="000000" w:themeColor="text1"/>
                <w:highlight w:val="none"/>
                <w:lang w:val="en" w:eastAsia="zh-CN"/>
                <w14:textFill>
                  <w14:solidFill>
                    <w14:schemeClr w14:val="tx1"/>
                  </w14:solidFill>
                </w14:textFill>
              </w:rPr>
              <w:t>9</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中：方案内容有部分缺少、基本合理、基本清晰，得</w:t>
            </w:r>
            <w:r>
              <w:rPr>
                <w:rFonts w:hint="eastAsia" w:asciiTheme="minorEastAsia" w:hAnsiTheme="minorEastAsia"/>
                <w:b w:val="0"/>
                <w:bCs w:val="0"/>
                <w:color w:val="000000" w:themeColor="text1"/>
                <w:highlight w:val="none"/>
                <w:lang w:val="en-US" w:eastAsia="zh-CN"/>
                <w14:textFill>
                  <w14:solidFill>
                    <w14:schemeClr w14:val="tx1"/>
                  </w14:solidFill>
                </w14:textFill>
              </w:rPr>
              <w:t>1-5</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差：方案存在内容严重缺失、不合理、不清晰任一情形的，得0分。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420" w:firstLineChars="200"/>
              <w:jc w:val="left"/>
              <w:textAlignment w:val="auto"/>
              <w:rPr>
                <w:rFonts w:hint="default"/>
                <w:b w:val="0"/>
                <w:bCs w:val="0"/>
                <w:color w:val="000000" w:themeColor="text1"/>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以上两点累积相加，满分为</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b w:val="0"/>
                <w:bCs w:val="0"/>
                <w:color w:val="000000" w:themeColor="text1"/>
                <w:highlight w:val="none"/>
                <w:lang w:val="en" w:eastAsia="zh-CN"/>
                <w14:textFill>
                  <w14:solidFill>
                    <w14:schemeClr w14:val="tx1"/>
                  </w14:solidFill>
                </w14:textFill>
              </w:rPr>
              <w:t>3</w:t>
            </w:r>
            <w:r>
              <w:rPr>
                <w:rFonts w:hint="eastAsia" w:asciiTheme="minorEastAsia" w:hAnsiTheme="minorEastAsia"/>
                <w:b w:val="0"/>
                <w:bCs w:val="0"/>
                <w:color w:val="000000" w:themeColor="text1"/>
                <w:highlight w:val="none"/>
                <w14:textFill>
                  <w14:solidFill>
                    <w14:schemeClr w14:val="tx1"/>
                  </w14:solidFill>
                </w14:textFill>
              </w:rPr>
              <w:t>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b/>
                <w:bCs/>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w:t>
            </w:r>
          </w:p>
        </w:tc>
        <w:tc>
          <w:tcPr>
            <w:tcW w:w="3299" w:type="dxa"/>
            <w:gridSpan w:val="3"/>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综合实力</w:t>
            </w:r>
          </w:p>
        </w:tc>
        <w:tc>
          <w:tcPr>
            <w:tcW w:w="5338" w:type="dxa"/>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4</w:t>
            </w:r>
            <w:r>
              <w:rPr>
                <w:rFonts w:hint="default" w:asciiTheme="minorEastAsia" w:hAnsiTheme="minorEastAsia"/>
                <w:b/>
                <w:bCs/>
                <w:color w:val="000000" w:themeColor="text1"/>
                <w:highlight w:val="none"/>
                <w:lang w:val="en" w:eastAsia="zh-CN"/>
                <w14:textFill>
                  <w14:solidFill>
                    <w14:schemeClr w14:val="tx1"/>
                  </w14:solidFill>
                </w14:textFill>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5"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top"/>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EEBF6" w:themeFill="accent1" w:themeFillTint="32"/>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99"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color w:val="000000" w:themeColor="text1"/>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210" w:firstLineChars="100"/>
              <w:jc w:val="both"/>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tcFitText/>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color w:val="000000" w:themeColor="text1"/>
                <w14:textFill>
                  <w14:solidFill>
                    <w14:schemeClr w14:val="tx1"/>
                  </w14:solidFill>
                </w14:textFill>
              </w:rPr>
            </w:pPr>
            <w: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t>企业认证情况</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b w:val="0"/>
                <w:bCs w:val="0"/>
                <w:color w:val="000000" w:themeColor="text1"/>
                <w:highlight w:val="none"/>
                <w:lang w:val="en" w:eastAsia="zh-CN"/>
                <w14:textFill>
                  <w14:solidFill>
                    <w14:schemeClr w14:val="tx1"/>
                  </w14:solidFill>
                </w14:textFill>
              </w:rPr>
              <w:t>8</w:t>
            </w:r>
          </w:p>
        </w:tc>
        <w:tc>
          <w:tcPr>
            <w:tcW w:w="5338" w:type="dxa"/>
            <w:tcBorders>
              <w:left w:val="single" w:color="000000" w:sz="8" w:space="0"/>
              <w:right w:val="single" w:color="000000" w:sz="8" w:space="0"/>
            </w:tcBorders>
            <w:vAlign w:val="center"/>
          </w:tcPr>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(一)评分内容：</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投标人具备有效期内的认证证书：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1</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质量管理体系认证证书；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2</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环境管理体系认证证书；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3</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职业健康管理体系认证证书；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w:t>
            </w:r>
            <w:r>
              <w:rPr>
                <w:rFonts w:hint="eastAsia" w:asciiTheme="minorEastAsia" w:hAnsiTheme="minorEastAsia"/>
                <w:b w:val="0"/>
                <w:bCs w:val="0"/>
                <w:color w:val="000000" w:themeColor="text1"/>
                <w:highlight w:val="none"/>
                <w:lang w:eastAsia="zh-CN"/>
                <w14:textFill>
                  <w14:solidFill>
                    <w14:schemeClr w14:val="tx1"/>
                  </w14:solidFill>
                </w14:textFill>
              </w:rPr>
              <w:t>诚信管理体系认证证书；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5</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物业管理服务(五星级)认证证书；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6</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生活垃圾分类服务能力认证证书；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7</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履约能力达标测评认证证书；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default" w:asciiTheme="minorEastAsia" w:hAnsiTheme="minorEastAsia"/>
                <w:b w:val="0"/>
                <w:bCs w:val="0"/>
                <w:color w:val="000000" w:themeColor="text1"/>
                <w:highlight w:val="none"/>
                <w:lang w:val="en" w:eastAsia="zh-CN"/>
                <w14:textFill>
                  <w14:solidFill>
                    <w14:schemeClr w14:val="tx1"/>
                  </w14:solidFill>
                </w14:textFill>
              </w:rPr>
              <w:t>8</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应急预案管理能力评价认证证书。</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(二)评分标准：</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default" w:asciiTheme="minorEastAsia" w:hAnsiTheme="minorEastAsia"/>
                <w:b w:val="0"/>
                <w:bCs w:val="0"/>
                <w:color w:val="000000" w:themeColor="text1"/>
                <w:highlight w:val="none"/>
                <w:lang w:val="en" w:eastAsia="zh-CN"/>
                <w14:textFill>
                  <w14:solidFill>
                    <w14:schemeClr w14:val="tx1"/>
                  </w14:solidFill>
                </w14:textFill>
              </w:rPr>
            </w:pPr>
            <w:r>
              <w:rPr>
                <w:rFonts w:hint="default" w:asciiTheme="minorEastAsia" w:hAnsiTheme="minorEastAsia"/>
                <w:b w:val="0"/>
                <w:bCs w:val="0"/>
                <w:color w:val="000000" w:themeColor="text1"/>
                <w:highlight w:val="none"/>
                <w:lang w:val="en" w:eastAsia="zh-CN"/>
                <w14:textFill>
                  <w14:solidFill>
                    <w14:schemeClr w14:val="tx1"/>
                  </w14:solidFill>
                </w14:textFill>
              </w:rPr>
              <w:t>每</w:t>
            </w:r>
            <w:r>
              <w:rPr>
                <w:rFonts w:hint="eastAsia" w:asciiTheme="minorEastAsia" w:hAnsiTheme="minorEastAsia"/>
                <w:b w:val="0"/>
                <w:bCs w:val="0"/>
                <w:color w:val="000000" w:themeColor="text1"/>
                <w:highlight w:val="none"/>
                <w:lang w:eastAsia="zh-CN"/>
                <w14:textFill>
                  <w14:solidFill>
                    <w14:schemeClr w14:val="tx1"/>
                  </w14:solidFill>
                </w14:textFill>
              </w:rPr>
              <w:t>提供1项有效认证证书得</w:t>
            </w:r>
            <w:r>
              <w:rPr>
                <w:rFonts w:hint="default" w:asciiTheme="minorEastAsia" w:hAnsiTheme="minorEastAsia"/>
                <w:b w:val="0"/>
                <w:bCs w:val="0"/>
                <w:color w:val="000000" w:themeColor="text1"/>
                <w:highlight w:val="none"/>
                <w:lang w:val="en" w:eastAsia="zh-CN"/>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default" w:asciiTheme="minorEastAsia" w:hAnsiTheme="minorEastAsia"/>
                <w:b w:val="0"/>
                <w:bCs w:val="0"/>
                <w:color w:val="000000" w:themeColor="text1"/>
                <w:highlight w:val="none"/>
                <w:lang w:val="en" w:eastAsia="zh-CN"/>
                <w14:textFill>
                  <w14:solidFill>
                    <w14:schemeClr w14:val="tx1"/>
                  </w14:solidFill>
                </w14:textFill>
              </w:rPr>
              <w:t>最高得分8分。</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(三)评分依据：</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1</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要求提供相关认证证书等证明材料作为得分依据。</w:t>
            </w:r>
          </w:p>
          <w:p>
            <w:pPr>
              <w:keepNext w:val="0"/>
              <w:keepLines w:val="0"/>
              <w:widowControl w:val="0"/>
              <w:suppressLineNumbers w:val="0"/>
              <w:wordWrap w:val="0"/>
              <w:adjustRightInd w:val="0"/>
              <w:snapToGrid w:val="0"/>
              <w:spacing w:before="0" w:beforeAutospacing="0" w:after="0" w:afterAutospacing="0" w:line="560" w:lineRule="exact"/>
              <w:ind w:left="0" w:right="0" w:firstLine="420" w:firstLineChars="200"/>
              <w:jc w:val="left"/>
              <w:rPr>
                <w:rFonts w:hint="default"/>
                <w:b w:val="0"/>
                <w:bCs w:val="0"/>
                <w:lang w:eastAsia="zh-CN"/>
              </w:rPr>
            </w:pPr>
            <w:r>
              <w:rPr>
                <w:rFonts w:hint="eastAsia" w:asciiTheme="minorEastAsia" w:hAnsiTheme="minorEastAsia"/>
                <w:b w:val="0"/>
                <w:bCs w:val="0"/>
                <w:color w:val="000000" w:themeColor="text1"/>
                <w:highlight w:val="none"/>
                <w:lang w:eastAsia="zh-CN"/>
                <w14:textFill>
                  <w14:solidFill>
                    <w14:schemeClr w14:val="tx1"/>
                  </w14:solidFill>
                </w14:textFill>
              </w:rPr>
              <w:t>2</w:t>
            </w:r>
            <w:r>
              <w:rPr>
                <w:rFonts w:hint="eastAsia"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30"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color w:val="000000" w:themeColor="text1"/>
                <w14:textFill>
                  <w14:solidFill>
                    <w14:schemeClr w14:val="tx1"/>
                  </w14:solidFill>
                </w14:textFill>
              </w:rPr>
            </w:pPr>
            <w: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t>同类项目业绩</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210" w:firstLineChars="100"/>
              <w:jc w:val="both"/>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15</w:t>
            </w:r>
          </w:p>
        </w:tc>
        <w:tc>
          <w:tcPr>
            <w:tcW w:w="5338" w:type="dxa"/>
            <w:tcBorders>
              <w:left w:val="single" w:color="000000" w:sz="8" w:space="0"/>
              <w:right w:val="single" w:color="000000" w:sz="8" w:space="0"/>
            </w:tcBorders>
            <w:vAlign w:val="center"/>
          </w:tcPr>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t>(一)评分内容：</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t>投标人2022年1月1日以后，有承接同类型物业管理服务业绩的，每提供一项业绩得3分，最高得15分。</w:t>
            </w:r>
            <w:r>
              <w:rPr>
                <w:rFonts w:hint="eastAsia" w:asciiTheme="minorEastAsia" w:hAnsiTheme="minorEastAsia"/>
                <w:b w:val="0"/>
                <w:i w:val="0"/>
                <w:caps w:val="0"/>
                <w:color w:val="000000" w:themeColor="text1"/>
                <w:spacing w:val="0"/>
                <w:sz w:val="21"/>
                <w:szCs w:val="24"/>
                <w:highlight w:val="none"/>
                <w:shd w:val="clear"/>
                <w:lang w:val="en-US" w:eastAsia="zh-CN"/>
                <w14:textFill>
                  <w14:solidFill>
                    <w14:schemeClr w14:val="tx1"/>
                  </w14:solidFill>
                </w14:textFill>
              </w:rPr>
              <w:t xml:space="preserve">    </w:t>
            </w:r>
            <w:r>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t>(二)评分依据：</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14:textFill>
                  <w14:solidFill>
                    <w14:schemeClr w14:val="tx1"/>
                  </w14:solidFill>
                </w14:textFill>
              </w:rPr>
              <w:t>业绩时间以合同签订时间为准。供应商应提供服务业绩关键页证明材料。同一项目不同年份的合同按一份业绩计算，不重复计算业绩分数。同一业主在同一招标/采购项目中续签的合同不重复计分。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heme="minorHAnsi" w:hAnsiTheme="minorHAnsi"/>
                <w:b w:val="0"/>
                <w:bCs w:val="0"/>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both"/>
              <w:rPr>
                <w:rFonts w:hint="eastAsia" w:asciiTheme="minorEastAsia" w:hAnsiTheme="minorEastAsia"/>
                <w:b w:val="0"/>
                <w:bCs w:val="0"/>
                <w:color w:val="000000" w:themeColor="text1"/>
                <w:highlight w:val="none"/>
                <w:lang w:val="en-US" w:eastAsia="zh-CN"/>
                <w14:textFill>
                  <w14:solidFill>
                    <w14:schemeClr w14:val="tx1"/>
                  </w14:solidFill>
                </w14:textFill>
              </w:rPr>
            </w:pP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210" w:firstLineChars="100"/>
              <w:jc w:val="both"/>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color w:val="000000" w:themeColor="text1"/>
                <w14:textFill>
                  <w14:solidFill>
                    <w14:schemeClr w14:val="tx1"/>
                  </w14:solidFill>
                </w14:textFill>
              </w:rPr>
            </w:pPr>
            <w: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t>项目团队配备</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color w:val="000000" w:themeColor="text1"/>
                <w:lang w:val="en-US" w:eastAsia="zh-CN"/>
                <w14:textFill>
                  <w14:solidFill>
                    <w14:schemeClr w14:val="tx1"/>
                  </w14:solidFill>
                </w14:textFill>
              </w:rPr>
            </w:pPr>
          </w:p>
          <w:p>
            <w:pPr>
              <w:pStyle w:val="4"/>
              <w:keepNext w:val="0"/>
              <w:keepLines w:val="0"/>
              <w:suppressLineNumbers w:val="0"/>
              <w:adjustRightInd w:val="0"/>
              <w:snapToGrid w:val="0"/>
              <w:spacing w:before="0" w:beforeAutospacing="0" w:after="0" w:afterAutospacing="0" w:line="560" w:lineRule="exact"/>
              <w:ind w:left="0" w:right="0" w:firstLine="210" w:firstLineChars="100"/>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5338" w:type="dxa"/>
            <w:tcBorders>
              <w:left w:val="single" w:color="000000" w:sz="8" w:space="0"/>
              <w:right w:val="single" w:color="000000" w:sz="8" w:space="0"/>
            </w:tcBorders>
          </w:tcPr>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(一)评分内容：</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拟安排项目主要团队成员为投标单位员工，否则该人员情况不计分。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1.</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环境主管(仅限1人):</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(1)具有管理或物业或经济相关专业大学专科或以上学历；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2</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)具有应急管理紧急救援促进中心颁发的应急救援员证书；</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3</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)具有中华人民共和国住房和城乡建设部颁发的高级保洁员证书；</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4</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)具有市级或以上政府部门或行业协会颁发的个人</w:t>
            </w:r>
            <w:r>
              <w:rPr>
                <w:rFonts w:hint="default" w:asciiTheme="minorEastAsia" w:hAnsiTheme="minorEastAsia"/>
                <w:b w:val="0"/>
                <w:i w:val="0"/>
                <w:caps w:val="0"/>
                <w:color w:val="000000" w:themeColor="text1"/>
                <w:spacing w:val="0"/>
                <w:sz w:val="21"/>
                <w:szCs w:val="24"/>
                <w:highlight w:val="none"/>
                <w:shd w:val="clear"/>
                <w:lang w:val="en" w:bidi="ar"/>
                <w14:textFill>
                  <w14:solidFill>
                    <w14:schemeClr w14:val="tx1"/>
                  </w14:solidFill>
                </w14:textFill>
              </w:rPr>
              <w:t>劳动模范、先进工作者、五一劳动奖章</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荣誉。</w:t>
            </w:r>
            <w:r>
              <w:rPr>
                <w:rFonts w:hint="default" w:asciiTheme="minorEastAsia" w:hAnsiTheme="minorEastAsia"/>
                <w:b w:val="0"/>
                <w:i w:val="0"/>
                <w:caps w:val="0"/>
                <w:color w:val="000000" w:themeColor="text1"/>
                <w:spacing w:val="0"/>
                <w:sz w:val="21"/>
                <w:szCs w:val="24"/>
                <w:highlight w:val="none"/>
                <w:shd w:val="clear"/>
                <w:lang w:val="en" w:bidi="ar"/>
                <w14:textFill>
                  <w14:solidFill>
                    <w14:schemeClr w14:val="tx1"/>
                  </w14:solidFill>
                </w14:textFill>
              </w:rPr>
              <w:t>（只需提供一项即可得分）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2</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保安(秩序维护)队长(仅限1人):</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(1)具有管理或物业或经济相关专业大学专科或以上学历；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(2)具有退伍军人证的；</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(3)具有消防职业技能鉴定指导中心颁发的建(构)筑物消防员证书；</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(4)具有人社部门颁发的二级或以上保安员证书。</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(二)评分标准：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default" w:asciiTheme="minorEastAsia" w:hAnsiTheme="minorEastAsia"/>
                <w:b w:val="0"/>
                <w:bCs w:val="0"/>
                <w:color w:val="000000" w:themeColor="text1"/>
                <w:highlight w:val="none"/>
                <w:lang w:val="en" w:eastAsia="zh-CN"/>
                <w14:textFill>
                  <w14:solidFill>
                    <w14:schemeClr w14:val="tx1"/>
                  </w14:solidFill>
                </w14:textFill>
              </w:rPr>
              <w:t>每</w:t>
            </w:r>
            <w:r>
              <w:rPr>
                <w:rFonts w:hint="eastAsia" w:asciiTheme="minorEastAsia" w:hAnsiTheme="minorEastAsia"/>
                <w:b w:val="0"/>
                <w:bCs w:val="0"/>
                <w:color w:val="000000" w:themeColor="text1"/>
                <w:highlight w:val="none"/>
                <w:lang w:eastAsia="zh-CN"/>
                <w14:textFill>
                  <w14:solidFill>
                    <w14:schemeClr w14:val="tx1"/>
                  </w14:solidFill>
                </w14:textFill>
              </w:rPr>
              <w:t>提供1项有效认证证书得</w:t>
            </w:r>
            <w:r>
              <w:rPr>
                <w:rFonts w:hint="default" w:asciiTheme="minorEastAsia" w:hAnsiTheme="minorEastAsia"/>
                <w:b w:val="0"/>
                <w:bCs w:val="0"/>
                <w:color w:val="000000" w:themeColor="text1"/>
                <w:highlight w:val="none"/>
                <w:lang w:val="en" w:eastAsia="zh-CN"/>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以上累计得分，最高得16分，同一人不重复计分。</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(三)评分依据：</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1</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要求提供通过投标人缴纳的近三个月的社保证明(补缴无效)作为本单位员工的证明依据。</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2</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以上资料均要求提供扫描件(或官方网站截图)，原件备查。</w:t>
            </w:r>
          </w:p>
          <w:p>
            <w:pPr>
              <w:keepNext w:val="0"/>
              <w:keepLines w:val="0"/>
              <w:widowControl w:val="0"/>
              <w:numPr>
                <w:ilvl w:val="-1"/>
                <w:numId w:val="0"/>
              </w:numPr>
              <w:suppressLineNumbers w:val="0"/>
              <w:shd w:val="clear"/>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3</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提供学历证书扫描件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pPr>
              <w:keepNext w:val="0"/>
              <w:keepLines w:val="0"/>
              <w:numPr>
                <w:ilvl w:val="-1"/>
                <w:numId w:val="0"/>
              </w:numPr>
              <w:suppressLineNumbers w:val="0"/>
              <w:wordWrap w:val="0"/>
              <w:adjustRightInd w:val="0"/>
              <w:snapToGrid w:val="0"/>
              <w:spacing w:before="0" w:beforeAutospacing="0" w:after="0" w:afterAutospacing="0" w:line="560" w:lineRule="exact"/>
              <w:ind w:left="0" w:right="0" w:firstLine="420" w:firstLineChars="200"/>
              <w:jc w:val="left"/>
              <w:rPr>
                <w:rFonts w:hint="eastAsia" w:asciiTheme="minorEastAsia" w:hAnsiTheme="minorEastAsia"/>
                <w:b w:val="0"/>
                <w:bCs w:val="0"/>
                <w:color w:val="000000" w:themeColor="text1"/>
                <w:szCs w:val="24"/>
                <w:highlight w:val="none"/>
                <w:lang w:val="en-US" w:eastAsia="zh-CN"/>
                <w14:textFill>
                  <w14:solidFill>
                    <w14:schemeClr w14:val="tx1"/>
                  </w14:solidFill>
                </w14:textFill>
              </w:rPr>
            </w:pP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4</w:t>
            </w:r>
            <w:r>
              <w:rPr>
                <w:rFonts w:hint="eastAsia" w:asciiTheme="minorEastAsia" w:hAnsiTheme="minorEastAsia"/>
                <w:b w:val="0"/>
                <w:i w:val="0"/>
                <w:caps w:val="0"/>
                <w:color w:val="000000" w:themeColor="text1"/>
                <w:spacing w:val="0"/>
                <w:sz w:val="21"/>
                <w:szCs w:val="24"/>
                <w:highlight w:val="none"/>
                <w:shd w:val="clear"/>
                <w:lang w:val="en-US" w:eastAsia="zh-CN" w:bidi="ar"/>
                <w14:textFill>
                  <w14:solidFill>
                    <w14:schemeClr w14:val="tx1"/>
                  </w14:solidFill>
                </w14:textFill>
              </w:rPr>
              <w:t>.</w:t>
            </w:r>
            <w:r>
              <w:rPr>
                <w:rFonts w:hint="eastAsia" w:asciiTheme="minorEastAsia" w:hAnsiTheme="minorEastAsia"/>
                <w:b w:val="0"/>
                <w:i w:val="0"/>
                <w:caps w:val="0"/>
                <w:color w:val="000000" w:themeColor="text1"/>
                <w:spacing w:val="0"/>
                <w:sz w:val="21"/>
                <w:szCs w:val="24"/>
                <w:highlight w:val="none"/>
                <w:shd w:val="clear"/>
                <w:lang w:bidi="ar"/>
                <w14:textFill>
                  <w14:solidFill>
                    <w14:schemeClr w14:val="tx1"/>
                  </w14:solidFill>
                </w14:textFill>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69" w:hRule="atLeast"/>
          <w:jc w:val="center"/>
        </w:trPr>
        <w:tc>
          <w:tcPr>
            <w:tcW w:w="435" w:type="dxa"/>
            <w:tcBorders>
              <w:left w:val="single" w:color="000000" w:sz="8" w:space="0"/>
              <w:right w:val="single" w:color="000000" w:sz="8" w:space="0"/>
            </w:tcBorders>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w:t>
            </w:r>
          </w:p>
        </w:tc>
        <w:tc>
          <w:tcPr>
            <w:tcW w:w="162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pPr>
          </w:p>
          <w:p>
            <w:pPr>
              <w:keepNext w:val="0"/>
              <w:keepLines w:val="0"/>
              <w:widowControl w:val="0"/>
              <w:suppressLineNumbers w:val="0"/>
              <w:adjustRightInd w:val="0"/>
              <w:snapToGrid w:val="0"/>
              <w:spacing w:before="0" w:beforeAutospacing="0" w:after="0" w:afterAutospacing="0" w:line="560" w:lineRule="exact"/>
              <w:ind w:left="0" w:right="0" w:firstLine="210" w:firstLineChars="100"/>
              <w:jc w:val="both"/>
              <w:rPr>
                <w:rFonts w:hint="default"/>
                <w:color w:val="000000" w:themeColor="text1"/>
                <w14:textFill>
                  <w14:solidFill>
                    <w14:schemeClr w14:val="tx1"/>
                  </w14:solidFill>
                </w14:textFill>
              </w:rPr>
            </w:pPr>
            <w:r>
              <w:rPr>
                <w:rFonts w:hint="default" w:ascii="Ubuntu" w:hAnsi="Ubuntu" w:eastAsia="Ubuntu" w:cs="Ubuntu"/>
                <w:i w:val="0"/>
                <w:caps w:val="0"/>
                <w:color w:val="000000" w:themeColor="text1"/>
                <w:spacing w:val="0"/>
                <w:kern w:val="0"/>
                <w:sz w:val="21"/>
                <w:szCs w:val="21"/>
                <w:shd w:val="clear" w:fill="FFFFFF"/>
                <w:lang w:val="en-US" w:eastAsia="zh-CN" w:bidi="ar"/>
                <w14:textFill>
                  <w14:solidFill>
                    <w14:schemeClr w14:val="tx1"/>
                  </w14:solidFill>
                </w14:textFill>
              </w:rPr>
              <w:t>企业荣誉</w:t>
            </w:r>
          </w:p>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eastAsia" w:asciiTheme="minorEastAsia" w:hAnsiTheme="minorEastAsia"/>
                <w:b w:val="0"/>
                <w:bCs w:val="0"/>
                <w:color w:val="000000" w:themeColor="text1"/>
                <w:highlight w:val="none"/>
                <w:lang w:eastAsia="zh-CN"/>
                <w14:textFill>
                  <w14:solidFill>
                    <w14:schemeClr w14:val="tx1"/>
                  </w14:solidFill>
                </w14:textFill>
              </w:rPr>
            </w:pP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8</w:t>
            </w:r>
          </w:p>
        </w:tc>
        <w:tc>
          <w:tcPr>
            <w:tcW w:w="5338" w:type="dxa"/>
            <w:tcBorders>
              <w:left w:val="single" w:color="000000" w:sz="8" w:space="0"/>
              <w:right w:val="single" w:color="000000" w:sz="8" w:space="0"/>
            </w:tcBorders>
            <w:vAlign w:val="center"/>
          </w:tcPr>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(一)评分内容：</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1.2020年度至2024年度，投标人获得国家税务</w:t>
            </w:r>
            <w:r>
              <w:rPr>
                <w:rFonts w:hint="eastAsia" w:asciiTheme="minorEastAsia" w:hAnsi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总</w:t>
            </w: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局年度的A级纳税人评价；</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连续</w:t>
            </w:r>
            <w:r>
              <w:rPr>
                <w:rFonts w:hint="default" w:asciiTheme="minorEastAsia" w:hAnsiTheme="minorEastAsia" w:cstheme="minorBidi"/>
                <w:b w:val="0"/>
                <w:bCs w:val="0"/>
                <w:i w:val="0"/>
                <w:iCs w:val="0"/>
                <w:color w:val="000000" w:themeColor="text1"/>
                <w:kern w:val="2"/>
                <w:sz w:val="21"/>
                <w:szCs w:val="24"/>
                <w:highlight w:val="none"/>
                <w:u w:val="none"/>
                <w:lang w:val="en" w:eastAsia="zh-CN" w:bidi="ar"/>
                <w14:textFill>
                  <w14:solidFill>
                    <w14:schemeClr w14:val="tx1"/>
                  </w14:solidFill>
                </w14:textFill>
              </w:rPr>
              <w:t>四至</w:t>
            </w: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五年获得得4分，连续</w:t>
            </w:r>
            <w:r>
              <w:rPr>
                <w:rFonts w:hint="default" w:asciiTheme="minorEastAsia" w:hAnsiTheme="minorEastAsia" w:cstheme="minorBidi"/>
                <w:b w:val="0"/>
                <w:bCs w:val="0"/>
                <w:i w:val="0"/>
                <w:iCs w:val="0"/>
                <w:color w:val="000000" w:themeColor="text1"/>
                <w:kern w:val="2"/>
                <w:sz w:val="21"/>
                <w:szCs w:val="24"/>
                <w:highlight w:val="none"/>
                <w:u w:val="none"/>
                <w:lang w:val="en" w:eastAsia="zh-CN" w:bidi="ar"/>
                <w14:textFill>
                  <w14:solidFill>
                    <w14:schemeClr w14:val="tx1"/>
                  </w14:solidFill>
                </w14:textFill>
              </w:rPr>
              <w:t>二至三</w:t>
            </w: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年获得得2分，其余不得分，本小项最高得4分；</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2.2021年1月至今，投标人(含分公司)物业管理项目获得政府部门或行业协会颁发的荣誉的：省级得4分，地市级得2分，同一项目不累计得分，本项最高分为4分。</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(二)评分依据：</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1</w:t>
            </w:r>
            <w:r>
              <w:rPr>
                <w:rFonts w:hint="eastAsia" w:asciiTheme="minorEastAsia" w:hAnsi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要求提供奖项照片或获奖(荣誉)证书或官方网站查询截图等材料作为得分依据。</w:t>
            </w:r>
          </w:p>
          <w:p>
            <w:pPr>
              <w:keepNext w:val="0"/>
              <w:keepLines w:val="0"/>
              <w:widowControl w:val="0"/>
              <w:numPr>
                <w:ilvl w:val="0"/>
                <w:numId w:val="0"/>
              </w:numPr>
              <w:suppressLineNumbers w:val="0"/>
              <w:wordWrap w:val="0"/>
              <w:adjustRightInd w:val="0"/>
              <w:snapToGrid w:val="0"/>
              <w:spacing w:before="0" w:beforeAutospacing="0" w:after="0" w:afterAutospacing="0" w:line="560" w:lineRule="exact"/>
              <w:ind w:left="0" w:right="0" w:firstLine="420" w:firstLineChars="200"/>
              <w:jc w:val="left"/>
              <w:textAlignment w:val="auto"/>
              <w:rPr>
                <w:rFonts w:hint="default" w:asciiTheme="minorHAnsi" w:hAnsiTheme="minorHAnsi" w:eastAsiaTheme="minorEastAsia" w:cstheme="minorBidi"/>
                <w:b w:val="0"/>
                <w:bCs w:val="0"/>
                <w:i w:val="0"/>
                <w:iCs w:val="0"/>
                <w:kern w:val="2"/>
                <w:sz w:val="21"/>
                <w:szCs w:val="24"/>
                <w:u w:val="none"/>
                <w:lang w:val="en-US" w:eastAsia="zh-CN" w:bidi="ar-SA"/>
              </w:rPr>
            </w:pP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2</w:t>
            </w:r>
            <w:r>
              <w:rPr>
                <w:rFonts w:hint="eastAsia" w:asciiTheme="minorEastAsia" w:hAnsi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Bidi"/>
                <w:b w:val="0"/>
                <w:bCs w:val="0"/>
                <w:i w:val="0"/>
                <w:iCs w:val="0"/>
                <w:color w:val="000000" w:themeColor="text1"/>
                <w:kern w:val="2"/>
                <w:sz w:val="21"/>
                <w:szCs w:val="24"/>
                <w:highlight w:val="none"/>
                <w:u w:val="none"/>
                <w:lang w:val="en-US" w:eastAsia="zh-CN" w:bidi="ar"/>
                <w14:textFill>
                  <w14:solidFill>
                    <w14:schemeClr w14:val="tx1"/>
                  </w14:solidFill>
                </w14:textFill>
              </w:rPr>
              <w:t>投标人物业管理项目要求提供奖项或获奖(荣誉)证书(扫描件)和获奖项目对应的合同(扫描件)。不提供或者无法证明的不得分。</w:t>
            </w:r>
          </w:p>
        </w:tc>
      </w:tr>
    </w:tbl>
    <w:p>
      <w:pPr>
        <w:adjustRightInd w:val="0"/>
        <w:snapToGrid w:val="0"/>
        <w:spacing w:line="560" w:lineRule="exact"/>
        <w:ind w:firstLine="640" w:firstLineChars="200"/>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14:textFill>
            <w14:solidFill>
              <w14:schemeClr w14:val="tx1"/>
            </w14:solidFill>
          </w14:textFill>
        </w:rPr>
        <w:t>五、商务需求</w:t>
      </w:r>
    </w:p>
    <w:p>
      <w:pPr>
        <w:adjustRightInd w:val="0"/>
        <w:snapToGrid w:val="0"/>
        <w:spacing w:line="560" w:lineRule="exact"/>
        <w:ind w:firstLine="640" w:firstLineChars="200"/>
        <w:jc w:val="left"/>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（一）服务期</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本项目为长期服务项目，</w:t>
      </w:r>
      <w:r>
        <w:rPr>
          <w:rFonts w:hint="eastAsia" w:ascii="仿宋_GB2312" w:hAnsi="仿宋_GB2312" w:eastAsia="仿宋_GB2312" w:cs="仿宋_GB2312"/>
          <w:color w:val="000000" w:themeColor="text1"/>
          <w:sz w:val="32"/>
          <w:szCs w:val="32"/>
          <w14:textFill>
            <w14:solidFill>
              <w14:schemeClr w14:val="tx1"/>
            </w14:solidFill>
          </w14:textFill>
        </w:rPr>
        <w:t>自合同签订之日起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，合同期满可以续签，但合同履行期限最长不得超过三十六个月。如甲方对履约情况不满意，甲方不再续约。</w:t>
      </w:r>
    </w:p>
    <w:p>
      <w:pPr>
        <w:adjustRightInd w:val="0"/>
        <w:snapToGrid w:val="0"/>
        <w:spacing w:line="560" w:lineRule="exact"/>
        <w:ind w:firstLine="640" w:firstLineChars="200"/>
        <w:jc w:val="left"/>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（二）服务地点</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深圳市南山区粤海街道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辖区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adjustRightInd w:val="0"/>
        <w:snapToGrid w:val="0"/>
        <w:spacing w:line="560" w:lineRule="exact"/>
        <w:ind w:firstLine="0" w:firstLineChars="0"/>
        <w:jc w:val="left"/>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w:t>
      </w:r>
      <w:r>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t>三</w:t>
      </w: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）报价要求</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1.本项目服务费采用包干制，应包括服务成本、法定税费</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利润。由投标供应商根据采购文件所提供的资料自行测算投标报价；一经中标，报价总价作为中标供应商与采购人签订的合同金额，合同期限内不做调整。</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2.投标供应商的报价不得超过项目预算金额。</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3.投标供应商的报价，应当是本项目采购范围和采购文件及合同条款上所列的各项内容中所述的全部，不得以任何理由予以重复。</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4.投标供应商不得期望通过索赔等方式获取补偿，否则，除可能遭到拒绝外，还可能将被作为不良行为记录在案，并可能影响其以后参加政府采购的项目投标。各投标供应商在报价时，应充分考虑报价的风险。</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56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6.投标人应充分了解项目的位置、情况、道路及任何其它足以影响投标报价的情况，任何因忽视或误解项目情况而导致的索赔或服务期限延长申请将不获批准。</w:t>
      </w:r>
    </w:p>
    <w:p>
      <w:pPr>
        <w:adjustRightInd w:val="0"/>
        <w:snapToGrid w:val="0"/>
        <w:spacing w:line="560" w:lineRule="exact"/>
        <w:ind w:firstLine="640" w:firstLineChars="200"/>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w:t>
      </w:r>
      <w:r>
        <w:rPr>
          <w:rFonts w:hint="eastAsia" w:ascii="楷体_GB2312" w:hAnsi="楷体_GB2312" w:eastAsia="楷体_GB2312" w:cs="楷体_GB2312"/>
          <w:color w:val="000000" w:themeColor="text1"/>
          <w:kern w:val="0"/>
          <w:sz w:val="32"/>
          <w:szCs w:val="32"/>
          <w:highlight w:val="none"/>
          <w:shd w:val="clear" w:color="auto" w:fill="auto"/>
          <w:lang w:val="en" w:eastAsia="zh-CN" w:bidi="zh-CN"/>
          <w14:textFill>
            <w14:solidFill>
              <w14:schemeClr w14:val="tx1"/>
            </w14:solidFill>
          </w14:textFill>
        </w:rPr>
        <w:t>四</w:t>
      </w:r>
      <w:r>
        <w:rPr>
          <w:rFonts w:hint="eastAsia" w:ascii="楷体_GB2312" w:hAnsi="楷体_GB2312" w:eastAsia="楷体_GB2312" w:cs="楷体_GB2312"/>
          <w:color w:val="000000" w:themeColor="text1"/>
          <w:kern w:val="0"/>
          <w:sz w:val="32"/>
          <w:szCs w:val="32"/>
          <w:highlight w:val="none"/>
          <w:shd w:val="clear" w:color="auto" w:fill="auto"/>
          <w:lang w:val="en" w:bidi="zh-CN"/>
          <w14:textFill>
            <w14:solidFill>
              <w14:schemeClr w14:val="tx1"/>
            </w14:solidFill>
          </w14:textFill>
        </w:rPr>
        <w:t>）付款方式</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按照区财政局的支付要求和采购人内部管理制度进行支付，具体以合同签订为准。</w:t>
      </w:r>
    </w:p>
    <w:p>
      <w:pPr>
        <w:adjustRightInd w:val="0"/>
        <w:snapToGrid w:val="0"/>
        <w:spacing w:line="560" w:lineRule="exact"/>
        <w:ind w:firstLine="480" w:firstLineChars="150"/>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14:textFill>
            <w14:solidFill>
              <w14:schemeClr w14:val="tx1"/>
            </w14:solidFill>
          </w14:textFill>
        </w:rPr>
        <w:t>六、投标文件编制</w:t>
      </w:r>
    </w:p>
    <w:p>
      <w:pPr>
        <w:adjustRightInd w:val="0"/>
        <w:snapToGrid w:val="0"/>
        <w:spacing w:line="560" w:lineRule="exact"/>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投标文件一正四副（副本可采用正本盖章复印件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正本与副本须分别装订成册，不得采用活页夹。投标文件须编制目录，并且逐页标注连续页码，否则，采购人对由于投标文件装订松散而造成的丢失或其他后果不承担任何责任。</w:t>
      </w:r>
      <w:r>
        <w:rPr>
          <w:rFonts w:hint="eastAsia" w:ascii="仿宋_GB2312" w:hAnsi="仿宋_GB2312" w:eastAsia="仿宋_GB2312" w:cs="仿宋_GB2312"/>
          <w:color w:val="000000" w:themeColor="text1"/>
          <w:sz w:val="32"/>
          <w:szCs w:val="32"/>
          <w14:textFill>
            <w14:solidFill>
              <w14:schemeClr w14:val="tx1"/>
            </w14:solidFill>
          </w14:textFill>
        </w:rPr>
        <w:t>），要求按以下顺序编制，并密封包装：</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1.投标报名表</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2.报价一览表</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3.投标人资质条件</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3.1营业执照复印件加盖公章</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3.2法人证明及法人身份证复印件或法人授权委托书及</w:t>
      </w:r>
      <w:r>
        <w:rPr>
          <w:rFonts w:hint="eastAsia" w:ascii="仿宋_GB2312" w:hAnsi="仿宋_GB2312" w:eastAsia="仿宋_GB2312" w:cs="仿宋_GB2312"/>
          <w:color w:val="000000" w:themeColor="text1"/>
          <w:sz w:val="32"/>
          <w:szCs w:val="32"/>
          <w:lang w:eastAsia="zh-CN"/>
          <w14:textFill>
            <w14:solidFill>
              <w14:schemeClr w14:val="tx1"/>
            </w14:solidFill>
          </w14:textFill>
        </w:rPr>
        <w:t>被</w:t>
      </w:r>
      <w:r>
        <w:rPr>
          <w:rFonts w:hint="eastAsia" w:ascii="仿宋_GB2312" w:hAnsi="仿宋_GB2312" w:eastAsia="仿宋_GB2312" w:cs="仿宋_GB2312"/>
          <w:color w:val="000000" w:themeColor="text1"/>
          <w:sz w:val="32"/>
          <w:szCs w:val="32"/>
          <w14:textFill>
            <w14:solidFill>
              <w14:schemeClr w14:val="tx1"/>
            </w14:solidFill>
          </w14:textFill>
        </w:rPr>
        <w:t>委托</w:t>
      </w:r>
      <w:r>
        <w:rPr>
          <w:rFonts w:hint="eastAsia" w:ascii="仿宋_GB2312" w:hAnsi="仿宋_GB2312" w:eastAsia="仿宋_GB2312" w:cs="仿宋_GB2312"/>
          <w:color w:val="000000" w:themeColor="text1"/>
          <w:sz w:val="32"/>
          <w:szCs w:val="32"/>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14:textFill>
            <w14:solidFill>
              <w14:schemeClr w14:val="tx1"/>
            </w14:solidFill>
          </w14:textFill>
        </w:rPr>
        <w:t>身份证复印件</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.技术部分</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.综合实力部分</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.投标人认为需要补充的资料（由投标人自定）</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7.政府采购投标及履约承诺函</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8.供应商基本情况表</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F49DB"/>
    <w:rsid w:val="00274770"/>
    <w:rsid w:val="0D5E041F"/>
    <w:rsid w:val="0EE93BB2"/>
    <w:rsid w:val="1001211D"/>
    <w:rsid w:val="160F49DB"/>
    <w:rsid w:val="1A7438A6"/>
    <w:rsid w:val="1FCF6E92"/>
    <w:rsid w:val="1FFA7034"/>
    <w:rsid w:val="20E9401B"/>
    <w:rsid w:val="21A96606"/>
    <w:rsid w:val="238C76B6"/>
    <w:rsid w:val="2D7D38C2"/>
    <w:rsid w:val="2FCD7CEB"/>
    <w:rsid w:val="31803638"/>
    <w:rsid w:val="36FDA6BB"/>
    <w:rsid w:val="38E3A091"/>
    <w:rsid w:val="3D873D63"/>
    <w:rsid w:val="47FF1B5C"/>
    <w:rsid w:val="56AEB639"/>
    <w:rsid w:val="59EB17AB"/>
    <w:rsid w:val="5BBDAD23"/>
    <w:rsid w:val="5BF88803"/>
    <w:rsid w:val="5E6F7656"/>
    <w:rsid w:val="5F6FFF27"/>
    <w:rsid w:val="5FEF7FAB"/>
    <w:rsid w:val="5FFCC0CA"/>
    <w:rsid w:val="67FE22EB"/>
    <w:rsid w:val="6AFF6B5B"/>
    <w:rsid w:val="6BFEB94C"/>
    <w:rsid w:val="6DFAAA6A"/>
    <w:rsid w:val="6E97A0EB"/>
    <w:rsid w:val="6FE582D7"/>
    <w:rsid w:val="71B9467E"/>
    <w:rsid w:val="71C43173"/>
    <w:rsid w:val="74DF9C8E"/>
    <w:rsid w:val="74FD8C52"/>
    <w:rsid w:val="75F989C2"/>
    <w:rsid w:val="766F13FF"/>
    <w:rsid w:val="775E1A68"/>
    <w:rsid w:val="796FB6C0"/>
    <w:rsid w:val="7A9E23C3"/>
    <w:rsid w:val="7BA65482"/>
    <w:rsid w:val="7BFA55E9"/>
    <w:rsid w:val="7DDE229E"/>
    <w:rsid w:val="7EA810A6"/>
    <w:rsid w:val="7F5FA8CB"/>
    <w:rsid w:val="7F7EB8AB"/>
    <w:rsid w:val="7FDF9539"/>
    <w:rsid w:val="7FE51A25"/>
    <w:rsid w:val="7FFC34AA"/>
    <w:rsid w:val="87BF7F22"/>
    <w:rsid w:val="8FEFFCD3"/>
    <w:rsid w:val="9CA7C73E"/>
    <w:rsid w:val="A68FFC80"/>
    <w:rsid w:val="B77F5A0D"/>
    <w:rsid w:val="BC9F1113"/>
    <w:rsid w:val="BCB42027"/>
    <w:rsid w:val="BE7F3DEB"/>
    <w:rsid w:val="CB7D0B6F"/>
    <w:rsid w:val="DB9F0C60"/>
    <w:rsid w:val="DFEDBC06"/>
    <w:rsid w:val="DFEFB889"/>
    <w:rsid w:val="DFFFE278"/>
    <w:rsid w:val="E7F5322C"/>
    <w:rsid w:val="E7FBD041"/>
    <w:rsid w:val="F3DFD339"/>
    <w:rsid w:val="F61B0604"/>
    <w:rsid w:val="F6CB64FB"/>
    <w:rsid w:val="F71B6379"/>
    <w:rsid w:val="F7EF57DF"/>
    <w:rsid w:val="F7FAA731"/>
    <w:rsid w:val="F9DF5D2E"/>
    <w:rsid w:val="FAE7C8C2"/>
    <w:rsid w:val="FBAF2F40"/>
    <w:rsid w:val="FBCA0EF0"/>
    <w:rsid w:val="FBDB65C9"/>
    <w:rsid w:val="FBF742E4"/>
    <w:rsid w:val="FD93ED23"/>
    <w:rsid w:val="FDEF1A79"/>
    <w:rsid w:val="FDF6775F"/>
    <w:rsid w:val="FDFDC74B"/>
    <w:rsid w:val="FED54F29"/>
    <w:rsid w:val="FEED62DA"/>
    <w:rsid w:val="FF679F70"/>
    <w:rsid w:val="FFF56766"/>
    <w:rsid w:val="FFFAD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next w:val="1"/>
    <w:link w:val="13"/>
    <w:qFormat/>
    <w:uiPriority w:val="0"/>
    <w:pPr>
      <w:spacing w:after="120"/>
    </w:pPr>
  </w:style>
  <w:style w:type="paragraph" w:styleId="4">
    <w:name w:val="Plain Text"/>
    <w:basedOn w:val="1"/>
    <w:qFormat/>
    <w:uiPriority w:val="0"/>
    <w:rPr>
      <w:rFonts w:ascii="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unhideWhenUsed/>
    <w:qFormat/>
    <w:uiPriority w:val="99"/>
    <w:pPr>
      <w:ind w:firstLine="420" w:firstLineChars="100"/>
    </w:pPr>
  </w:style>
  <w:style w:type="paragraph" w:customStyle="1" w:styleId="12">
    <w:name w:val="_Style 1"/>
    <w:basedOn w:val="1"/>
    <w:next w:val="1"/>
    <w:unhideWhenUsed/>
    <w:qFormat/>
    <w:uiPriority w:val="99"/>
    <w:pPr>
      <w:ind w:firstLine="420" w:firstLineChars="200"/>
    </w:pPr>
    <w:rPr>
      <w:rFonts w:hint="eastAsia"/>
    </w:rPr>
  </w:style>
  <w:style w:type="character" w:customStyle="1" w:styleId="13">
    <w:name w:val="正文文本 Char"/>
    <w:basedOn w:val="11"/>
    <w:link w:val="3"/>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2910</Words>
  <Characters>2994</Characters>
  <Lines>0</Lines>
  <Paragraphs>0</Paragraphs>
  <TotalTime>42</TotalTime>
  <ScaleCrop>false</ScaleCrop>
  <LinksUpToDate>false</LinksUpToDate>
  <CharactersWithSpaces>2997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2025-01-09T14:26:00Z</dcterms:created>
  <dc:creator>admin</dc:creator>
  <cp:lastModifiedBy>钟海锐</cp:lastModifiedBy>
  <cp:lastPrinted>2026-01-16T02:38:00Z</cp:lastPrinted>
  <dcterms:modified xsi:type="dcterms:W3CDTF">2026-01-20T09:57:49Z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4723B68868F349B59B92526CA46A2144</vt:lpwstr>
  </property>
  <property fmtid="{D5CDD505-2E9C-101B-9397-08002B2CF9AE}" pid="4" name="KSOTemplateDocerSaveRecord">
    <vt:lpwstr>eyJoZGlkIjoiMzQ1MWYxNjE5YmQ1NjMxMjEwZDg1MDBmMDQ0ZjhkYTciLCJ1c2VySWQiOiIzODQyMDgxMTIifQ==</vt:lpwstr>
  </property>
</Properties>
</file>