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rPr>
          <w:lang w:val="en"/>
        </w:rPr>
      </w:pPr>
      <w:bookmarkStart w:id="0" w:name="_GoBack"/>
      <w:bookmarkEnd w:id="0"/>
    </w:p>
    <w:p>
      <w:pPr>
        <w:widowControl/>
        <w:spacing w:line="560" w:lineRule="exact"/>
        <w:jc w:val="center"/>
        <w:rPr>
          <w:rFonts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
        </w:rPr>
        <w:t>深圳市南山区粤海街道办事处全媒体视觉内容创作与管理服务项目招标文件</w:t>
      </w:r>
      <w:r>
        <w:fldChar w:fldCharType="begin"/>
      </w:r>
      <w:r>
        <w:instrText xml:space="preserve"> HYPERLINK "https://service.weibo.com/share/share.php?url=http://www.szns.gov.cn/xxgk/qzfxxgkml/tzgg/content/post_10724510.html&amp;title=%E5%8D%97%E5%B1%B1%E5%8C%BA%E6%8B%9B%E5%95%86%E8%A1%97%E9%81%93%E5%8D%8A%E5%B2%9B%E8%8A%B1%E5%9B%ADA%E5%8C%BA%E8%80%81%E6%97%A7%E5%B0%8F%E5%8C%BA%E6%94%B9%E9%80%A0%E5%B7%A5%E7%A8%8B%E8%AE%BE%E8%AE%A1%E6%8B%9B%E6%A0%87%E5%85%AC%E5%91%8A&amp;pic=http://www.szns.gov.cn/header/n_guohui.png&amp;appkey=" \t "http://www.szns.gov.cn/xxgk/qzfxxgkml/tzgg/content/_blank" </w:instrText>
      </w:r>
      <w:r>
        <w:fldChar w:fldCharType="separate"/>
      </w:r>
      <w:r>
        <w:fldChar w:fldCharType="end"/>
      </w:r>
      <w:r>
        <w:fldChar w:fldCharType="begin"/>
      </w:r>
      <w:r>
        <w:instrText xml:space="preserve"> HYPERLINK "http://connect.qq.com/widget/shareqq/index.html?url=http://www.szns.gov.cn/xxgk/qzfxxgkml/tzgg/content/post_10724510.html&amp;title=%E5%8D%97%E5%B1%B1%E5%8C%BA%E6%8B%9B%E5%95%86%E8%A1%97%E9%81%93%E5%8D%8A%E5%B2%9B%E8%8A%B1%E5%9B%ADA%E5%8C%BA%E8%80%81%E6%97%A7%E5%B0%8F%E5%8C%BA%E6%94%B9%E9%80%A0%E5%B7%A5%E7%A8%8B%E8%AE%BE%E8%AE%A1%E6%8B%9B%E6%A0%87%E5%85%AC%E5%91%8A&amp;source=%E5%8D%97%E5%B1%B1%E5%8C%BA%E6%8B%9B%E5%95%86%E8%A1%97%E9%81%93%E5%8D%8A%E5%B2%9B%E8%8A%B1%E5%9B%ADA%E5%8C%BA%E8%80%81%E6%97%A7%E5%B0%8F%E5%8C%BA%E6%94%B9%E9%80%A0%E5%B7%A5%E7%A8%8B%E8%AE%BE%E8%AE%A1%E6%8B%9B%E6%A0%87%E5%85%AC%E5%91%8A&amp;desc=%E6%B7%B1%E5%9C%B3%E5%B8%82%E5%8D%97%E5%B1%B1%E5%8C%BA%E4%BA%BA%E6%B0%91%E6%94%BF%E5%BA%9C%E7%BD%91%E7%AB%99&amp;pics=http://www.szns.gov.cn/header/n_guohui.png" \t "http://www.szns.gov.cn/xxgk/qzfxxgkml/tzgg/content/_blank" </w:instrText>
      </w:r>
      <w:r>
        <w:fldChar w:fldCharType="separate"/>
      </w:r>
      <w:r>
        <w:fldChar w:fldCharType="end"/>
      </w:r>
      <w:r>
        <w:fldChar w:fldCharType="begin"/>
      </w:r>
      <w:r>
        <w:instrText xml:space="preserve"> HYPERLINK "http://sns.qzone.qq.com/cgi-bin/qzshare/cgi_qzshare_onekey?url=http://www.szns.gov.cn/xxgk/qzfxxgkml/tzgg/content/post_10724510.html&amp;title=%E5%8D%97%E5%B1%B1%E5%8C%BA%E6%8B%9B%E5%95%86%E8%A1%97%E9%81%93%E5%8D%8A%E5%B2%9B%E8%8A%B1%E5%9B%ADA%E5%8C%BA%E8%80%81%E6%97%A7%E5%B0%8F%E5%8C%BA%E6%94%B9%E9%80%A0%E5%B7%A5%E7%A8%8B%E8%AE%BE%E8%AE%A1%E6%8B%9B%E6%A0%87%E5%85%AC%E5%91%8A&amp;desc=%E6%B7%B1%E5%9C%B3%E5%B8%82%E5%8D%97%E5%B1%B1%E5%8C%BA%E4%BA%BA%E6%B0%91%E6%94%BF%E5%BA%9C%E7%BD%91%E7%AB%99&amp;summary=%E6%B7%B1%E5%9C%B3%E5%B8%82%E5%8D%97%E5%B1%B1%E5%8C%BA%E4%BA%BA%E6%B0%91%E6%94%BF%E5%BA%9C%E7%BD%91%E7%AB%99&amp;site=%E5%8D%97%E5%B1%B1%E5%8C%BA%E6%8B%9B%E5%95%86%E8%A1%97%E9%81%93%E5%8D%8A%E5%B2%9B%E8%8A%B1%E5%9B%ADA%E5%8C%BA%E8%80%81%E6%97%A7%E5%B0%8F%E5%8C%BA%E6%94%B9%E9%80%A0%E5%B7%A5%E7%A8%8B%E8%AE%BE%E8%AE%A1%E6%8B%9B%E6%A0%87%E5%85%AC%E5%91%8A&amp;pics=http://www.szns.gov.cn/header/n_guohui.png" \t "http://www.szns.gov.cn/xxgk/qzfxxgkml/tzgg/content/_blank" </w:instrText>
      </w:r>
      <w:r>
        <w:fldChar w:fldCharType="separate"/>
      </w:r>
      <w:r>
        <w:fldChar w:fldCharType="end"/>
      </w:r>
    </w:p>
    <w:p>
      <w:pPr>
        <w:widowControl/>
        <w:spacing w:before="120" w:after="120" w:line="240" w:lineRule="atLeast"/>
        <w:ind w:right="105" w:rightChars="50"/>
        <w:rPr>
          <w:shd w:val="clear" w:color="auto" w:fill="FFFFFF"/>
        </w:rPr>
      </w:pPr>
    </w:p>
    <w:p>
      <w:pPr>
        <w:spacing w:line="560" w:lineRule="exact"/>
        <w:ind w:firstLine="640" w:firstLineChars="200"/>
        <w:rPr>
          <w:rFonts w:ascii="仿宋_GB2312" w:eastAsia="仿宋_GB2312"/>
          <w:kern w:val="2"/>
          <w:sz w:val="32"/>
          <w:szCs w:val="32"/>
        </w:rPr>
      </w:pPr>
      <w:r>
        <w:rPr>
          <w:rFonts w:hint="eastAsia" w:ascii="黑体" w:hAnsi="黑体" w:eastAsia="黑体" w:cs="宋体"/>
          <w:bCs/>
          <w:kern w:val="2"/>
          <w:sz w:val="32"/>
          <w:szCs w:val="32"/>
        </w:rPr>
        <w:t>一、采购项目概况</w:t>
      </w:r>
    </w:p>
    <w:p>
      <w:p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满足新形势下全媒体宣传需求，实现街道视觉内容的“专业化生产、系统化管理、全场景应用”，有效提升街道内外部宣传的整体水平与影响力，同时为街道积累并盘活宝贵的数字视觉资产，拟从专业第三方采购全媒体视觉内容创作与管理服务。</w:t>
      </w:r>
    </w:p>
    <w:p>
      <w:pPr>
        <w:widowControl/>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项目名称：深圳市南山区粤海街道办事处全媒体视觉内容创作与管理服务项目</w:t>
      </w:r>
    </w:p>
    <w:p>
      <w:pPr>
        <w:widowControl/>
        <w:spacing w:line="560" w:lineRule="exact"/>
        <w:ind w:firstLine="640" w:firstLineChars="200"/>
      </w:pPr>
      <w:r>
        <w:rPr>
          <w:rFonts w:hint="eastAsia" w:ascii="仿宋_GB2312" w:hAnsi="仿宋_GB2312" w:eastAsia="仿宋_GB2312" w:cs="仿宋_GB2312"/>
          <w:kern w:val="2"/>
          <w:sz w:val="32"/>
          <w:szCs w:val="32"/>
        </w:rPr>
        <w:t>项目预算：29万元</w:t>
      </w:r>
    </w:p>
    <w:p>
      <w:pPr>
        <w:widowControl/>
        <w:spacing w:line="560" w:lineRule="exact"/>
        <w:ind w:firstLine="800" w:firstLineChars="250"/>
        <w:rPr>
          <w:rFonts w:ascii="仿宋_GB2312" w:hAnsi="仿宋_GB2312" w:eastAsia="仿宋_GB2312" w:cs="仿宋_GB2312"/>
          <w:kern w:val="2"/>
          <w:sz w:val="32"/>
          <w:szCs w:val="32"/>
        </w:rPr>
      </w:pPr>
      <w:r>
        <w:rPr>
          <w:rFonts w:hint="eastAsia" w:ascii="黑体" w:hAnsi="黑体" w:eastAsia="黑体" w:cs="宋体"/>
          <w:bCs/>
          <w:kern w:val="2"/>
          <w:sz w:val="32"/>
          <w:szCs w:val="32"/>
        </w:rPr>
        <w:t>二、项目需求</w:t>
      </w:r>
    </w:p>
    <w:p>
      <w:pPr>
        <w:widowControl/>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具体工作内容包含但不限于：</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一是全媒体内容创作：</w:t>
      </w:r>
      <w:r>
        <w:rPr>
          <w:rFonts w:hint="eastAsia" w:ascii="仿宋_GB2312" w:hAnsi="仿宋_GB2312" w:eastAsia="仿宋_GB2312" w:cs="仿宋_GB2312"/>
          <w:sz w:val="32"/>
          <w:szCs w:val="32"/>
        </w:rPr>
        <w:t>包括但不限于街道重要会议、活动的照片及视频现场拍摄；街道宣传短片、专题短片、纪录短片的策划与剪辑制作。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二是视觉资产管理系统性服务：</w:t>
      </w:r>
      <w:r>
        <w:rPr>
          <w:rFonts w:hint="eastAsia" w:ascii="仿宋_GB2312" w:hAnsi="仿宋_GB2312" w:eastAsia="仿宋_GB2312" w:cs="仿宋_GB2312"/>
          <w:sz w:val="32"/>
          <w:szCs w:val="32"/>
        </w:rPr>
        <w:t>对创作产生的所有原始及成品数字素材进行科学的分类、标签化处理、长期归档存储及管理，提供便捷的检索与调用支持。</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三是平面设计：</w:t>
      </w:r>
      <w:r>
        <w:rPr>
          <w:rFonts w:hint="eastAsia" w:ascii="仿宋_GB2312" w:hAnsi="仿宋_GB2312" w:eastAsia="仿宋_GB2312" w:cs="仿宋_GB2312"/>
          <w:sz w:val="32"/>
          <w:szCs w:val="32"/>
        </w:rPr>
        <w:t>包括街道宣传海报等平面宣传产品的设计。</w:t>
      </w:r>
    </w:p>
    <w:p>
      <w:pPr>
        <w:widowControl/>
        <w:spacing w:line="560" w:lineRule="exact"/>
        <w:ind w:firstLine="640" w:firstLineChars="200"/>
        <w:rPr>
          <w:rFonts w:ascii="黑体" w:hAnsi="黑体" w:eastAsia="黑体" w:cs="宋体"/>
          <w:bCs/>
          <w:kern w:val="2"/>
          <w:sz w:val="32"/>
          <w:szCs w:val="32"/>
        </w:rPr>
      </w:pPr>
      <w:r>
        <w:rPr>
          <w:rFonts w:hint="eastAsia" w:ascii="黑体" w:hAnsi="黑体" w:eastAsia="黑体" w:cs="宋体"/>
          <w:bCs/>
          <w:kern w:val="2"/>
          <w:sz w:val="32"/>
          <w:szCs w:val="32"/>
        </w:rPr>
        <w:t>三、供应商资格要求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具有独立法人资格或具有独立承担民事责任能力的其他组织，并具有相关经营范围【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已由集团（或总公司）授权的，集团（或总公司）取得的相关资质证书对分公司有效，法律法规或者行业另有规定的除外。</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①具备《中华人民共和国政府采购法》第二十二条规定的条件；②参与本项目政府采购活动时不存在被有关部门禁止参与政府采购活动且在有效期内的情况；③参加本项目政府采购活动前三年内无行贿犯罪记录，不存在《深圳市财政局政府采购供应商信用信息管理办法》（深财规〔2023〕3号）列明的严重违法失信行为；④未被列入失信被执行人、重大税收违法案件当事人名单、政府采购严重违法失信行为记录名单；⑤除单一来源采购，为采购项目提供整体设计、规范编制或者项目管理、监理、检测等服务的供应商，不得再参加该采购项目的其他采购活动（须提供《政府采购投标及履约承诺函》）</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（四）本项目不接受联合体投标，不允许分包、转包</w:t>
      </w:r>
      <w:r>
        <w:rPr>
          <w:rFonts w:hint="eastAsia" w:ascii="仿宋_GB2312" w:hAnsi="仿宋_GB2312" w:eastAsia="仿宋_GB2312" w:cs="仿宋_GB2312"/>
          <w:sz w:val="32"/>
          <w:szCs w:val="32"/>
          <w:lang w:eastAsia="zh-CN"/>
        </w:rPr>
        <w:t>。</w:t>
      </w:r>
    </w:p>
    <w:p>
      <w:pPr>
        <w:spacing w:line="560" w:lineRule="exact"/>
        <w:ind w:firstLine="640" w:firstLineChars="200"/>
        <w:rPr>
          <w:rFonts w:ascii="黑体" w:hAnsi="黑体" w:eastAsia="黑体" w:cs="宋体"/>
          <w:bCs/>
          <w:kern w:val="2"/>
          <w:sz w:val="32"/>
          <w:szCs w:val="32"/>
        </w:rPr>
      </w:pPr>
      <w:r>
        <w:rPr>
          <w:rFonts w:hint="eastAsia" w:ascii="黑体" w:hAnsi="黑体" w:eastAsia="黑体" w:cs="宋体"/>
          <w:bCs/>
          <w:kern w:val="2"/>
          <w:sz w:val="32"/>
          <w:szCs w:val="32"/>
        </w:rPr>
        <w:t>五、评标定标方法</w:t>
      </w:r>
    </w:p>
    <w:p>
      <w:pPr>
        <w:spacing w:line="560" w:lineRule="exact"/>
        <w:ind w:firstLine="640" w:firstLineChars="200"/>
      </w:pPr>
      <w:r>
        <w:rPr>
          <w:rFonts w:hint="eastAsia" w:ascii="仿宋_GB2312" w:eastAsia="仿宋_GB2312"/>
          <w:kern w:val="2"/>
          <w:sz w:val="32"/>
          <w:szCs w:val="32"/>
        </w:rPr>
        <w:t>本项目采用综合评分法：是指在最大限度满足采购文件实质性要求前提下，按照采购文件规定的各项因素进行量化打分，最终按照评标总得分由高至低排序推荐候选中标人或中标人的评标方法。</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35"/>
        <w:gridCol w:w="644"/>
        <w:gridCol w:w="1440"/>
        <w:gridCol w:w="1290"/>
        <w:gridCol w:w="526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line="276" w:lineRule="auto"/>
              <w:jc w:val="center"/>
              <w:rPr>
                <w:rFonts w:ascii="宋体" w:hAnsi="宋体"/>
                <w:b/>
                <w:bCs/>
                <w:color w:val="000000"/>
              </w:rPr>
            </w:pPr>
            <w:r>
              <w:rPr>
                <w:rFonts w:ascii="宋体" w:hAnsi="宋体"/>
                <w:b/>
                <w:bCs/>
                <w:color w:val="000000"/>
              </w:rPr>
              <w:t>序号</w:t>
            </w:r>
          </w:p>
        </w:tc>
        <w:tc>
          <w:tcPr>
            <w:tcW w:w="3374"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line="276" w:lineRule="auto"/>
              <w:jc w:val="center"/>
              <w:rPr>
                <w:rFonts w:ascii="宋体" w:hAnsi="宋体"/>
                <w:b/>
                <w:bCs/>
                <w:color w:val="000000"/>
              </w:rPr>
            </w:pPr>
            <w:r>
              <w:rPr>
                <w:rFonts w:ascii="宋体" w:hAnsi="宋体"/>
                <w:b/>
                <w:bCs/>
                <w:color w:val="000000"/>
              </w:rPr>
              <w:t>评分项</w:t>
            </w:r>
          </w:p>
        </w:tc>
        <w:tc>
          <w:tcPr>
            <w:tcW w:w="5263"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line="276" w:lineRule="auto"/>
              <w:jc w:val="center"/>
              <w:rPr>
                <w:rFonts w:ascii="宋体" w:hAnsi="宋体"/>
                <w:b/>
                <w:bCs/>
                <w:color w:val="000000"/>
              </w:rPr>
            </w:pPr>
            <w:r>
              <w:rPr>
                <w:rFonts w:ascii="宋体" w:hAnsi="宋体"/>
                <w:b/>
                <w:bCs/>
                <w:color w:val="000000"/>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宋体" w:hAnsi="宋体"/>
                <w:b/>
                <w:bCs/>
                <w:color w:val="000000"/>
              </w:rPr>
            </w:pPr>
            <w:r>
              <w:rPr>
                <w:rFonts w:ascii="宋体" w:hAnsi="宋体"/>
                <w:b/>
                <w:bCs/>
                <w:color w:val="000000"/>
              </w:rPr>
              <w:t>1</w:t>
            </w:r>
          </w:p>
        </w:tc>
        <w:tc>
          <w:tcPr>
            <w:tcW w:w="3374" w:type="dxa"/>
            <w:gridSpan w:val="3"/>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宋体" w:hAnsi="宋体"/>
                <w:b/>
                <w:bCs/>
                <w:color w:val="000000"/>
              </w:rPr>
            </w:pPr>
            <w:r>
              <w:rPr>
                <w:rFonts w:ascii="宋体" w:hAnsi="宋体"/>
                <w:b/>
                <w:bCs/>
                <w:color w:val="000000"/>
              </w:rPr>
              <w:t>价格</w:t>
            </w:r>
          </w:p>
        </w:tc>
        <w:tc>
          <w:tcPr>
            <w:tcW w:w="5263"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宋体" w:hAnsi="宋体"/>
                <w:b/>
                <w:bCs/>
                <w:color w:val="000000"/>
              </w:rPr>
            </w:pPr>
            <w:r>
              <w:rPr>
                <w:rFonts w:hint="eastAsia" w:ascii="宋体" w:hAnsi="宋体"/>
                <w:b/>
                <w:bCs/>
                <w:color w:val="000000"/>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2" w:type="dxa"/>
            <w:gridSpan w:val="5"/>
            <w:tcBorders>
              <w:top w:val="single" w:color="000000" w:sz="8" w:space="0"/>
              <w:left w:val="single" w:color="000000" w:sz="8" w:space="0"/>
              <w:bottom w:val="single" w:color="000000" w:sz="8" w:space="0"/>
              <w:right w:val="single" w:color="000000" w:sz="8" w:space="0"/>
            </w:tcBorders>
          </w:tcPr>
          <w:p>
            <w:pPr>
              <w:tabs>
                <w:tab w:val="left" w:pos="1361"/>
              </w:tabs>
              <w:wordWrap w:val="0"/>
              <w:spacing w:line="276" w:lineRule="auto"/>
              <w:jc w:val="left"/>
              <w:rPr>
                <w:rFonts w:ascii="宋体" w:hAnsi="宋体"/>
                <w:color w:val="000000"/>
              </w:rPr>
            </w:pPr>
            <w:r>
              <w:rPr>
                <w:rFonts w:hint="eastAsia" w:ascii="宋体" w:hAnsi="宋体"/>
                <w:color w:val="000000"/>
              </w:rPr>
              <w:t>1.本项目投标报价金额为所有服务内容的全部“单项服务报价（元）”的合计金额；</w:t>
            </w:r>
          </w:p>
          <w:p>
            <w:pPr>
              <w:tabs>
                <w:tab w:val="left" w:pos="1361"/>
              </w:tabs>
              <w:wordWrap w:val="0"/>
              <w:spacing w:line="276" w:lineRule="auto"/>
              <w:jc w:val="left"/>
              <w:rPr>
                <w:rFonts w:ascii="宋体" w:hAnsi="宋体"/>
                <w:color w:val="000000"/>
              </w:rPr>
            </w:pPr>
            <w:r>
              <w:rPr>
                <w:rFonts w:hint="eastAsia" w:ascii="宋体" w:hAnsi="宋体"/>
                <w:color w:val="000000"/>
              </w:rPr>
              <w:t xml:space="preserve">2.采用低价优先法计算，即满足招标文件要求且投标价格最低的投标报价为评标基准价，其价格分为20分。其他投标人的价格分统一按照下列公式计算： </w:t>
            </w:r>
          </w:p>
          <w:p>
            <w:pPr>
              <w:tabs>
                <w:tab w:val="left" w:pos="1361"/>
              </w:tabs>
              <w:wordWrap w:val="0"/>
              <w:spacing w:line="276" w:lineRule="auto"/>
              <w:jc w:val="left"/>
              <w:rPr>
                <w:rFonts w:ascii="宋体" w:hAnsi="宋体"/>
                <w:b/>
                <w:bCs/>
                <w:color w:val="000000"/>
              </w:rPr>
            </w:pPr>
            <w:r>
              <w:rPr>
                <w:rFonts w:hint="eastAsia" w:ascii="宋体" w:hAnsi="宋体"/>
                <w:color w:val="000000"/>
              </w:rPr>
              <w:t>投标报价得分=(评标基准价／投标报价)×20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restart"/>
            <w:tcBorders>
              <w:top w:val="single" w:color="000000" w:sz="8" w:space="0"/>
              <w:left w:val="single" w:color="000000" w:sz="8" w:space="0"/>
              <w:right w:val="single" w:color="000000" w:sz="8" w:space="0"/>
            </w:tcBorders>
            <w:vAlign w:val="center"/>
          </w:tcPr>
          <w:p>
            <w:pPr>
              <w:jc w:val="left"/>
            </w:pPr>
            <w:r>
              <w:rPr>
                <w:rFonts w:hint="eastAsia" w:ascii="宋体" w:hAnsi="宋体" w:cs="宋体"/>
                <w:b/>
                <w:bCs/>
                <w:color w:val="000000"/>
              </w:rPr>
              <w:t>2</w:t>
            </w:r>
          </w:p>
        </w:tc>
        <w:tc>
          <w:tcPr>
            <w:tcW w:w="3374" w:type="dxa"/>
            <w:gridSpan w:val="3"/>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宋体" w:hAnsi="宋体"/>
                <w:b/>
                <w:bCs/>
                <w:color w:val="000000"/>
              </w:rPr>
            </w:pPr>
            <w:r>
              <w:rPr>
                <w:rFonts w:ascii="宋体" w:hAnsi="宋体"/>
                <w:b/>
                <w:bCs/>
                <w:color w:val="000000"/>
              </w:rPr>
              <w:t>技术部分</w:t>
            </w:r>
          </w:p>
        </w:tc>
        <w:tc>
          <w:tcPr>
            <w:tcW w:w="5263"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hint="eastAsia" w:ascii="宋体" w:hAnsi="宋体" w:eastAsia="宋体"/>
                <w:b/>
                <w:bCs/>
                <w:color w:val="000000"/>
                <w:lang w:eastAsia="zh-CN"/>
              </w:rPr>
            </w:pPr>
            <w:r>
              <w:rPr>
                <w:rFonts w:hint="eastAsia" w:ascii="宋体" w:hAnsi="宋体"/>
                <w:b/>
                <w:bCs/>
                <w:color w:val="000000"/>
              </w:rPr>
              <w:t>4</w:t>
            </w:r>
            <w:r>
              <w:rPr>
                <w:rFonts w:hint="eastAsia" w:ascii="宋体" w:hAnsi="宋体"/>
                <w:b/>
                <w:bCs/>
                <w:color w:val="000000"/>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continue"/>
            <w:tcBorders>
              <w:left w:val="single" w:color="000000" w:sz="8" w:space="0"/>
              <w:right w:val="single" w:color="000000" w:sz="8" w:space="0"/>
            </w:tcBorders>
            <w:shd w:val="clear" w:color="auto" w:fill="E6EFFA"/>
            <w:vAlign w:val="center"/>
          </w:tcPr>
          <w:p>
            <w:pPr>
              <w:wordWrap w:val="0"/>
              <w:spacing w:line="276" w:lineRule="auto"/>
              <w:jc w:val="center"/>
              <w:rPr>
                <w:rFonts w:ascii="宋体" w:hAnsi="宋体" w:cs="宋体"/>
                <w:b/>
                <w:bCs/>
                <w:color w:val="000000"/>
              </w:rPr>
            </w:pPr>
          </w:p>
        </w:tc>
        <w:tc>
          <w:tcPr>
            <w:tcW w:w="64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宋体" w:hAnsi="宋体" w:cs="宋体"/>
                <w:color w:val="000000"/>
                <w:kern w:val="2"/>
                <w:szCs w:val="24"/>
              </w:rPr>
            </w:pPr>
            <w:r>
              <w:rPr>
                <w:rFonts w:ascii="宋体" w:hAnsi="宋体"/>
                <w:color w:val="000000"/>
              </w:rPr>
              <w:t>序号</w:t>
            </w:r>
          </w:p>
        </w:tc>
        <w:tc>
          <w:tcPr>
            <w:tcW w:w="144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宋体" w:hAnsi="宋体"/>
                <w:color w:val="000000"/>
                <w:kern w:val="2"/>
                <w:szCs w:val="24"/>
              </w:rPr>
            </w:pPr>
            <w:r>
              <w:rPr>
                <w:rFonts w:ascii="宋体" w:hAnsi="宋体"/>
                <w:color w:val="000000"/>
              </w:rPr>
              <w:t>评分因素</w:t>
            </w:r>
          </w:p>
        </w:tc>
        <w:tc>
          <w:tcPr>
            <w:tcW w:w="129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宋体" w:hAnsi="宋体"/>
                <w:color w:val="000000"/>
                <w:kern w:val="2"/>
                <w:szCs w:val="24"/>
              </w:rPr>
            </w:pPr>
            <w:r>
              <w:rPr>
                <w:rFonts w:ascii="宋体" w:hAnsi="宋体"/>
                <w:color w:val="000000"/>
              </w:rPr>
              <w:t>权重</w:t>
            </w:r>
          </w:p>
        </w:tc>
        <w:tc>
          <w:tcPr>
            <w:tcW w:w="526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宋体" w:hAnsi="宋体"/>
                <w:color w:val="000000"/>
              </w:rPr>
            </w:pPr>
            <w:r>
              <w:rPr>
                <w:rFonts w:hint="eastAsia" w:ascii="宋体" w:hAnsi="宋体"/>
                <w:color w:val="000000"/>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5" w:type="dxa"/>
            <w:vMerge w:val="continue"/>
            <w:tcBorders>
              <w:left w:val="single" w:color="000000" w:sz="8" w:space="0"/>
              <w:right w:val="single" w:color="000000" w:sz="8" w:space="0"/>
            </w:tcBorders>
          </w:tcPr>
          <w:p>
            <w:pPr>
              <w:wordWrap w:val="0"/>
              <w:spacing w:line="276" w:lineRule="auto"/>
              <w:rPr>
                <w:rFonts w:ascii="宋体" w:hAnsi="宋体" w:cs="宋体"/>
                <w:b/>
                <w:bCs/>
                <w:color w:val="000000"/>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ascii="宋体" w:hAnsi="宋体" w:cs="宋体"/>
                <w:color w:val="000000"/>
                <w:kern w:val="2"/>
                <w:szCs w:val="21"/>
              </w:rPr>
            </w:pPr>
            <w:r>
              <w:rPr>
                <w:rFonts w:ascii="宋体" w:hAnsi="宋体" w:cs="宋体"/>
                <w:color w:val="000000"/>
                <w:szCs w:val="21"/>
              </w:rPr>
              <w:t>1</w:t>
            </w:r>
          </w:p>
        </w:tc>
        <w:tc>
          <w:tcPr>
            <w:tcW w:w="144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kern w:val="2"/>
                <w:sz w:val="24"/>
                <w:szCs w:val="24"/>
              </w:rPr>
            </w:pPr>
            <w:r>
              <w:rPr>
                <w:rFonts w:hint="eastAsia" w:ascii="宋体" w:hAnsi="宋体"/>
                <w:color w:val="000000"/>
              </w:rPr>
              <w:t>服务方案</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color w:val="000000"/>
                <w:kern w:val="2"/>
                <w:szCs w:val="21"/>
              </w:rPr>
            </w:pPr>
            <w:r>
              <w:rPr>
                <w:rFonts w:hint="eastAsia" w:ascii="宋体" w:hAnsi="宋体" w:cs="宋体"/>
                <w:color w:val="000000"/>
                <w:szCs w:val="21"/>
              </w:rPr>
              <w:t>30</w:t>
            </w:r>
          </w:p>
        </w:tc>
        <w:tc>
          <w:tcPr>
            <w:tcW w:w="5263" w:type="dxa"/>
            <w:tcBorders>
              <w:top w:val="single" w:color="000000" w:sz="8" w:space="0"/>
              <w:left w:val="single" w:color="000000" w:sz="8" w:space="0"/>
              <w:bottom w:val="single" w:color="000000" w:sz="8" w:space="0"/>
              <w:right w:val="single" w:color="000000" w:sz="8" w:space="0"/>
            </w:tcBorders>
            <w:vAlign w:val="center"/>
          </w:tcPr>
          <w:p>
            <w:r>
              <w:rPr>
                <w:rFonts w:hint="eastAsia"/>
              </w:rPr>
              <w:t>一、评分内容</w:t>
            </w:r>
          </w:p>
          <w:p>
            <w:r>
              <w:rPr>
                <w:rFonts w:hint="eastAsia"/>
              </w:rPr>
              <w:t>投标人需提供项目服务方案，服务方案包含但不限于：</w:t>
            </w:r>
          </w:p>
          <w:p>
            <w:r>
              <w:rPr>
                <w:rFonts w:hint="eastAsia"/>
              </w:rPr>
              <w:t>1.对本项目的理解和认识；</w:t>
            </w:r>
          </w:p>
          <w:p>
            <w:r>
              <w:rPr>
                <w:rFonts w:hint="eastAsia"/>
              </w:rPr>
              <w:t>2.项目目标及服务方案；</w:t>
            </w:r>
          </w:p>
          <w:p>
            <w:r>
              <w:rPr>
                <w:rFonts w:hint="eastAsia"/>
              </w:rPr>
              <w:t>3.项目管理方案；</w:t>
            </w:r>
          </w:p>
          <w:p>
            <w:r>
              <w:rPr>
                <w:rFonts w:hint="eastAsia"/>
              </w:rPr>
              <w:t>4.服务质量保障措施。</w:t>
            </w:r>
          </w:p>
          <w:p>
            <w:r>
              <w:rPr>
                <w:rFonts w:hint="eastAsia"/>
              </w:rPr>
              <w:t>二、评分依据</w:t>
            </w:r>
          </w:p>
          <w:p>
            <w:r>
              <w:rPr>
                <w:rFonts w:hint="eastAsia"/>
              </w:rPr>
              <w:t>投标人提供的项目服务方案每满足以上1点要求的得3分，最高得12分。</w:t>
            </w:r>
          </w:p>
          <w:p>
            <w:r>
              <w:rPr>
                <w:rFonts w:hint="eastAsia"/>
              </w:rPr>
              <w:t>在此基础上，评委会根据响应情况进行打分：</w:t>
            </w:r>
          </w:p>
          <w:p>
            <w:r>
              <w:rPr>
                <w:rFonts w:hint="eastAsia"/>
              </w:rPr>
              <w:t>优：方案内容完整、科学合理、清晰准确，得18分；</w:t>
            </w:r>
          </w:p>
          <w:p>
            <w:r>
              <w:rPr>
                <w:rFonts w:hint="eastAsia"/>
              </w:rPr>
              <w:t>良：方案内容较为完整、较为合理、较为清晰，得12分；</w:t>
            </w:r>
          </w:p>
          <w:p>
            <w:r>
              <w:rPr>
                <w:rFonts w:hint="eastAsia"/>
              </w:rPr>
              <w:t>中：方案内容有部分缺少、基本合理、基本清晰，得6分；</w:t>
            </w:r>
          </w:p>
          <w:p>
            <w:r>
              <w:rPr>
                <w:rFonts w:hint="eastAsia"/>
              </w:rPr>
              <w:t>差：方案存在内容严重缺失、不合理、不清晰任一情形的，得0分；</w:t>
            </w:r>
          </w:p>
          <w:p>
            <w:r>
              <w:rPr>
                <w:rFonts w:hint="eastAsia"/>
              </w:rPr>
              <w:t>未提供或完全不符合不得分。</w:t>
            </w:r>
          </w:p>
          <w:p>
            <w:r>
              <w:rPr>
                <w:rFonts w:hint="eastAsia"/>
              </w:rPr>
              <w:t>以上两点累积相加，满分为30分，最低为0分。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continue"/>
            <w:tcBorders>
              <w:left w:val="single" w:color="000000" w:sz="8" w:space="0"/>
              <w:bottom w:val="single" w:color="000000" w:sz="8" w:space="0"/>
              <w:right w:val="single" w:color="000000" w:sz="8" w:space="0"/>
            </w:tcBorders>
          </w:tcPr>
          <w:p>
            <w:pPr>
              <w:wordWrap w:val="0"/>
              <w:spacing w:line="276" w:lineRule="auto"/>
              <w:rPr>
                <w:rFonts w:ascii="宋体" w:hAnsi="宋体" w:cs="宋体"/>
                <w:b/>
                <w:bCs/>
                <w:color w:val="000000"/>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ascii="宋体" w:hAnsi="宋体" w:cs="宋体"/>
                <w:color w:val="000000"/>
                <w:szCs w:val="21"/>
              </w:rPr>
            </w:pPr>
            <w:r>
              <w:rPr>
                <w:rFonts w:hint="eastAsia" w:ascii="宋体" w:hAnsi="宋体" w:cs="宋体"/>
                <w:color w:val="000000"/>
                <w:szCs w:val="21"/>
              </w:rPr>
              <w:t>2</w:t>
            </w:r>
          </w:p>
        </w:tc>
        <w:tc>
          <w:tcPr>
            <w:tcW w:w="1440"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olor w:val="000000"/>
              </w:rPr>
            </w:pPr>
            <w:r>
              <w:rPr>
                <w:rFonts w:hint="eastAsia"/>
              </w:rPr>
              <w:t>项目重点难点分析、应对措施及相关的合理化建议</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5</w:t>
            </w:r>
          </w:p>
        </w:tc>
        <w:tc>
          <w:tcPr>
            <w:tcW w:w="5263" w:type="dxa"/>
            <w:tcBorders>
              <w:top w:val="single" w:color="000000" w:sz="8" w:space="0"/>
              <w:left w:val="single" w:color="000000" w:sz="8" w:space="0"/>
              <w:bottom w:val="single" w:color="000000" w:sz="8" w:space="0"/>
              <w:right w:val="single" w:color="000000" w:sz="8" w:space="0"/>
            </w:tcBorders>
            <w:vAlign w:val="center"/>
          </w:tcPr>
          <w:p>
            <w:r>
              <w:rPr>
                <w:rFonts w:hint="eastAsia"/>
              </w:rPr>
              <w:t>（一）评审内容：</w:t>
            </w:r>
          </w:p>
          <w:p>
            <w:r>
              <w:rPr>
                <w:rFonts w:hint="eastAsia"/>
              </w:rPr>
              <w:t>考察对项目重点难点分析，应对措施及相关的合理化建议情况，包含但不限于以下内容：</w:t>
            </w:r>
          </w:p>
          <w:p>
            <w:r>
              <w:rPr>
                <w:rFonts w:hint="eastAsia"/>
              </w:rPr>
              <w:t>1.分析项目难点、重点情况；</w:t>
            </w:r>
          </w:p>
          <w:p>
            <w:r>
              <w:rPr>
                <w:rFonts w:hint="eastAsia"/>
              </w:rPr>
              <w:t>2.提出应对措施；</w:t>
            </w:r>
          </w:p>
          <w:p>
            <w:r>
              <w:rPr>
                <w:rFonts w:hint="eastAsia"/>
              </w:rPr>
              <w:t>3.对项目进行合理化建议；</w:t>
            </w:r>
          </w:p>
          <w:p>
            <w:r>
              <w:rPr>
                <w:rFonts w:hint="eastAsia"/>
              </w:rPr>
              <w:t>（二）评审标准：</w:t>
            </w:r>
          </w:p>
          <w:p>
            <w:r>
              <w:rPr>
                <w:rFonts w:hint="eastAsia"/>
              </w:rPr>
              <w:t>投标人提供的项目服务方案每满足以上1点要求的得</w:t>
            </w:r>
            <w:r>
              <w:t>2</w:t>
            </w:r>
            <w:r>
              <w:rPr>
                <w:rFonts w:hint="eastAsia"/>
              </w:rPr>
              <w:t>分，最高得</w:t>
            </w:r>
            <w:r>
              <w:t>6</w:t>
            </w:r>
            <w:r>
              <w:rPr>
                <w:rFonts w:hint="eastAsia"/>
              </w:rPr>
              <w:t>分。</w:t>
            </w:r>
          </w:p>
          <w:p>
            <w:r>
              <w:rPr>
                <w:rFonts w:hint="eastAsia"/>
              </w:rPr>
              <w:t>在此基础上，评委会根据响应情况进行打分：</w:t>
            </w:r>
          </w:p>
          <w:p>
            <w:r>
              <w:rPr>
                <w:rFonts w:hint="eastAsia"/>
              </w:rPr>
              <w:t>优评分标准：分析准确到位，措施合理，建议可操作性强，加</w:t>
            </w:r>
            <w:r>
              <w:rPr>
                <w:rFonts w:hint="eastAsia"/>
                <w:lang w:val="en-US" w:eastAsia="zh-CN"/>
              </w:rPr>
              <w:t>9</w:t>
            </w:r>
            <w:r>
              <w:rPr>
                <w:rFonts w:hint="eastAsia"/>
              </w:rPr>
              <w:t>分。</w:t>
            </w:r>
          </w:p>
          <w:p>
            <w:r>
              <w:rPr>
                <w:rFonts w:hint="eastAsia"/>
              </w:rPr>
              <w:t>良评分标准：分析到位，措施比较合理，建议可操作性较强，加</w:t>
            </w:r>
            <w:r>
              <w:rPr>
                <w:rFonts w:hint="eastAsia"/>
                <w:lang w:val="en-US" w:eastAsia="zh-CN"/>
              </w:rPr>
              <w:t>6</w:t>
            </w:r>
            <w:r>
              <w:rPr>
                <w:rFonts w:hint="eastAsia"/>
              </w:rPr>
              <w:t>分。</w:t>
            </w:r>
          </w:p>
          <w:p>
            <w:r>
              <w:rPr>
                <w:rFonts w:hint="eastAsia"/>
              </w:rPr>
              <w:t>中评分标准：分析基本到位，措施基本合理，建议可操作性一般，加</w:t>
            </w:r>
            <w:r>
              <w:rPr>
                <w:rFonts w:hint="eastAsia"/>
                <w:lang w:val="en-US" w:eastAsia="zh-CN"/>
              </w:rPr>
              <w:t>3</w:t>
            </w:r>
            <w:r>
              <w:rPr>
                <w:rFonts w:hint="eastAsia"/>
              </w:rPr>
              <w:t>分。</w:t>
            </w:r>
          </w:p>
          <w:p>
            <w:r>
              <w:rPr>
                <w:rFonts w:hint="eastAsia"/>
              </w:rPr>
              <w:t>差评分标准：分析有严重缺漏，措施不合理，建议可操作性差，不加分。</w:t>
            </w:r>
          </w:p>
          <w:p>
            <w:r>
              <w:rPr>
                <w:rFonts w:hint="eastAsia"/>
              </w:rPr>
              <w:t>如果评审为差，要求专家书面说明理由，并记录在档。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85" w:hRule="atLeast"/>
          <w:jc w:val="center"/>
        </w:trPr>
        <w:tc>
          <w:tcPr>
            <w:tcW w:w="435" w:type="dxa"/>
            <w:vMerge w:val="restart"/>
            <w:tcBorders>
              <w:top w:val="single" w:color="000000" w:sz="8" w:space="0"/>
              <w:left w:val="single" w:color="000000" w:sz="8" w:space="0"/>
              <w:right w:val="single" w:color="000000" w:sz="8" w:space="0"/>
            </w:tcBorders>
          </w:tcPr>
          <w:p>
            <w:pPr>
              <w:wordWrap w:val="0"/>
              <w:spacing w:line="276" w:lineRule="auto"/>
              <w:rPr>
                <w:rFonts w:ascii="宋体" w:hAnsi="宋体"/>
                <w:b/>
                <w:bCs/>
                <w:color w:val="000000"/>
              </w:rPr>
            </w:pPr>
          </w:p>
          <w:p>
            <w:pPr>
              <w:wordWrap w:val="0"/>
              <w:spacing w:line="276" w:lineRule="auto"/>
              <w:rPr>
                <w:rFonts w:ascii="宋体" w:hAnsi="宋体"/>
                <w:b/>
                <w:bCs/>
                <w:color w:val="000000"/>
              </w:rPr>
            </w:pPr>
          </w:p>
          <w:p>
            <w:pPr>
              <w:wordWrap w:val="0"/>
              <w:spacing w:line="276" w:lineRule="auto"/>
              <w:rPr>
                <w:rFonts w:ascii="宋体" w:hAnsi="宋体"/>
                <w:b/>
                <w:bCs/>
                <w:color w:val="000000"/>
              </w:rPr>
            </w:pPr>
          </w:p>
          <w:p>
            <w:pPr>
              <w:wordWrap w:val="0"/>
              <w:spacing w:line="276" w:lineRule="auto"/>
              <w:rPr>
                <w:rFonts w:ascii="宋体" w:hAnsi="宋体"/>
                <w:b/>
                <w:bCs/>
                <w:color w:val="000000"/>
              </w:rPr>
            </w:pPr>
          </w:p>
          <w:p>
            <w:pPr>
              <w:wordWrap w:val="0"/>
              <w:spacing w:line="276" w:lineRule="auto"/>
              <w:rPr>
                <w:rFonts w:ascii="宋体" w:hAnsi="宋体"/>
                <w:b/>
                <w:bCs/>
                <w:color w:val="000000"/>
              </w:rPr>
            </w:pPr>
          </w:p>
          <w:p>
            <w:pPr>
              <w:wordWrap w:val="0"/>
              <w:spacing w:line="276" w:lineRule="auto"/>
              <w:rPr>
                <w:rFonts w:ascii="宋体" w:hAnsi="宋体"/>
                <w:b/>
                <w:bCs/>
                <w:color w:val="000000"/>
              </w:rPr>
            </w:pPr>
          </w:p>
          <w:p>
            <w:pPr>
              <w:wordWrap w:val="0"/>
              <w:spacing w:line="276" w:lineRule="auto"/>
              <w:rPr>
                <w:rFonts w:ascii="宋体" w:hAnsi="宋体"/>
                <w:b/>
                <w:bCs/>
                <w:color w:val="000000"/>
              </w:rPr>
            </w:pPr>
          </w:p>
          <w:p>
            <w:pPr>
              <w:wordWrap w:val="0"/>
              <w:spacing w:line="276" w:lineRule="auto"/>
              <w:rPr>
                <w:rFonts w:ascii="宋体" w:hAnsi="宋体"/>
                <w:b/>
                <w:bCs/>
                <w:color w:val="000000"/>
              </w:rPr>
            </w:pPr>
          </w:p>
          <w:p>
            <w:pPr>
              <w:wordWrap w:val="0"/>
              <w:spacing w:line="276" w:lineRule="auto"/>
              <w:jc w:val="center"/>
              <w:rPr>
                <w:rFonts w:ascii="宋体" w:hAnsi="宋体"/>
                <w:b/>
                <w:bCs/>
                <w:color w:val="000000"/>
              </w:rPr>
            </w:pPr>
            <w:r>
              <w:rPr>
                <w:rFonts w:ascii="宋体" w:hAnsi="宋体"/>
                <w:b/>
                <w:bCs/>
                <w:color w:val="000000"/>
              </w:rPr>
              <w:t>3</w:t>
            </w:r>
          </w:p>
        </w:tc>
        <w:tc>
          <w:tcPr>
            <w:tcW w:w="3374" w:type="dxa"/>
            <w:gridSpan w:val="3"/>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宋体" w:hAnsi="宋体"/>
                <w:b/>
                <w:bCs/>
                <w:color w:val="000000"/>
              </w:rPr>
            </w:pPr>
            <w:r>
              <w:rPr>
                <w:rFonts w:hint="eastAsia" w:ascii="宋体" w:hAnsi="宋体"/>
                <w:b/>
                <w:bCs/>
                <w:color w:val="000000"/>
              </w:rPr>
              <w:t>综合实力</w:t>
            </w:r>
          </w:p>
        </w:tc>
        <w:tc>
          <w:tcPr>
            <w:tcW w:w="5263"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hint="eastAsia" w:ascii="宋体" w:hAnsi="宋体" w:eastAsia="宋体"/>
                <w:b/>
                <w:bCs/>
                <w:color w:val="000000"/>
                <w:lang w:eastAsia="zh-CN"/>
              </w:rPr>
            </w:pPr>
            <w:r>
              <w:rPr>
                <w:rFonts w:hint="eastAsia" w:ascii="宋体" w:hAnsi="宋体"/>
                <w:b/>
                <w:bCs/>
                <w:color w:val="000000"/>
              </w:rPr>
              <w:t>3</w:t>
            </w:r>
            <w:r>
              <w:rPr>
                <w:rFonts w:hint="eastAsia" w:ascii="宋体" w:hAnsi="宋体"/>
                <w:b/>
                <w:bCs/>
                <w:color w:val="000000"/>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continue"/>
            <w:tcBorders>
              <w:left w:val="single" w:color="000000" w:sz="8" w:space="0"/>
              <w:right w:val="single" w:color="000000" w:sz="8" w:space="0"/>
            </w:tcBorders>
            <w:shd w:val="clear" w:color="auto" w:fill="E6EFFA"/>
            <w:vAlign w:val="center"/>
          </w:tcPr>
          <w:p>
            <w:pPr>
              <w:wordWrap w:val="0"/>
              <w:spacing w:line="276" w:lineRule="auto"/>
              <w:jc w:val="center"/>
              <w:rPr>
                <w:rFonts w:ascii="宋体" w:hAnsi="宋体" w:cs="宋体"/>
                <w:b/>
                <w:bCs/>
                <w:color w:val="000000"/>
              </w:rPr>
            </w:pPr>
          </w:p>
        </w:tc>
        <w:tc>
          <w:tcPr>
            <w:tcW w:w="64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宋体" w:hAnsi="宋体" w:cs="宋体"/>
                <w:color w:val="000000"/>
                <w:kern w:val="2"/>
                <w:szCs w:val="24"/>
              </w:rPr>
            </w:pPr>
            <w:r>
              <w:rPr>
                <w:rFonts w:ascii="宋体" w:hAnsi="宋体"/>
                <w:color w:val="000000"/>
              </w:rPr>
              <w:t>序号</w:t>
            </w:r>
          </w:p>
        </w:tc>
        <w:tc>
          <w:tcPr>
            <w:tcW w:w="144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宋体" w:hAnsi="宋体"/>
                <w:color w:val="000000"/>
                <w:kern w:val="2"/>
                <w:szCs w:val="24"/>
              </w:rPr>
            </w:pPr>
            <w:r>
              <w:rPr>
                <w:rFonts w:ascii="宋体" w:hAnsi="宋体"/>
                <w:color w:val="000000"/>
              </w:rPr>
              <w:t>评分因素</w:t>
            </w:r>
          </w:p>
        </w:tc>
        <w:tc>
          <w:tcPr>
            <w:tcW w:w="129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宋体" w:hAnsi="宋体"/>
                <w:color w:val="000000"/>
                <w:kern w:val="2"/>
                <w:szCs w:val="24"/>
              </w:rPr>
            </w:pPr>
            <w:r>
              <w:rPr>
                <w:rFonts w:ascii="宋体" w:hAnsi="宋体"/>
                <w:color w:val="000000"/>
              </w:rPr>
              <w:t>权重</w:t>
            </w:r>
          </w:p>
        </w:tc>
        <w:tc>
          <w:tcPr>
            <w:tcW w:w="5263" w:type="dxa"/>
            <w:tcBorders>
              <w:top w:val="outset" w:color="000000" w:sz="6" w:space="0"/>
              <w:left w:val="outset" w:color="000000" w:sz="6" w:space="0"/>
              <w:bottom w:val="outset" w:color="000000" w:sz="6" w:space="0"/>
              <w:right w:val="outset" w:color="000000" w:sz="6" w:space="0"/>
            </w:tcBorders>
            <w:shd w:val="clear" w:color="auto" w:fill="E6EFFA"/>
            <w:vAlign w:val="center"/>
          </w:tcPr>
          <w:p>
            <w:r>
              <w:rPr>
                <w:rFonts w:hint="eastAsia"/>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continue"/>
            <w:tcBorders>
              <w:left w:val="single" w:color="000000" w:sz="8" w:space="0"/>
              <w:right w:val="single" w:color="000000" w:sz="8" w:space="0"/>
            </w:tcBorders>
          </w:tcPr>
          <w:p>
            <w:pPr>
              <w:wordWrap w:val="0"/>
              <w:spacing w:line="276" w:lineRule="auto"/>
              <w:rPr>
                <w:rFonts w:ascii="宋体" w:hAnsi="宋体" w:cs="宋体"/>
                <w:b/>
                <w:bCs/>
                <w:color w:val="000000"/>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ascii="宋体" w:hAnsi="宋体"/>
                <w:color w:val="000000"/>
                <w:kern w:val="2"/>
                <w:szCs w:val="24"/>
              </w:rPr>
            </w:pPr>
            <w:r>
              <w:rPr>
                <w:rFonts w:ascii="宋体" w:hAnsi="宋体"/>
                <w:color w:val="000000"/>
              </w:rPr>
              <w:t>1</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left"/>
            </w:pPr>
            <w:r>
              <w:rPr>
                <w:rFonts w:hint="eastAsia"/>
              </w:rPr>
              <w:t>同类项目业绩</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color w:val="000000"/>
                <w:kern w:val="2"/>
                <w:szCs w:val="21"/>
              </w:rPr>
            </w:pPr>
            <w:r>
              <w:rPr>
                <w:rFonts w:hint="eastAsia" w:ascii="宋体" w:hAnsi="宋体" w:cs="宋体"/>
                <w:color w:val="000000"/>
                <w:szCs w:val="21"/>
              </w:rPr>
              <w:t>12</w:t>
            </w:r>
          </w:p>
        </w:tc>
        <w:tc>
          <w:tcPr>
            <w:tcW w:w="5263" w:type="dxa"/>
            <w:tcBorders>
              <w:top w:val="single" w:color="000000" w:sz="8" w:space="0"/>
              <w:left w:val="single" w:color="000000" w:sz="8" w:space="0"/>
              <w:bottom w:val="single" w:color="000000" w:sz="8" w:space="0"/>
              <w:right w:val="single" w:color="000000" w:sz="8" w:space="0"/>
            </w:tcBorders>
            <w:vAlign w:val="center"/>
          </w:tcPr>
          <w:p>
            <w:pPr>
              <w:jc w:val="left"/>
            </w:pPr>
            <w:r>
              <w:rPr>
                <w:rFonts w:hint="eastAsia"/>
              </w:rPr>
              <w:t>（一）评审内容：</w:t>
            </w:r>
          </w:p>
          <w:p>
            <w:pPr>
              <w:jc w:val="left"/>
            </w:pPr>
            <w:r>
              <w:rPr>
                <w:rFonts w:hint="eastAsia"/>
              </w:rPr>
              <w:t>近2022年1月1日至本项目投标截止时间（以合同签订时间为准）有全媒体视觉内容创作与管理服务项目的业绩（服务内容包含为行政或事业单位拍摄照片、拍摄视频、视频剪辑及发布在媒体微信公众号、视频号矩阵等多平台等相关内容），每项得2分，本项最高得</w:t>
            </w:r>
            <w:r>
              <w:t>12</w:t>
            </w:r>
            <w:r>
              <w:rPr>
                <w:rFonts w:hint="eastAsia"/>
              </w:rPr>
              <w:t>分。</w:t>
            </w:r>
          </w:p>
          <w:p>
            <w:pPr>
              <w:jc w:val="left"/>
            </w:pPr>
            <w:r>
              <w:rPr>
                <w:rFonts w:hint="eastAsia"/>
              </w:rPr>
              <w:t>（二）评审标准：</w:t>
            </w:r>
          </w:p>
          <w:p>
            <w:pPr>
              <w:jc w:val="left"/>
            </w:pPr>
            <w:r>
              <w:rPr>
                <w:rFonts w:hint="eastAsia"/>
              </w:rPr>
              <w:t>1、投标人须提供合同关键页（合同关键页要求包括但不限于：签订合同双方的单位名称、合同项目名称、双方的落款盖章和签订日期等信息），原件备查。</w:t>
            </w:r>
          </w:p>
          <w:p>
            <w:pPr>
              <w:jc w:val="left"/>
            </w:pPr>
            <w:r>
              <w:rPr>
                <w:rFonts w:hint="eastAsia"/>
              </w:rPr>
              <w:t>2、以上资料均要求提供复印件（或扫描件），加盖投标人公章。评分中出现无证明资料或专家无法凭所提供资料判断是否得分的情况，一律不得分。</w:t>
            </w:r>
          </w:p>
          <w:p>
            <w:pPr>
              <w:jc w:val="left"/>
            </w:pPr>
            <w:r>
              <w:rPr>
                <w:rFonts w:hint="eastAsia"/>
              </w:rPr>
              <w:t>3、同一项目业绩续签合同不重复计分。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5" w:type="dxa"/>
            <w:vMerge w:val="continue"/>
            <w:tcBorders>
              <w:left w:val="single" w:color="000000" w:sz="8" w:space="0"/>
              <w:right w:val="single" w:color="000000" w:sz="8" w:space="0"/>
            </w:tcBorders>
          </w:tcPr>
          <w:p>
            <w:pPr>
              <w:wordWrap w:val="0"/>
              <w:spacing w:line="276" w:lineRule="auto"/>
              <w:rPr>
                <w:rFonts w:ascii="宋体" w:hAnsi="宋体" w:cs="宋体"/>
                <w:b/>
                <w:bCs/>
                <w:color w:val="000000"/>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ascii="宋体" w:hAnsi="宋体"/>
                <w:color w:val="000000"/>
                <w:kern w:val="2"/>
                <w:szCs w:val="24"/>
              </w:rPr>
            </w:pPr>
            <w:r>
              <w:rPr>
                <w:rFonts w:hint="eastAsia" w:ascii="宋体" w:hAnsi="宋体"/>
                <w:color w:val="000000"/>
              </w:rPr>
              <w:t>2</w:t>
            </w:r>
          </w:p>
        </w:tc>
        <w:tc>
          <w:tcPr>
            <w:tcW w:w="1440"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2"/>
                <w:sz w:val="24"/>
                <w:szCs w:val="24"/>
              </w:rPr>
            </w:pPr>
            <w:r>
              <w:rPr>
                <w:rFonts w:hint="eastAsia"/>
              </w:rPr>
              <w:t>项目负责人（仅1人）</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color w:val="000000"/>
                <w:kern w:val="2"/>
                <w:szCs w:val="21"/>
                <w:lang w:eastAsia="zh-CN"/>
              </w:rPr>
            </w:pPr>
            <w:r>
              <w:rPr>
                <w:rFonts w:hint="eastAsia" w:ascii="宋体" w:hAnsi="宋体" w:cs="宋体"/>
                <w:color w:val="000000"/>
                <w:szCs w:val="21"/>
                <w:lang w:val="en-US" w:eastAsia="zh-CN"/>
              </w:rPr>
              <w:t>5</w:t>
            </w:r>
          </w:p>
        </w:tc>
        <w:tc>
          <w:tcPr>
            <w:tcW w:w="5263" w:type="dxa"/>
            <w:tcBorders>
              <w:top w:val="single" w:color="000000" w:sz="8" w:space="0"/>
              <w:left w:val="single" w:color="000000" w:sz="8" w:space="0"/>
              <w:bottom w:val="single" w:color="000000" w:sz="8" w:space="0"/>
              <w:right w:val="single" w:color="000000" w:sz="8" w:space="0"/>
            </w:tcBorders>
          </w:tcPr>
          <w:p>
            <w:r>
              <w:rPr>
                <w:rFonts w:hint="eastAsia"/>
              </w:rPr>
              <w:t>（一）评审内容：</w:t>
            </w:r>
          </w:p>
          <w:p>
            <w:r>
              <w:rPr>
                <w:rFonts w:hint="eastAsia"/>
              </w:rPr>
              <w:t>项目负责人仅限1人，需为投标人自有员工，否则本项不得分。在此基础上：</w:t>
            </w:r>
          </w:p>
          <w:p>
            <w:r>
              <w:rPr>
                <w:rFonts w:hint="eastAsia"/>
              </w:rPr>
              <w:t>（1）学历：具备</w:t>
            </w:r>
            <w:r>
              <w:rPr>
                <w:rFonts w:hint="eastAsia"/>
                <w:lang w:eastAsia="zh-CN"/>
              </w:rPr>
              <w:t>本科</w:t>
            </w:r>
            <w:r>
              <w:rPr>
                <w:rFonts w:hint="eastAsia"/>
              </w:rPr>
              <w:t>或以上学历的，得</w:t>
            </w:r>
            <w:r>
              <w:rPr>
                <w:rFonts w:hint="eastAsia"/>
                <w:lang w:val="en-US" w:eastAsia="zh-CN"/>
              </w:rPr>
              <w:t>2</w:t>
            </w:r>
            <w:r>
              <w:rPr>
                <w:rFonts w:hint="eastAsia"/>
              </w:rPr>
              <w:t>分；</w:t>
            </w:r>
          </w:p>
          <w:p>
            <w:r>
              <w:rPr>
                <w:rFonts w:hint="eastAsia"/>
              </w:rPr>
              <w:t>（2）奖项：获得新闻奖的，得</w:t>
            </w:r>
            <w:r>
              <w:rPr>
                <w:rFonts w:hint="eastAsia"/>
                <w:lang w:val="en-US" w:eastAsia="zh-CN"/>
              </w:rPr>
              <w:t>3</w:t>
            </w:r>
            <w:r>
              <w:rPr>
                <w:rFonts w:hint="eastAsia"/>
              </w:rPr>
              <w:t>分；</w:t>
            </w:r>
          </w:p>
          <w:p>
            <w:r>
              <w:rPr>
                <w:rFonts w:hint="eastAsia"/>
              </w:rPr>
              <w:t>（二）评审标准：</w:t>
            </w:r>
          </w:p>
          <w:p>
            <w:r>
              <w:rPr>
                <w:rFonts w:hint="eastAsia"/>
              </w:rPr>
              <w:t>1、项目负责人需提供近3个月任意1个月在投标单位缴纳的社保证明，若因客观原因无法提供，可往前顺延一个月，若公司成立不足1个月的，投标人可提供加盖公章的情况说明亦可得分）。本项目不接受退休返聘人员。</w:t>
            </w:r>
          </w:p>
          <w:p>
            <w:pPr>
              <w:rPr>
                <w:rFonts w:hint="eastAsia" w:eastAsia="宋体"/>
                <w:lang w:eastAsia="zh-CN"/>
              </w:rPr>
            </w:pPr>
            <w:r>
              <w:rPr>
                <w:rFonts w:hint="eastAsia"/>
              </w:rPr>
              <w:t>2、涉及学历的，需提供毕业证书复印件或扫描件（原件备查）</w:t>
            </w:r>
            <w:r>
              <w:rPr>
                <w:rFonts w:hint="eastAsia"/>
                <w:lang w:eastAsia="zh-CN"/>
              </w:rPr>
              <w:t>。</w:t>
            </w:r>
          </w:p>
          <w:p>
            <w:r>
              <w:rPr>
                <w:rFonts w:hint="eastAsia"/>
              </w:rPr>
              <w:t>3、涉及人员奖项的，需提供证书扫描件或复印件（原件备查）</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5" w:type="dxa"/>
            <w:vMerge w:val="continue"/>
            <w:tcBorders>
              <w:left w:val="single" w:color="000000" w:sz="8" w:space="0"/>
              <w:right w:val="single" w:color="000000" w:sz="8" w:space="0"/>
            </w:tcBorders>
          </w:tcPr>
          <w:p>
            <w:pPr>
              <w:wordWrap w:val="0"/>
              <w:spacing w:line="276" w:lineRule="auto"/>
              <w:rPr>
                <w:rFonts w:ascii="宋体" w:hAnsi="宋体" w:cs="宋体"/>
                <w:b/>
                <w:bCs/>
                <w:color w:val="000000"/>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ascii="宋体" w:hAnsi="宋体"/>
                <w:color w:val="000000"/>
                <w:kern w:val="2"/>
                <w:szCs w:val="24"/>
              </w:rPr>
            </w:pPr>
            <w:r>
              <w:rPr>
                <w:rFonts w:hint="eastAsia" w:ascii="宋体" w:hAnsi="宋体"/>
                <w:color w:val="000000"/>
              </w:rPr>
              <w:t>3</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color w:val="000000"/>
                <w:kern w:val="2"/>
                <w:szCs w:val="21"/>
              </w:rPr>
            </w:pPr>
            <w:r>
              <w:rPr>
                <w:rFonts w:hint="eastAsia"/>
              </w:rPr>
              <w:t>团队成员（项目负责人除外）</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color w:val="000000"/>
                <w:kern w:val="2"/>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8</w:t>
            </w:r>
          </w:p>
        </w:tc>
        <w:tc>
          <w:tcPr>
            <w:tcW w:w="5263" w:type="dxa"/>
            <w:tcBorders>
              <w:top w:val="single" w:color="000000" w:sz="8" w:space="0"/>
              <w:left w:val="single" w:color="000000" w:sz="8" w:space="0"/>
              <w:bottom w:val="single" w:color="000000" w:sz="8" w:space="0"/>
              <w:right w:val="single" w:color="000000" w:sz="8" w:space="0"/>
            </w:tcBorders>
          </w:tcPr>
          <w:p>
            <w:pPr>
              <w:jc w:val="left"/>
            </w:pPr>
            <w:r>
              <w:rPr>
                <w:rFonts w:hint="eastAsia"/>
              </w:rPr>
              <w:t>（一）评审内容：</w:t>
            </w:r>
          </w:p>
          <w:p>
            <w:pPr>
              <w:jc w:val="left"/>
            </w:pPr>
            <w:r>
              <w:rPr>
                <w:rFonts w:hint="eastAsia"/>
              </w:rPr>
              <w:t>根据本项目需要，投标单位应</w:t>
            </w:r>
            <w:r>
              <w:rPr>
                <w:rFonts w:hint="eastAsia"/>
                <w:lang w:eastAsia="zh-CN"/>
              </w:rPr>
              <w:t>安排</w:t>
            </w:r>
            <w:r>
              <w:rPr>
                <w:rFonts w:hint="eastAsia"/>
              </w:rPr>
              <w:t>摄影成员不少于2人，美编、视频文字及视频出镜脚本、视频文字创意策划分别不少于1人，且为本单位人员，否则本项不得分。在此基础上：</w:t>
            </w:r>
          </w:p>
          <w:p>
            <w:pPr>
              <w:jc w:val="left"/>
            </w:pPr>
            <w:r>
              <w:rPr>
                <w:rFonts w:hint="eastAsia"/>
              </w:rPr>
              <w:t>（1）学历：</w:t>
            </w:r>
            <w:r>
              <w:rPr>
                <w:rFonts w:hint="eastAsia"/>
                <w:lang w:val="en-US" w:eastAsia="zh-CN"/>
              </w:rPr>
              <w:t>每一人</w:t>
            </w:r>
            <w:r>
              <w:rPr>
                <w:rFonts w:hint="eastAsia"/>
              </w:rPr>
              <w:t>具备</w:t>
            </w:r>
            <w:r>
              <w:rPr>
                <w:rFonts w:hint="eastAsia"/>
                <w:lang w:eastAsia="zh-CN"/>
              </w:rPr>
              <w:t>本科</w:t>
            </w:r>
            <w:r>
              <w:rPr>
                <w:rFonts w:hint="eastAsia"/>
              </w:rPr>
              <w:t>或以上学历的，得</w:t>
            </w:r>
            <w:r>
              <w:rPr>
                <w:rFonts w:hint="eastAsia"/>
                <w:lang w:val="en-US" w:eastAsia="zh-CN"/>
              </w:rPr>
              <w:t>2</w:t>
            </w:r>
            <w:r>
              <w:rPr>
                <w:rFonts w:hint="eastAsia"/>
              </w:rPr>
              <w:t>分；最高得</w:t>
            </w:r>
            <w:r>
              <w:rPr>
                <w:rFonts w:hint="eastAsia"/>
                <w:lang w:val="en-US" w:eastAsia="zh-CN"/>
              </w:rPr>
              <w:t>8</w:t>
            </w:r>
            <w:r>
              <w:rPr>
                <w:rFonts w:hint="eastAsia"/>
              </w:rPr>
              <w:t>分。</w:t>
            </w:r>
          </w:p>
          <w:p>
            <w:pPr>
              <w:jc w:val="left"/>
            </w:pPr>
            <w:r>
              <w:rPr>
                <w:rFonts w:hint="eastAsia"/>
              </w:rPr>
              <w:t>（2）证书：每一人获得新闻奖的，得2分；最高不超过10分。</w:t>
            </w:r>
          </w:p>
          <w:p>
            <w:pPr>
              <w:jc w:val="left"/>
            </w:pPr>
            <w:r>
              <w:rPr>
                <w:rFonts w:hint="eastAsia"/>
              </w:rPr>
              <w:t>（二）评审标准：</w:t>
            </w:r>
          </w:p>
          <w:p>
            <w:pPr>
              <w:jc w:val="left"/>
            </w:pPr>
            <w:r>
              <w:rPr>
                <w:rFonts w:hint="eastAsia"/>
              </w:rPr>
              <w:t>1、提供成员近3个月任意1个月在投标单位缴纳的社保证明，若因客观原因无法提供，可往前顺延一个月，若公司成立不足1个月的，投标人可提供加盖公章的情况说明亦可得分）。本项目不接受退休返聘人员。</w:t>
            </w:r>
          </w:p>
          <w:p>
            <w:pPr>
              <w:jc w:val="left"/>
            </w:pPr>
            <w:r>
              <w:rPr>
                <w:rFonts w:hint="eastAsia"/>
              </w:rPr>
              <w:t>2、涉及学历的，需提供毕业证书复印件或扫描件加盖公章（原件备查）。</w:t>
            </w:r>
          </w:p>
          <w:p>
            <w:pPr>
              <w:jc w:val="left"/>
            </w:pPr>
            <w:r>
              <w:rPr>
                <w:rFonts w:hint="eastAsia"/>
              </w:rPr>
              <w:t>3、涉及人员奖项证书的证明材料提供扫描件或复印件（原件备查）；未提供或提供不符合要求的不得分。</w:t>
            </w:r>
          </w:p>
        </w:tc>
      </w:tr>
    </w:tbl>
    <w:p>
      <w:pPr>
        <w:spacing w:line="560" w:lineRule="exact"/>
        <w:ind w:firstLine="640" w:firstLineChars="200"/>
        <w:rPr>
          <w:rFonts w:ascii="黑体" w:hAnsi="黑体" w:eastAsia="黑体" w:cs="宋体"/>
          <w:bCs/>
          <w:kern w:val="2"/>
          <w:sz w:val="32"/>
          <w:szCs w:val="32"/>
        </w:rPr>
      </w:pPr>
      <w:r>
        <w:rPr>
          <w:rFonts w:hint="eastAsia" w:ascii="黑体" w:hAnsi="黑体" w:eastAsia="黑体" w:cs="宋体"/>
          <w:bCs/>
          <w:kern w:val="2"/>
          <w:sz w:val="32"/>
          <w:szCs w:val="32"/>
        </w:rPr>
        <w:t>六、商务需求</w:t>
      </w:r>
    </w:p>
    <w:p>
      <w:p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（一）服务期：一年</w:t>
      </w:r>
      <w:r>
        <w:rPr>
          <w:rFonts w:hint="eastAsia" w:ascii="仿宋_GB2312" w:hAnsi="仿宋_GB2312" w:eastAsia="仿宋_GB2312" w:cs="仿宋_GB2312"/>
          <w:kern w:val="2"/>
          <w:sz w:val="32"/>
          <w:szCs w:val="32"/>
          <w:lang w:eastAsia="zh-CN"/>
        </w:rPr>
        <w:t>。本项目为长期服务项目，</w:t>
      </w:r>
      <w:r>
        <w:rPr>
          <w:rFonts w:hint="eastAsia" w:ascii="仿宋_GB2312" w:hAnsi="仿宋_GB2312" w:eastAsia="仿宋_GB2312" w:cs="仿宋_GB2312"/>
          <w:kern w:val="2"/>
          <w:sz w:val="32"/>
          <w:szCs w:val="32"/>
        </w:rPr>
        <w:t>合同期满可以续签，但合同履行期限最长不得超过三十六个月。如甲方对履约情况不满意，甲方不再续约。</w:t>
      </w:r>
    </w:p>
    <w:p>
      <w:p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（二）服务地点：粤海街道。</w:t>
      </w:r>
    </w:p>
    <w:p>
      <w:p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（三）报价要求</w:t>
      </w:r>
    </w:p>
    <w:p>
      <w:p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本项目服务费采用包干制，应包括服务成本、法定税费和合理利润等综合费用。由投标供应商根据采购文件所提供的资料自行测算投标报价；一经中标，报价总价作为中标供应商与采购人签订的合同金额，合同期限内不作调整。</w:t>
      </w:r>
    </w:p>
    <w:p>
      <w:p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2.投标供应商的报价不得超过项目预算金额。</w:t>
      </w:r>
    </w:p>
    <w:p>
      <w:p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3.投标供应商的报价，应当是本项目采购范围和采购文件及合同条款上所列的各项内容中所述的全部，不得以任何理由予以重复。</w:t>
      </w:r>
    </w:p>
    <w:p>
      <w:p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（四）付款方式</w:t>
      </w:r>
    </w:p>
    <w:p>
      <w:p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按照区财政局的支付要求和采购人内部管理制度进行支付，具体以合同签订为准。</w:t>
      </w:r>
    </w:p>
    <w:p>
      <w:pPr>
        <w:spacing w:line="560" w:lineRule="exact"/>
        <w:ind w:firstLine="480" w:firstLineChars="150"/>
        <w:rPr>
          <w:rFonts w:ascii="黑体" w:hAnsi="黑体" w:eastAsia="黑体" w:cs="宋体"/>
          <w:bCs/>
          <w:kern w:val="2"/>
          <w:sz w:val="32"/>
          <w:szCs w:val="32"/>
        </w:rPr>
      </w:pPr>
      <w:r>
        <w:rPr>
          <w:rFonts w:hint="eastAsia" w:ascii="黑体" w:hAnsi="黑体" w:eastAsia="黑体" w:cs="宋体"/>
          <w:bCs/>
          <w:kern w:val="2"/>
          <w:sz w:val="32"/>
          <w:szCs w:val="32"/>
        </w:rPr>
        <w:t>七、投标文件编制</w:t>
      </w:r>
    </w:p>
    <w:p>
      <w:pPr>
        <w:pStyle w:val="20"/>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纸质版（内容要求见附件或招标文件）一正四副（正本每页加盖公章及骑缝章，副本可以是正本的复印件并在封面加盖公章及骑缝章）</w:t>
      </w:r>
    </w:p>
    <w:p>
      <w:pPr>
        <w:pStyle w:val="20"/>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电子版（与纸质版正本一致的盖章扫描版，以U盘形式装载）</w:t>
      </w:r>
    </w:p>
    <w:p>
      <w:pPr>
        <w:pStyle w:val="20"/>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报名表（需同时提供可编辑电子版及盖章扫描版）</w:t>
      </w:r>
    </w:p>
    <w:p>
      <w:p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在递交投标文件截止时间前将以上材料以统一密封的方式邮寄或送达至深圳市南山区后海大道2618号粤海街道办事处党政办。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1.报名表</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投标人资质条件</w:t>
      </w:r>
      <w:r>
        <w:rPr>
          <w:rFonts w:hint="eastAsia" w:ascii="仿宋_GB2312" w:hAnsi="仿宋_GB2312" w:eastAsia="仿宋_GB2312" w:cs="仿宋_GB2312"/>
          <w:sz w:val="32"/>
          <w:szCs w:val="32"/>
        </w:rPr>
        <w:t>（营业执照及相关证明）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3.项目服务方案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4.项目重点难点分析、应对措施及相关的合理化建议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5.同类项目业绩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拟派项目负责人情况（个人简介及相关证明）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7.拟派团队成员情况（个人简介及相关证明）</w:t>
      </w:r>
    </w:p>
    <w:p>
      <w:pPr>
        <w:spacing w:line="560" w:lineRule="exact"/>
        <w:ind w:firstLine="640" w:firstLineChars="200"/>
        <w:rPr>
          <w:rFonts w:eastAsia="仿宋"/>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.投标人认为需要补充的资料（由投标人自定）</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3B04A"/>
    <w:multiLevelType w:val="singleLevel"/>
    <w:tmpl w:val="0783B04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C86"/>
    <w:rsid w:val="0014252D"/>
    <w:rsid w:val="00151C86"/>
    <w:rsid w:val="00715D2B"/>
    <w:rsid w:val="00DC6786"/>
    <w:rsid w:val="00E36FCA"/>
    <w:rsid w:val="10C520B5"/>
    <w:rsid w:val="1D011D4A"/>
    <w:rsid w:val="1DBB76B4"/>
    <w:rsid w:val="277FDCFC"/>
    <w:rsid w:val="3BBFB1D5"/>
    <w:rsid w:val="5D7FC401"/>
    <w:rsid w:val="5FDFE882"/>
    <w:rsid w:val="5FFC6B37"/>
    <w:rsid w:val="61D6395F"/>
    <w:rsid w:val="64A258FF"/>
    <w:rsid w:val="6C896BEA"/>
    <w:rsid w:val="6CBA61E8"/>
    <w:rsid w:val="6DC5E2E4"/>
    <w:rsid w:val="6FFF841C"/>
    <w:rsid w:val="75D7B83E"/>
    <w:rsid w:val="7C2B71C8"/>
    <w:rsid w:val="7FF17FE0"/>
    <w:rsid w:val="B77F0A03"/>
    <w:rsid w:val="CEFEDEC5"/>
    <w:rsid w:val="D69B130F"/>
    <w:rsid w:val="DBFF8B2F"/>
    <w:rsid w:val="DFF5C8C3"/>
    <w:rsid w:val="EABFC29F"/>
    <w:rsid w:val="F6F67CD9"/>
    <w:rsid w:val="FAE6C450"/>
    <w:rsid w:val="FD9B5431"/>
    <w:rsid w:val="FDDFD6DC"/>
    <w:rsid w:val="FE7F43BD"/>
    <w:rsid w:val="FF3F4D19"/>
    <w:rsid w:val="FFB5750E"/>
    <w:rsid w:val="FFF72417"/>
    <w:rsid w:val="FFFB2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ody Text"/>
    <w:basedOn w:val="1"/>
    <w:next w:val="5"/>
    <w:unhideWhenUsed/>
    <w:qFormat/>
    <w:uiPriority w:val="99"/>
    <w:pPr>
      <w:spacing w:after="120"/>
    </w:pPr>
  </w:style>
  <w:style w:type="paragraph" w:styleId="5">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6">
    <w:name w:val="Body Text Indent"/>
    <w:basedOn w:val="1"/>
    <w:qFormat/>
    <w:uiPriority w:val="99"/>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sz w:val="24"/>
    </w:rPr>
  </w:style>
  <w:style w:type="paragraph" w:styleId="11">
    <w:name w:val="annotation subject"/>
    <w:basedOn w:val="3"/>
    <w:next w:val="3"/>
    <w:link w:val="18"/>
    <w:qFormat/>
    <w:uiPriority w:val="0"/>
    <w:rPr>
      <w:b/>
      <w:bCs/>
    </w:rPr>
  </w:style>
  <w:style w:type="paragraph" w:styleId="12">
    <w:name w:val="Body Text First Indent 2"/>
    <w:basedOn w:val="6"/>
    <w:qFormat/>
    <w:uiPriority w:val="0"/>
    <w:pPr>
      <w:ind w:firstLine="420" w:firstLineChars="200"/>
    </w:p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批注文字 字符"/>
    <w:basedOn w:val="14"/>
    <w:link w:val="3"/>
    <w:qFormat/>
    <w:uiPriority w:val="0"/>
    <w:rPr>
      <w:sz w:val="21"/>
      <w:szCs w:val="22"/>
    </w:rPr>
  </w:style>
  <w:style w:type="character" w:customStyle="1" w:styleId="18">
    <w:name w:val="批注主题 字符"/>
    <w:basedOn w:val="17"/>
    <w:link w:val="11"/>
    <w:qFormat/>
    <w:uiPriority w:val="0"/>
    <w:rPr>
      <w:b/>
      <w:bCs/>
      <w:sz w:val="21"/>
      <w:szCs w:val="22"/>
    </w:rPr>
  </w:style>
  <w:style w:type="character" w:customStyle="1" w:styleId="19">
    <w:name w:val="批注框文本 字符"/>
    <w:basedOn w:val="14"/>
    <w:link w:val="7"/>
    <w:qFormat/>
    <w:uiPriority w:val="0"/>
    <w:rPr>
      <w:sz w:val="18"/>
      <w:szCs w:val="18"/>
    </w:rPr>
  </w:style>
  <w:style w:type="paragraph" w:styleId="20">
    <w:name w:val="List Paragraph"/>
    <w:basedOn w:val="1"/>
    <w:qFormat/>
    <w:uiPriority w:val="99"/>
    <w:pPr>
      <w:ind w:firstLine="420" w:firstLineChars="200"/>
    </w:pPr>
    <w:rPr>
      <w:kern w:val="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3770</Words>
  <Characters>3823</Characters>
  <Lines>50</Lines>
  <Paragraphs>14</Paragraphs>
  <TotalTime>17</TotalTime>
  <ScaleCrop>false</ScaleCrop>
  <LinksUpToDate>false</LinksUpToDate>
  <CharactersWithSpaces>3825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2025-10-13T11:54:00Z</dcterms:created>
  <dc:creator>ns</dc:creator>
  <cp:lastModifiedBy>粤海办帐户</cp:lastModifiedBy>
  <cp:lastPrinted>2025-10-14T10:15:00Z</cp:lastPrinted>
  <dcterms:modified xsi:type="dcterms:W3CDTF">2025-10-14T16:15:15Z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eyJoZGlkIjoiZTM4Yzc2MDE4OTNjNTBiZTkzMTc2MzU2NWM0YTJlNjIiLCJ1c2VySWQiOiIxNjEyOTgxNDg1In0=</vt:lpwstr>
  </property>
  <property fmtid="{D5CDD505-2E9C-101B-9397-08002B2CF9AE}" pid="4" name="ICV">
    <vt:lpwstr>397391C52513408A8BFC57DBC9D99D90_13</vt:lpwstr>
  </property>
</Properties>
</file>