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585A2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0" w:firstLineChars="0"/>
        <w:jc w:val="center"/>
        <w:textAlignment w:val="auto"/>
        <w:rPr>
          <w:rFonts w:hint="eastAsia" w:ascii="方正小标宋_GBK" w:hAnsi="方正小标宋_GBK" w:eastAsia="方正小标宋_GBK" w:cs="方正小标宋_GBK"/>
          <w:b w:val="0"/>
          <w:bCs w:val="0"/>
          <w:kern w:val="2"/>
          <w:sz w:val="44"/>
          <w:szCs w:val="44"/>
          <w:lang w:val="en-US" w:eastAsia="zh-CN" w:bidi="ar-SA"/>
        </w:rPr>
      </w:pPr>
      <w:r>
        <w:rPr>
          <w:rFonts w:hint="eastAsia" w:ascii="方正小标宋_GBK" w:hAnsi="方正小标宋_GBK" w:eastAsia="方正小标宋_GBK" w:cs="方正小标宋_GBK"/>
          <w:b w:val="0"/>
          <w:bCs w:val="0"/>
          <w:kern w:val="2"/>
          <w:sz w:val="44"/>
          <w:szCs w:val="44"/>
          <w:lang w:val="en" w:eastAsia="zh-CN" w:bidi="ar-SA"/>
        </w:rPr>
        <w:t>南山区粤海街道主干道、快速路交通违法整治服务项目招标文件</w:t>
      </w:r>
      <w:r>
        <w:rPr>
          <w:rFonts w:hint="eastAsia" w:ascii="方正小标宋_GBK" w:hAnsi="方正小标宋_GBK" w:eastAsia="方正小标宋_GBK" w:cs="方正小标宋_GBK"/>
          <w:b w:val="0"/>
          <w:bCs w:val="0"/>
          <w:kern w:val="2"/>
          <w:sz w:val="44"/>
          <w:szCs w:val="44"/>
          <w:lang w:val="en-US" w:eastAsia="zh-CN" w:bidi="ar-SA"/>
        </w:rPr>
        <w:fldChar w:fldCharType="begin"/>
      </w:r>
      <w:r>
        <w:rPr>
          <w:rFonts w:hint="eastAsia" w:ascii="方正小标宋_GBK" w:hAnsi="方正小标宋_GBK" w:eastAsia="方正小标宋_GBK" w:cs="方正小标宋_GBK"/>
          <w:b w:val="0"/>
          <w:bCs w:val="0"/>
          <w:kern w:val="2"/>
          <w:sz w:val="44"/>
          <w:szCs w:val="44"/>
          <w:lang w:val="en-US" w:eastAsia="zh-CN" w:bidi="ar-SA"/>
        </w:rPr>
        <w:instrText xml:space="preserve"> HYPERLINK "https://service.weibo.com/share/share.php?url=http://www.szns.gov.cn/xxgk/qzfxxgkml/tzgg/content/post_10724510.html&amp;title=%E5%8D%97%E5%B1%B1%E5%8C%BA%E6%8B%9B%E5%95%86%E8%A1%97%E9%81%93%E5%8D%8A%E5%B2%9B%E8%8A%B1%E5%9B%ADA%E5%8C%BA%E8%80%81%E6%97%A7%E5%B0%8F%E5%8C%BA%E6%94%B9%E9%80%A0%E5%B7%A5%E7%A8%8B%E8%AE%BE%E8%AE%A1%E6%8B%9B%E6%A0%87%E5%85%AC%E5%91%8A&amp;pic=http://www.szns.gov.cn/header/n_guohui.png&amp;appkey=" \t "http://www.szns.gov.cn/xxgk/qzfxxgkml/tzgg/content/_blank" </w:instrText>
      </w:r>
      <w:r>
        <w:rPr>
          <w:rFonts w:hint="eastAsia" w:ascii="方正小标宋_GBK" w:hAnsi="方正小标宋_GBK" w:eastAsia="方正小标宋_GBK" w:cs="方正小标宋_GBK"/>
          <w:b w:val="0"/>
          <w:bCs w:val="0"/>
          <w:kern w:val="2"/>
          <w:sz w:val="44"/>
          <w:szCs w:val="44"/>
          <w:lang w:val="en-US" w:eastAsia="zh-CN" w:bidi="ar-SA"/>
        </w:rPr>
        <w:fldChar w:fldCharType="separate"/>
      </w:r>
      <w:r>
        <w:rPr>
          <w:rFonts w:hint="eastAsia" w:ascii="方正小标宋_GBK" w:hAnsi="方正小标宋_GBK" w:eastAsia="方正小标宋_GBK" w:cs="方正小标宋_GBK"/>
          <w:b w:val="0"/>
          <w:bCs w:val="0"/>
          <w:kern w:val="2"/>
          <w:sz w:val="44"/>
          <w:szCs w:val="44"/>
          <w:lang w:val="en-US" w:eastAsia="zh-CN" w:bidi="ar-SA"/>
        </w:rPr>
        <w:fldChar w:fldCharType="end"/>
      </w:r>
      <w:r>
        <w:rPr>
          <w:rFonts w:hint="eastAsia" w:ascii="方正小标宋_GBK" w:hAnsi="方正小标宋_GBK" w:eastAsia="方正小标宋_GBK" w:cs="方正小标宋_GBK"/>
          <w:b w:val="0"/>
          <w:bCs w:val="0"/>
          <w:kern w:val="2"/>
          <w:sz w:val="44"/>
          <w:szCs w:val="44"/>
          <w:lang w:val="en-US" w:eastAsia="zh-CN" w:bidi="ar-SA"/>
        </w:rPr>
        <w:fldChar w:fldCharType="begin"/>
      </w:r>
      <w:r>
        <w:rPr>
          <w:rFonts w:hint="eastAsia" w:ascii="方正小标宋_GBK" w:hAnsi="方正小标宋_GBK" w:eastAsia="方正小标宋_GBK" w:cs="方正小标宋_GBK"/>
          <w:b w:val="0"/>
          <w:bCs w:val="0"/>
          <w:kern w:val="2"/>
          <w:sz w:val="44"/>
          <w:szCs w:val="44"/>
          <w:lang w:val="en-US" w:eastAsia="zh-CN" w:bidi="ar-SA"/>
        </w:rPr>
        <w:instrText xml:space="preserve"> HYPERLINK "http://connect.qq.com/widget/shareqq/index.html?url=http://www.szns.gov.cn/xxgk/qzfxxgkml/tzgg/content/post_10724510.html&amp;title=%E5%8D%97%E5%B1%B1%E5%8C%BA%E6%8B%9B%E5%95%86%E8%A1%97%E9%81%93%E5%8D%8A%E5%B2%9B%E8%8A%B1%E5%9B%ADA%E5%8C%BA%E8%80%81%E6%97%A7%E5%B0%8F%E5%8C%BA%E6%94%B9%E9%80%A0%E5%B7%A5%E7%A8%8B%E8%AE%BE%E8%AE%A1%E6%8B%9B%E6%A0%87%E5%85%AC%E5%91%8A&amp;source=%E5%8D%97%E5%B1%B1%E5%8C%BA%E6%8B%9B%E5%95%86%E8%A1%97%E9%81%93%E5%8D%8A%E5%B2%9B%E8%8A%B1%E5%9B%ADA%E5%8C%BA%E8%80%81%E6%97%A7%E5%B0%8F%E5%8C%BA%E6%94%B9%E9%80%A0%E5%B7%A5%E7%A8%8B%E8%AE%BE%E8%AE%A1%E6%8B%9B%E6%A0%87%E5%85%AC%E5%91%8A&amp;desc=%E6%B7%B1%E5%9C%B3%E5%B8%82%E5%8D%97%E5%B1%B1%E5%8C%BA%E4%BA%BA%E6%B0%91%E6%94%BF%E5%BA%9C%E7%BD%91%E7%AB%99&amp;pics=http://www.szns.gov.cn/header/n_guohui.png" \t "http://www.szns.gov.cn/xxgk/qzfxxgkml/tzgg/content/_blank" </w:instrText>
      </w:r>
      <w:r>
        <w:rPr>
          <w:rFonts w:hint="eastAsia" w:ascii="方正小标宋_GBK" w:hAnsi="方正小标宋_GBK" w:eastAsia="方正小标宋_GBK" w:cs="方正小标宋_GBK"/>
          <w:b w:val="0"/>
          <w:bCs w:val="0"/>
          <w:kern w:val="2"/>
          <w:sz w:val="44"/>
          <w:szCs w:val="44"/>
          <w:lang w:val="en-US" w:eastAsia="zh-CN" w:bidi="ar-SA"/>
        </w:rPr>
        <w:fldChar w:fldCharType="separate"/>
      </w:r>
      <w:r>
        <w:rPr>
          <w:rFonts w:hint="eastAsia" w:ascii="方正小标宋_GBK" w:hAnsi="方正小标宋_GBK" w:eastAsia="方正小标宋_GBK" w:cs="方正小标宋_GBK"/>
          <w:b w:val="0"/>
          <w:bCs w:val="0"/>
          <w:kern w:val="2"/>
          <w:sz w:val="44"/>
          <w:szCs w:val="44"/>
          <w:lang w:val="en-US" w:eastAsia="zh-CN" w:bidi="ar-SA"/>
        </w:rPr>
        <w:fldChar w:fldCharType="end"/>
      </w:r>
      <w:r>
        <w:rPr>
          <w:rFonts w:hint="eastAsia" w:ascii="方正小标宋_GBK" w:hAnsi="方正小标宋_GBK" w:eastAsia="方正小标宋_GBK" w:cs="方正小标宋_GBK"/>
          <w:b w:val="0"/>
          <w:bCs w:val="0"/>
          <w:kern w:val="2"/>
          <w:sz w:val="44"/>
          <w:szCs w:val="44"/>
          <w:lang w:val="en-US" w:eastAsia="zh-CN" w:bidi="ar-SA"/>
        </w:rPr>
        <w:fldChar w:fldCharType="begin"/>
      </w:r>
      <w:r>
        <w:rPr>
          <w:rFonts w:hint="eastAsia" w:ascii="方正小标宋_GBK" w:hAnsi="方正小标宋_GBK" w:eastAsia="方正小标宋_GBK" w:cs="方正小标宋_GBK"/>
          <w:b w:val="0"/>
          <w:bCs w:val="0"/>
          <w:kern w:val="2"/>
          <w:sz w:val="44"/>
          <w:szCs w:val="44"/>
          <w:lang w:val="en-US" w:eastAsia="zh-CN" w:bidi="ar-SA"/>
        </w:rPr>
        <w:instrText xml:space="preserve"> HYPERLINK "http://sns.qzone.qq.com/cgi-bin/qzshare/cgi_qzshare_onekey?url=http://www.szns.gov.cn/xxgk/qzfxxgkml/tzgg/content/post_10724510.html&amp;title=%E5%8D%97%E5%B1%B1%E5%8C%BA%E6%8B%9B%E5%95%86%E8%A1%97%E9%81%93%E5%8D%8A%E5%B2%9B%E8%8A%B1%E5%9B%ADA%E5%8C%BA%E8%80%81%E6%97%A7%E5%B0%8F%E5%8C%BA%E6%94%B9%E9%80%A0%E5%B7%A5%E7%A8%8B%E8%AE%BE%E8%AE%A1%E6%8B%9B%E6%A0%87%E5%85%AC%E5%91%8A&amp;desc=%E6%B7%B1%E5%9C%B3%E5%B8%82%E5%8D%97%E5%B1%B1%E5%8C%BA%E4%BA%BA%E6%B0%91%E6%94%BF%E5%BA%9C%E7%BD%91%E7%AB%99&amp;summary=%E6%B7%B1%E5%9C%B3%E5%B8%82%E5%8D%97%E5%B1%B1%E5%8C%BA%E4%BA%BA%E6%B0%91%E6%94%BF%E5%BA%9C%E7%BD%91%E7%AB%99&amp;site=%E5%8D%97%E5%B1%B1%E5%8C%BA%E6%8B%9B%E5%95%86%E8%A1%97%E9%81%93%E5%8D%8A%E5%B2%9B%E8%8A%B1%E5%9B%ADA%E5%8C%BA%E8%80%81%E6%97%A7%E5%B0%8F%E5%8C%BA%E6%94%B9%E9%80%A0%E5%B7%A5%E7%A8%8B%E8%AE%BE%E8%AE%A1%E6%8B%9B%E6%A0%87%E5%85%AC%E5%91%8A&amp;pics=http://www.szns.gov.cn/header/n_guohui.png" \t "http://www.szns.gov.cn/xxgk/qzfxxgkml/tzgg/content/_blank" </w:instrText>
      </w:r>
      <w:r>
        <w:rPr>
          <w:rFonts w:hint="eastAsia" w:ascii="方正小标宋_GBK" w:hAnsi="方正小标宋_GBK" w:eastAsia="方正小标宋_GBK" w:cs="方正小标宋_GBK"/>
          <w:b w:val="0"/>
          <w:bCs w:val="0"/>
          <w:kern w:val="2"/>
          <w:sz w:val="44"/>
          <w:szCs w:val="44"/>
          <w:lang w:val="en-US" w:eastAsia="zh-CN" w:bidi="ar-SA"/>
        </w:rPr>
        <w:fldChar w:fldCharType="separate"/>
      </w:r>
      <w:r>
        <w:rPr>
          <w:rFonts w:hint="eastAsia" w:ascii="方正小标宋_GBK" w:hAnsi="方正小标宋_GBK" w:eastAsia="方正小标宋_GBK" w:cs="方正小标宋_GBK"/>
          <w:b w:val="0"/>
          <w:bCs w:val="0"/>
          <w:kern w:val="2"/>
          <w:sz w:val="44"/>
          <w:szCs w:val="44"/>
          <w:lang w:val="en-US" w:eastAsia="zh-CN" w:bidi="ar-SA"/>
        </w:rPr>
        <w:fldChar w:fldCharType="end"/>
      </w:r>
    </w:p>
    <w:p w14:paraId="53CB8C12">
      <w:pPr>
        <w:pStyle w:val="4"/>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right="105" w:rightChars="50"/>
        <w:jc w:val="both"/>
        <w:textAlignment w:val="auto"/>
        <w:rPr>
          <w:shd w:val="clear" w:fill="FFFFFF"/>
        </w:rPr>
      </w:pPr>
    </w:p>
    <w:p w14:paraId="49E7556F">
      <w:pPr>
        <w:keepNext w:val="0"/>
        <w:keepLines w:val="0"/>
        <w:pageBreakBefore w:val="0"/>
        <w:numPr>
          <w:ilvl w:val="0"/>
          <w:numId w:val="1"/>
        </w:numPr>
        <w:kinsoku/>
        <w:wordWrap/>
        <w:overflowPunct/>
        <w:topLinePunct w:val="0"/>
        <w:autoSpaceDE/>
        <w:autoSpaceDN/>
        <w:bidi w:val="0"/>
        <w:adjustRightInd/>
        <w:snapToGrid/>
        <w:spacing w:beforeAutospacing="0" w:line="560" w:lineRule="exact"/>
        <w:ind w:left="210" w:leftChars="0" w:firstLine="420" w:firstLineChars="0"/>
        <w:textAlignment w:val="auto"/>
        <w:rPr>
          <w:rFonts w:hint="eastAsia" w:ascii="仿宋_GB2312" w:hAnsi="Times New Roman" w:eastAsia="仿宋_GB2312" w:cs="Times New Roman"/>
          <w:b w:val="0"/>
          <w:bCs w:val="0"/>
          <w:color w:val="auto"/>
          <w:kern w:val="2"/>
          <w:sz w:val="32"/>
          <w:szCs w:val="32"/>
          <w:lang w:val="en-US" w:eastAsia="zh-CN" w:bidi="ar-SA"/>
        </w:rPr>
      </w:pPr>
      <w:r>
        <w:rPr>
          <w:rFonts w:hint="eastAsia" w:ascii="黑体" w:hAnsi="黑体" w:eastAsia="黑体" w:cs="宋体"/>
          <w:b w:val="0"/>
          <w:bCs/>
          <w:kern w:val="2"/>
          <w:sz w:val="32"/>
          <w:szCs w:val="32"/>
          <w:lang w:val="en-US" w:eastAsia="zh-CN" w:bidi="ar-SA"/>
        </w:rPr>
        <w:t>项目概况</w:t>
      </w:r>
    </w:p>
    <w:p w14:paraId="3FE9968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为加强对粤海街道主干道、快速路电动自行车走机动车道、骑乘电动自行车不戴头盔、超速行驶、逆行等违法行为的整治，进一步提升辖区道路交通安全秩序，有效预防和减少道路交通事故发生。我办</w:t>
      </w:r>
      <w:r>
        <w:rPr>
          <w:rFonts w:hint="eastAsia" w:ascii="仿宋_GB2312" w:hAnsi="仿宋_GB2312" w:eastAsia="仿宋_GB2312" w:cs="仿宋_GB2312"/>
          <w:kern w:val="2"/>
          <w:sz w:val="32"/>
          <w:szCs w:val="32"/>
          <w:lang w:val="en-US" w:eastAsia="zh-CN" w:bidi="ar-SA"/>
        </w:rPr>
        <w:t>现向社会采购一家供应商在粤海街道主干道、快速路协助交警部门开展交通违法整治服务</w:t>
      </w:r>
      <w:r>
        <w:rPr>
          <w:rFonts w:hint="eastAsia" w:ascii="仿宋_GB2312" w:hAnsi="Times New Roman" w:eastAsia="仿宋_GB2312" w:cs="Times New Roman"/>
          <w:b w:val="0"/>
          <w:bCs w:val="0"/>
          <w:color w:val="auto"/>
          <w:kern w:val="2"/>
          <w:sz w:val="32"/>
          <w:szCs w:val="32"/>
          <w:lang w:val="en-US" w:eastAsia="zh-CN" w:bidi="ar-SA"/>
        </w:rPr>
        <w:t>。</w:t>
      </w:r>
    </w:p>
    <w:p w14:paraId="228E89D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项目名称：</w:t>
      </w:r>
      <w:r>
        <w:rPr>
          <w:rFonts w:hint="eastAsia" w:ascii="仿宋_GB2312" w:hAnsi="仿宋_GB2312" w:eastAsia="仿宋_GB2312" w:cs="仿宋_GB2312"/>
          <w:kern w:val="2"/>
          <w:sz w:val="32"/>
          <w:szCs w:val="32"/>
          <w:lang w:val="en-US" w:eastAsia="zh-CN" w:bidi="ar-SA"/>
        </w:rPr>
        <w:t>粤海街道主干道、快速路交通违法整治服务</w:t>
      </w:r>
    </w:p>
    <w:p w14:paraId="26E16B3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项目预算：33万元</w:t>
      </w:r>
    </w:p>
    <w:p w14:paraId="58D9BE43">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210" w:leftChars="0" w:right="0" w:rightChars="0" w:firstLine="42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宋体"/>
          <w:b w:val="0"/>
          <w:bCs/>
          <w:kern w:val="2"/>
          <w:sz w:val="32"/>
          <w:szCs w:val="32"/>
          <w:lang w:val="en-US" w:eastAsia="zh-CN" w:bidi="ar-SA"/>
        </w:rPr>
        <w:t>服务内容</w:t>
      </w:r>
    </w:p>
    <w:p w14:paraId="0F43B6DF">
      <w:pPr>
        <w:pStyle w:val="5"/>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rPr>
          <w:rFonts w:hint="eastAsia" w:ascii="仿宋_GB2312" w:eastAsia="仿宋_GB2312"/>
          <w:sz w:val="32"/>
          <w:szCs w:val="32"/>
        </w:rPr>
      </w:pPr>
      <w:r>
        <w:rPr>
          <w:rFonts w:hint="eastAsia" w:ascii="仿宋_GB2312" w:hAnsi="仿宋_GB2312" w:eastAsia="仿宋_GB2312" w:cs="仿宋_GB2312"/>
          <w:kern w:val="2"/>
          <w:sz w:val="32"/>
          <w:szCs w:val="32"/>
          <w:lang w:val="en-US" w:eastAsia="zh-CN" w:bidi="ar-SA"/>
        </w:rPr>
        <w:t>配合粤海街道工作部署，协助交警部门对粤海街道各主要主干道、快速路开展交通违法整治，进行日常交通整治、</w:t>
      </w:r>
      <w:r>
        <w:rPr>
          <w:rFonts w:hint="eastAsia" w:ascii="仿宋_GB2312" w:eastAsia="仿宋_GB2312"/>
          <w:sz w:val="32"/>
          <w:szCs w:val="32"/>
          <w:lang w:val="en-US" w:eastAsia="zh-CN"/>
        </w:rPr>
        <w:t>“摩电”</w:t>
      </w:r>
      <w:r>
        <w:rPr>
          <w:rFonts w:hint="eastAsia" w:ascii="仿宋_GB2312" w:hAnsi="仿宋_GB2312" w:eastAsia="仿宋_GB2312" w:cs="仿宋_GB2312"/>
          <w:kern w:val="2"/>
          <w:sz w:val="32"/>
          <w:szCs w:val="32"/>
          <w:lang w:val="en-US" w:eastAsia="zh-CN" w:bidi="ar-SA"/>
        </w:rPr>
        <w:t>非法营运以及猎虎行动等，</w:t>
      </w:r>
      <w:r>
        <w:rPr>
          <w:rFonts w:hint="eastAsia" w:ascii="仿宋_GB2312" w:hAnsi="Times New Roman" w:eastAsia="仿宋_GB2312" w:cs="Times New Roman"/>
          <w:b w:val="0"/>
          <w:bCs w:val="0"/>
          <w:color w:val="auto"/>
          <w:kern w:val="2"/>
          <w:sz w:val="32"/>
          <w:szCs w:val="32"/>
          <w:lang w:val="en-US" w:eastAsia="zh-CN" w:bidi="ar-SA"/>
        </w:rPr>
        <w:t>营造安全、有序、稳定的道路交通环境</w:t>
      </w:r>
      <w:r>
        <w:rPr>
          <w:rFonts w:hint="eastAsia" w:ascii="仿宋_GB2312" w:eastAsia="仿宋_GB2312"/>
          <w:b w:val="0"/>
          <w:bCs w:val="0"/>
          <w:color w:val="auto"/>
          <w:sz w:val="32"/>
          <w:szCs w:val="32"/>
          <w:u w:val="none"/>
          <w:lang w:val="en-US" w:eastAsia="zh-CN"/>
        </w:rPr>
        <w:t>。</w:t>
      </w:r>
      <w:r>
        <w:rPr>
          <w:rFonts w:hint="eastAsia" w:ascii="仿宋_GB2312" w:eastAsia="仿宋_GB2312"/>
          <w:sz w:val="32"/>
          <w:szCs w:val="32"/>
        </w:rPr>
        <w:t>包含但不限于以下内容：</w:t>
      </w:r>
    </w:p>
    <w:p w14:paraId="1DD38C2D">
      <w:pPr>
        <w:pStyle w:val="5"/>
        <w:keepNext w:val="0"/>
        <w:keepLines w:val="0"/>
        <w:pageBreakBefore w:val="0"/>
        <w:widowControl w:val="0"/>
        <w:numPr>
          <w:ilvl w:val="0"/>
          <w:numId w:val="2"/>
        </w:numP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rPr>
          <w:rFonts w:hint="eastAsia" w:ascii="仿宋_GB2312" w:eastAsia="仿宋_GB2312"/>
          <w:sz w:val="32"/>
          <w:szCs w:val="32"/>
          <w:lang w:val="en-US" w:eastAsia="zh-Hans"/>
        </w:rPr>
      </w:pPr>
      <w:r>
        <w:rPr>
          <w:rFonts w:hint="eastAsia" w:ascii="仿宋_GB2312" w:eastAsia="仿宋_GB2312"/>
          <w:sz w:val="32"/>
          <w:szCs w:val="32"/>
          <w:lang w:val="en-US" w:eastAsia="zh-Hans"/>
        </w:rPr>
        <w:t xml:space="preserve"> 协助劝阻、查纠交通安全违法行为，包括但不限于行人</w:t>
      </w:r>
      <w:r>
        <w:rPr>
          <w:rFonts w:hint="eastAsia" w:ascii="仿宋_GB2312" w:eastAsia="仿宋_GB2312"/>
          <w:sz w:val="32"/>
          <w:szCs w:val="32"/>
          <w:lang w:val="en-US" w:eastAsia="zh-CN"/>
        </w:rPr>
        <w:t>及</w:t>
      </w:r>
      <w:r>
        <w:rPr>
          <w:rFonts w:hint="eastAsia" w:ascii="仿宋_GB2312" w:eastAsia="仿宋_GB2312"/>
          <w:sz w:val="32"/>
          <w:szCs w:val="32"/>
          <w:lang w:val="en-US" w:eastAsia="zh-Hans"/>
        </w:rPr>
        <w:t>非机动车冲红灯、</w:t>
      </w:r>
      <w:r>
        <w:rPr>
          <w:rFonts w:hint="eastAsia" w:ascii="仿宋_GB2312" w:eastAsia="仿宋_GB2312"/>
          <w:sz w:val="32"/>
          <w:szCs w:val="32"/>
          <w:lang w:val="en-US" w:eastAsia="zh-CN"/>
        </w:rPr>
        <w:t>骑乘</w:t>
      </w:r>
      <w:r>
        <w:rPr>
          <w:rFonts w:hint="eastAsia" w:ascii="仿宋_GB2312" w:hAnsi="Times New Roman" w:eastAsia="仿宋_GB2312" w:cs="Times New Roman"/>
          <w:b w:val="0"/>
          <w:bCs w:val="0"/>
          <w:color w:val="auto"/>
          <w:kern w:val="2"/>
          <w:sz w:val="32"/>
          <w:szCs w:val="32"/>
          <w:lang w:val="en-US" w:eastAsia="zh-CN" w:bidi="ar-SA"/>
        </w:rPr>
        <w:t>电动自行车</w:t>
      </w:r>
      <w:r>
        <w:rPr>
          <w:rFonts w:hint="eastAsia" w:ascii="仿宋_GB2312" w:eastAsia="仿宋_GB2312"/>
          <w:sz w:val="32"/>
          <w:szCs w:val="32"/>
          <w:lang w:val="en-US" w:eastAsia="zh-CN"/>
        </w:rPr>
        <w:t>不戴</w:t>
      </w:r>
      <w:bookmarkStart w:id="0" w:name="_GoBack"/>
      <w:bookmarkEnd w:id="0"/>
      <w:r>
        <w:rPr>
          <w:rFonts w:hint="eastAsia" w:ascii="仿宋_GB2312" w:eastAsia="仿宋_GB2312"/>
          <w:sz w:val="32"/>
          <w:szCs w:val="32"/>
          <w:lang w:val="en-US" w:eastAsia="zh-CN"/>
        </w:rPr>
        <w:t>头盔、非机动车</w:t>
      </w:r>
      <w:r>
        <w:rPr>
          <w:rFonts w:hint="eastAsia" w:ascii="仿宋_GB2312" w:eastAsia="仿宋_GB2312"/>
          <w:sz w:val="32"/>
          <w:szCs w:val="32"/>
          <w:lang w:val="en-US" w:eastAsia="zh-Hans"/>
        </w:rPr>
        <w:t>逆行</w:t>
      </w:r>
      <w:r>
        <w:rPr>
          <w:rFonts w:hint="eastAsia" w:ascii="仿宋_GB2312" w:eastAsia="仿宋_GB2312"/>
          <w:sz w:val="32"/>
          <w:szCs w:val="32"/>
          <w:lang w:val="en-US" w:eastAsia="zh-CN"/>
        </w:rPr>
        <w:t>、非机动</w:t>
      </w:r>
      <w:r>
        <w:rPr>
          <w:rFonts w:hint="eastAsia" w:ascii="仿宋_GB2312" w:eastAsia="仿宋_GB2312"/>
          <w:sz w:val="32"/>
          <w:szCs w:val="32"/>
          <w:lang w:val="en-US" w:eastAsia="zh-Hans"/>
        </w:rPr>
        <w:t>走机动车道及</w:t>
      </w:r>
      <w:r>
        <w:rPr>
          <w:rFonts w:hint="eastAsia" w:ascii="仿宋_GB2312" w:eastAsia="仿宋_GB2312"/>
          <w:sz w:val="32"/>
          <w:szCs w:val="32"/>
          <w:lang w:val="en-US" w:eastAsia="zh-CN"/>
        </w:rPr>
        <w:t>“摩电”</w:t>
      </w:r>
      <w:r>
        <w:rPr>
          <w:rFonts w:hint="eastAsia" w:ascii="仿宋_GB2312" w:eastAsia="仿宋_GB2312"/>
          <w:sz w:val="32"/>
          <w:szCs w:val="32"/>
          <w:lang w:val="en-US" w:eastAsia="zh-Hans"/>
        </w:rPr>
        <w:t>非法营运等；</w:t>
      </w:r>
    </w:p>
    <w:p w14:paraId="3DA84FAC">
      <w:pPr>
        <w:pStyle w:val="5"/>
        <w:keepNext w:val="0"/>
        <w:keepLines w:val="0"/>
        <w:pageBreakBefore w:val="0"/>
        <w:widowControl w:val="0"/>
        <w:numPr>
          <w:ilvl w:val="0"/>
          <w:numId w:val="2"/>
        </w:numP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rPr>
          <w:rFonts w:hint="eastAsia" w:ascii="仿宋_GB2312" w:eastAsia="仿宋_GB2312"/>
          <w:sz w:val="32"/>
          <w:szCs w:val="32"/>
          <w:lang w:val="en-US" w:eastAsia="zh-Hans"/>
        </w:rPr>
      </w:pPr>
      <w:r>
        <w:rPr>
          <w:rFonts w:hint="eastAsia" w:ascii="仿宋_GB2312" w:eastAsia="仿宋_GB2312"/>
          <w:sz w:val="32"/>
          <w:szCs w:val="32"/>
          <w:lang w:val="en-US" w:eastAsia="zh-Hans"/>
        </w:rPr>
        <w:t xml:space="preserve">协助指挥疏导交通； </w:t>
      </w:r>
    </w:p>
    <w:p w14:paraId="672339BE">
      <w:pPr>
        <w:pStyle w:val="5"/>
        <w:keepNext w:val="0"/>
        <w:keepLines w:val="0"/>
        <w:pageBreakBefore w:val="0"/>
        <w:widowControl w:val="0"/>
        <w:numPr>
          <w:ilvl w:val="0"/>
          <w:numId w:val="2"/>
        </w:numP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rPr>
          <w:rFonts w:hint="eastAsia" w:ascii="仿宋_GB2312" w:eastAsia="仿宋_GB2312"/>
          <w:sz w:val="32"/>
          <w:szCs w:val="32"/>
          <w:lang w:val="en-US" w:eastAsia="zh-Hans"/>
        </w:rPr>
      </w:pPr>
      <w:r>
        <w:rPr>
          <w:rFonts w:hint="eastAsia" w:ascii="仿宋_GB2312" w:eastAsia="仿宋_GB2312"/>
          <w:sz w:val="32"/>
          <w:szCs w:val="32"/>
          <w:lang w:val="en-US" w:eastAsia="zh-Hans"/>
        </w:rPr>
        <w:t xml:space="preserve">协助维护交通秩序； </w:t>
      </w:r>
    </w:p>
    <w:p w14:paraId="20F6E253">
      <w:pPr>
        <w:pStyle w:val="5"/>
        <w:keepNext w:val="0"/>
        <w:keepLines w:val="0"/>
        <w:pageBreakBefore w:val="0"/>
        <w:widowControl w:val="0"/>
        <w:numPr>
          <w:ilvl w:val="0"/>
          <w:numId w:val="2"/>
        </w:numP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rPr>
          <w:rFonts w:hint="eastAsia" w:ascii="仿宋_GB2312" w:eastAsia="仿宋_GB2312"/>
          <w:sz w:val="32"/>
          <w:szCs w:val="32"/>
          <w:lang w:val="en-US" w:eastAsia="zh-Hans"/>
        </w:rPr>
      </w:pPr>
      <w:r>
        <w:rPr>
          <w:rFonts w:hint="eastAsia" w:ascii="仿宋_GB2312" w:eastAsia="仿宋_GB2312"/>
          <w:sz w:val="32"/>
          <w:szCs w:val="32"/>
          <w:lang w:val="en-US" w:eastAsia="zh-Hans"/>
        </w:rPr>
        <w:t>协助</w:t>
      </w:r>
      <w:r>
        <w:rPr>
          <w:rFonts w:hint="eastAsia" w:ascii="仿宋_GB2312" w:eastAsia="仿宋_GB2312"/>
          <w:sz w:val="32"/>
          <w:szCs w:val="32"/>
          <w:lang w:val="en-US" w:eastAsia="zh-CN"/>
        </w:rPr>
        <w:t>保护</w:t>
      </w:r>
      <w:r>
        <w:rPr>
          <w:rFonts w:hint="eastAsia" w:ascii="仿宋_GB2312" w:eastAsia="仿宋_GB2312"/>
          <w:sz w:val="32"/>
          <w:szCs w:val="32"/>
          <w:lang w:val="en-US" w:eastAsia="zh-Hans"/>
        </w:rPr>
        <w:t>交通事故现场</w:t>
      </w:r>
      <w:r>
        <w:rPr>
          <w:rFonts w:hint="eastAsia" w:ascii="仿宋_GB2312" w:eastAsia="仿宋_GB2312"/>
          <w:sz w:val="32"/>
          <w:szCs w:val="32"/>
          <w:lang w:val="en-US" w:eastAsia="zh-CN"/>
        </w:rPr>
        <w:t>及维护</w:t>
      </w:r>
      <w:r>
        <w:rPr>
          <w:rFonts w:hint="eastAsia" w:ascii="仿宋_GB2312" w:eastAsia="仿宋_GB2312"/>
          <w:sz w:val="32"/>
          <w:szCs w:val="32"/>
          <w:lang w:val="en-US" w:eastAsia="zh-Hans"/>
        </w:rPr>
        <w:t>秩序；</w:t>
      </w:r>
    </w:p>
    <w:p w14:paraId="4EF1967F">
      <w:pPr>
        <w:pStyle w:val="5"/>
        <w:keepNext w:val="0"/>
        <w:keepLines w:val="0"/>
        <w:pageBreakBefore w:val="0"/>
        <w:widowControl w:val="0"/>
        <w:numPr>
          <w:ilvl w:val="0"/>
          <w:numId w:val="2"/>
        </w:numP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rPr>
          <w:rFonts w:hint="eastAsia" w:ascii="仿宋_GB2312" w:eastAsia="仿宋_GB2312"/>
          <w:sz w:val="32"/>
          <w:szCs w:val="32"/>
          <w:lang w:val="en-US" w:eastAsia="zh-Hans"/>
        </w:rPr>
      </w:pPr>
      <w:r>
        <w:rPr>
          <w:rFonts w:hint="eastAsia" w:ascii="仿宋_GB2312" w:eastAsia="仿宋_GB2312"/>
          <w:sz w:val="32"/>
          <w:szCs w:val="32"/>
          <w:lang w:val="en-US" w:eastAsia="zh-Hans"/>
        </w:rPr>
        <w:t>协助</w:t>
      </w:r>
      <w:r>
        <w:rPr>
          <w:rFonts w:hint="eastAsia" w:ascii="仿宋_GB2312" w:eastAsia="仿宋_GB2312"/>
          <w:sz w:val="32"/>
          <w:szCs w:val="32"/>
          <w:lang w:val="en-US" w:eastAsia="zh-CN"/>
        </w:rPr>
        <w:t>开展交通安全宣传教育</w:t>
      </w:r>
      <w:r>
        <w:rPr>
          <w:rFonts w:hint="eastAsia" w:ascii="仿宋_GB2312" w:eastAsia="仿宋_GB2312"/>
          <w:sz w:val="32"/>
          <w:szCs w:val="32"/>
          <w:lang w:val="en-US" w:eastAsia="zh-Hans"/>
        </w:rPr>
        <w:t xml:space="preserve">； </w:t>
      </w:r>
    </w:p>
    <w:p w14:paraId="68D2EF6C">
      <w:pPr>
        <w:pStyle w:val="5"/>
        <w:keepNext w:val="0"/>
        <w:keepLines w:val="0"/>
        <w:pageBreakBefore w:val="0"/>
        <w:widowControl w:val="0"/>
        <w:numPr>
          <w:ilvl w:val="0"/>
          <w:numId w:val="2"/>
        </w:numP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rPr>
          <w:rFonts w:hint="eastAsia" w:ascii="仿宋_GB2312" w:eastAsia="仿宋_GB2312"/>
          <w:sz w:val="32"/>
          <w:szCs w:val="32"/>
          <w:lang w:val="en-US" w:eastAsia="zh-Hans"/>
        </w:rPr>
      </w:pPr>
      <w:r>
        <w:rPr>
          <w:rFonts w:hint="eastAsia" w:ascii="仿宋_GB2312" w:eastAsia="仿宋_GB2312"/>
          <w:sz w:val="32"/>
          <w:szCs w:val="32"/>
          <w:lang w:val="en-US" w:eastAsia="zh-Hans"/>
        </w:rPr>
        <w:t>协助交通应急事件的处理；</w:t>
      </w:r>
    </w:p>
    <w:p w14:paraId="0500DBCA">
      <w:pPr>
        <w:pStyle w:val="5"/>
        <w:keepNext w:val="0"/>
        <w:keepLines w:val="0"/>
        <w:pageBreakBefore w:val="0"/>
        <w:widowControl w:val="0"/>
        <w:numPr>
          <w:ilvl w:val="0"/>
          <w:numId w:val="2"/>
        </w:numP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rPr>
          <w:rFonts w:hint="eastAsia" w:ascii="仿宋_GB2312" w:eastAsia="仿宋_GB2312"/>
          <w:sz w:val="32"/>
          <w:szCs w:val="32"/>
          <w:lang w:val="en-US" w:eastAsia="zh-Hans"/>
        </w:rPr>
      </w:pPr>
      <w:r>
        <w:rPr>
          <w:rFonts w:hint="eastAsia" w:ascii="仿宋_GB2312" w:eastAsia="仿宋_GB2312"/>
          <w:sz w:val="32"/>
          <w:szCs w:val="32"/>
          <w:lang w:val="en-US" w:eastAsia="zh-Hans"/>
        </w:rPr>
        <w:t>协助完成采购单位要求的其它相关工作。</w:t>
      </w:r>
    </w:p>
    <w:p w14:paraId="601E7DCD">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210" w:leftChars="0" w:right="0" w:rightChars="0" w:firstLine="420" w:firstLineChars="0"/>
        <w:jc w:val="both"/>
        <w:textAlignment w:val="auto"/>
        <w:rPr>
          <w:rFonts w:hint="eastAsia" w:ascii="黑体" w:hAnsi="黑体" w:eastAsia="黑体" w:cs="宋体"/>
          <w:b w:val="0"/>
          <w:bCs/>
          <w:kern w:val="2"/>
          <w:sz w:val="32"/>
          <w:szCs w:val="32"/>
          <w:lang w:val="en-US" w:eastAsia="zh-CN" w:bidi="ar-SA"/>
        </w:rPr>
      </w:pPr>
      <w:r>
        <w:rPr>
          <w:rFonts w:hint="eastAsia" w:ascii="黑体" w:hAnsi="黑体" w:eastAsia="黑体" w:cs="宋体"/>
          <w:b w:val="0"/>
          <w:bCs/>
          <w:kern w:val="2"/>
          <w:sz w:val="32"/>
          <w:szCs w:val="32"/>
          <w:lang w:val="en-US" w:eastAsia="zh-CN" w:bidi="ar-SA"/>
        </w:rPr>
        <w:t>供应商资格要求</w:t>
      </w:r>
    </w:p>
    <w:p w14:paraId="32BD62BB">
      <w:pPr>
        <w:keepNext w:val="0"/>
        <w:keepLines w:val="0"/>
        <w:pageBreakBefore w:val="0"/>
        <w:numPr>
          <w:ilvl w:val="0"/>
          <w:numId w:val="3"/>
        </w:numPr>
        <w:kinsoku/>
        <w:wordWrap/>
        <w:overflowPunct/>
        <w:topLinePunct w:val="0"/>
        <w:autoSpaceDE/>
        <w:autoSpaceDN/>
        <w:bidi w:val="0"/>
        <w:adjustRightInd/>
        <w:snapToGrid/>
        <w:spacing w:beforeAutospacing="0" w:line="560" w:lineRule="exact"/>
        <w:ind w:left="0" w:leftChars="0" w:firstLine="420" w:firstLineChars="0"/>
        <w:jc w:val="both"/>
        <w:textAlignment w:val="auto"/>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具有相关经营范围和承担民事责任能力，须提供营业执照副本复印件，并加盖投标法人公章；</w:t>
      </w:r>
    </w:p>
    <w:p w14:paraId="7CA3856F">
      <w:pPr>
        <w:keepNext w:val="0"/>
        <w:keepLines w:val="0"/>
        <w:pageBreakBefore w:val="0"/>
        <w:numPr>
          <w:ilvl w:val="0"/>
          <w:numId w:val="3"/>
        </w:numPr>
        <w:kinsoku/>
        <w:wordWrap/>
        <w:overflowPunct/>
        <w:topLinePunct w:val="0"/>
        <w:autoSpaceDE/>
        <w:autoSpaceDN/>
        <w:bidi w:val="0"/>
        <w:adjustRightInd/>
        <w:snapToGrid/>
        <w:spacing w:beforeAutospacing="0" w:line="560" w:lineRule="exact"/>
        <w:ind w:left="0" w:leftChars="0" w:firstLine="420" w:firstLineChars="0"/>
        <w:jc w:val="both"/>
        <w:textAlignment w:val="auto"/>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投标人未被列入失信被执行人、重大税收违法案件当事人名单、政府采购严重违法失信行为记录名单及其他不符合《中华人民共和国政府采购法》第二十二条规定条件的情形（采购方将通过“信用中国”网站、中国政府采购网等渠道查询相关主体信用记录）；</w:t>
      </w:r>
    </w:p>
    <w:p w14:paraId="52A1011C">
      <w:pPr>
        <w:keepNext w:val="0"/>
        <w:keepLines w:val="0"/>
        <w:pageBreakBefore w:val="0"/>
        <w:numPr>
          <w:ilvl w:val="0"/>
          <w:numId w:val="3"/>
        </w:numPr>
        <w:kinsoku/>
        <w:wordWrap/>
        <w:overflowPunct/>
        <w:topLinePunct w:val="0"/>
        <w:autoSpaceDE/>
        <w:autoSpaceDN/>
        <w:bidi w:val="0"/>
        <w:adjustRightInd/>
        <w:snapToGrid/>
        <w:spacing w:beforeAutospacing="0" w:line="560" w:lineRule="exact"/>
        <w:ind w:left="0" w:leftChars="0" w:firstLine="420" w:firstLineChars="0"/>
        <w:jc w:val="both"/>
        <w:textAlignment w:val="auto"/>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本项目不接受联合体投标，不允许分包、转包</w:t>
      </w:r>
      <w:r>
        <w:rPr>
          <w:rFonts w:hint="eastAsia" w:ascii="仿宋_GB2312" w:eastAsia="仿宋_GB2312" w:cs="Times New Roman"/>
          <w:b w:val="0"/>
          <w:bCs w:val="0"/>
          <w:color w:val="auto"/>
          <w:kern w:val="2"/>
          <w:sz w:val="32"/>
          <w:szCs w:val="32"/>
          <w:lang w:val="en-US" w:eastAsia="zh-CN" w:bidi="ar-SA"/>
        </w:rPr>
        <w:t>；</w:t>
      </w:r>
    </w:p>
    <w:p w14:paraId="0AD361C3">
      <w:pPr>
        <w:keepNext w:val="0"/>
        <w:keepLines w:val="0"/>
        <w:pageBreakBefore w:val="0"/>
        <w:numPr>
          <w:ilvl w:val="0"/>
          <w:numId w:val="3"/>
        </w:numPr>
        <w:kinsoku/>
        <w:wordWrap/>
        <w:overflowPunct/>
        <w:topLinePunct w:val="0"/>
        <w:autoSpaceDE/>
        <w:autoSpaceDN/>
        <w:bidi w:val="0"/>
        <w:adjustRightInd/>
        <w:snapToGrid/>
        <w:spacing w:beforeAutospacing="0" w:line="560" w:lineRule="exact"/>
        <w:ind w:left="0" w:leftChars="0" w:firstLine="420" w:firstLineChars="0"/>
        <w:jc w:val="both"/>
        <w:textAlignment w:val="auto"/>
        <w:rPr>
          <w:rFonts w:hint="eastAsia"/>
          <w:sz w:val="32"/>
          <w:szCs w:val="32"/>
          <w:lang w:val="en-US" w:eastAsia="zh-CN"/>
        </w:rPr>
      </w:pPr>
      <w:r>
        <w:rPr>
          <w:rFonts w:hint="eastAsia" w:ascii="仿宋_GB2312" w:hAnsi="Times New Roman" w:eastAsia="仿宋_GB2312" w:cs="Times New Roman"/>
          <w:b w:val="0"/>
          <w:bCs w:val="0"/>
          <w:color w:val="auto"/>
          <w:kern w:val="2"/>
          <w:sz w:val="32"/>
          <w:szCs w:val="32"/>
          <w:lang w:val="en-US" w:eastAsia="zh-CN" w:bidi="ar-SA"/>
        </w:rPr>
        <w:t>法定代表人证明书、法定代表人身份证复印件、授权委托书及被委托人身份证复印件。</w:t>
      </w:r>
    </w:p>
    <w:p w14:paraId="383FE3CD">
      <w:pPr>
        <w:keepNext w:val="0"/>
        <w:keepLines w:val="0"/>
        <w:pageBreakBefore w:val="0"/>
        <w:widowControl w:val="0"/>
        <w:numPr>
          <w:ilvl w:val="0"/>
          <w:numId w:val="1"/>
        </w:numPr>
        <w:kinsoku/>
        <w:wordWrap/>
        <w:overflowPunct/>
        <w:topLinePunct w:val="0"/>
        <w:autoSpaceDE/>
        <w:autoSpaceDN/>
        <w:bidi w:val="0"/>
        <w:adjustRightInd/>
        <w:snapToGrid/>
        <w:spacing w:beforeAutospacing="0" w:line="560" w:lineRule="exact"/>
        <w:ind w:left="210" w:leftChars="0" w:firstLine="420" w:firstLineChars="0"/>
        <w:textAlignment w:val="auto"/>
        <w:rPr>
          <w:rFonts w:hint="eastAsia" w:ascii="黑体" w:hAnsi="黑体" w:eastAsia="黑体" w:cs="宋体"/>
          <w:b w:val="0"/>
          <w:bCs/>
          <w:kern w:val="2"/>
          <w:sz w:val="32"/>
          <w:szCs w:val="32"/>
          <w:lang w:val="en-US" w:eastAsia="zh-CN" w:bidi="ar-SA"/>
        </w:rPr>
      </w:pPr>
      <w:r>
        <w:rPr>
          <w:rFonts w:hint="eastAsia" w:ascii="黑体" w:hAnsi="黑体" w:eastAsia="黑体" w:cs="宋体"/>
          <w:b w:val="0"/>
          <w:bCs/>
          <w:kern w:val="2"/>
          <w:sz w:val="32"/>
          <w:szCs w:val="32"/>
          <w:lang w:val="en-US" w:eastAsia="zh-CN" w:bidi="ar-SA"/>
        </w:rPr>
        <w:t>评标定标方法</w:t>
      </w:r>
    </w:p>
    <w:p w14:paraId="0D92E22B">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eastAsia="仿宋_GB2312" w:cs="Times New Roman"/>
          <w:b w:val="0"/>
          <w:bCs w:val="0"/>
          <w:color w:val="auto"/>
          <w:kern w:val="2"/>
          <w:sz w:val="32"/>
          <w:szCs w:val="32"/>
          <w:lang w:val="en-US" w:eastAsia="zh-CN" w:bidi="ar-SA"/>
        </w:rPr>
      </w:pPr>
      <w:r>
        <w:rPr>
          <w:rFonts w:hint="eastAsia" w:ascii="仿宋_GB2312" w:eastAsia="仿宋_GB2312" w:cs="Times New Roman"/>
          <w:b w:val="0"/>
          <w:bCs w:val="0"/>
          <w:color w:val="auto"/>
          <w:kern w:val="2"/>
          <w:sz w:val="32"/>
          <w:szCs w:val="32"/>
          <w:lang w:val="en-US" w:eastAsia="zh-CN" w:bidi="ar-SA"/>
        </w:rPr>
        <w:t>本项目采用综合评分法：是指在最大限度满足采购文件实质性要求前提下，按照采购文件规定的各项因素进行量化打分，最终按照评标总得分由高至低排序推荐候选中标人或中标人的评标方法。</w:t>
      </w:r>
    </w:p>
    <w:tbl>
      <w:tblPr>
        <w:tblStyle w:val="6"/>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435"/>
        <w:gridCol w:w="794"/>
        <w:gridCol w:w="1620"/>
        <w:gridCol w:w="885"/>
        <w:gridCol w:w="5338"/>
      </w:tblGrid>
      <w:tr w14:paraId="4FEC08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5" w:type="dxa"/>
            <w:tcBorders>
              <w:top w:val="single" w:color="000000" w:sz="8" w:space="0"/>
              <w:left w:val="single" w:color="000000" w:sz="8" w:space="0"/>
              <w:bottom w:val="single" w:color="000000" w:sz="8" w:space="0"/>
              <w:right w:val="single" w:color="000000" w:sz="8" w:space="0"/>
            </w:tcBorders>
            <w:shd w:val="clear" w:color="auto" w:fill="DBE3F4" w:themeFill="accent1" w:themeFillTint="32"/>
            <w:vAlign w:val="center"/>
          </w:tcPr>
          <w:p w14:paraId="0F0908FD">
            <w:pPr>
              <w:keepLines w:val="0"/>
              <w:pageBreakBefore w:val="0"/>
              <w:kinsoku/>
              <w:wordWrap w:val="0"/>
              <w:overflowPunct/>
              <w:topLinePunct w:val="0"/>
              <w:autoSpaceDE/>
              <w:autoSpaceDN/>
              <w:bidi w:val="0"/>
              <w:snapToGrid/>
              <w:spacing w:line="560" w:lineRule="exact"/>
              <w:jc w:val="center"/>
              <w:rPr>
                <w:rFonts w:asciiTheme="minorEastAsia" w:hAnsiTheme="minorEastAsia"/>
                <w:b/>
                <w:bCs/>
                <w:color w:val="000000" w:themeColor="text1"/>
                <w:highlight w:val="none"/>
                <w14:textFill>
                  <w14:solidFill>
                    <w14:schemeClr w14:val="tx1"/>
                  </w14:solidFill>
                </w14:textFill>
              </w:rPr>
            </w:pPr>
            <w:r>
              <w:rPr>
                <w:rFonts w:asciiTheme="minorEastAsia" w:hAnsiTheme="minorEastAsia"/>
                <w:b/>
                <w:bCs/>
                <w:color w:val="000000" w:themeColor="text1"/>
                <w:highlight w:val="none"/>
                <w14:textFill>
                  <w14:solidFill>
                    <w14:schemeClr w14:val="tx1"/>
                  </w14:solidFill>
                </w14:textFill>
              </w:rPr>
              <w:t>序号</w:t>
            </w:r>
          </w:p>
        </w:tc>
        <w:tc>
          <w:tcPr>
            <w:tcW w:w="3299" w:type="dxa"/>
            <w:gridSpan w:val="3"/>
            <w:tcBorders>
              <w:top w:val="single" w:color="000000" w:sz="8" w:space="0"/>
              <w:left w:val="single" w:color="000000" w:sz="8" w:space="0"/>
              <w:bottom w:val="single" w:color="000000" w:sz="8" w:space="0"/>
              <w:right w:val="single" w:color="000000" w:sz="8" w:space="0"/>
            </w:tcBorders>
            <w:shd w:val="clear" w:color="auto" w:fill="DBE3F4" w:themeFill="accent1" w:themeFillTint="32"/>
            <w:vAlign w:val="center"/>
          </w:tcPr>
          <w:p w14:paraId="4A494860">
            <w:pPr>
              <w:keepLines w:val="0"/>
              <w:pageBreakBefore w:val="0"/>
              <w:kinsoku/>
              <w:wordWrap w:val="0"/>
              <w:overflowPunct/>
              <w:topLinePunct w:val="0"/>
              <w:autoSpaceDE/>
              <w:autoSpaceDN/>
              <w:bidi w:val="0"/>
              <w:snapToGrid/>
              <w:spacing w:line="560" w:lineRule="exact"/>
              <w:jc w:val="center"/>
              <w:rPr>
                <w:rFonts w:asciiTheme="minorEastAsia" w:hAnsiTheme="minorEastAsia"/>
                <w:b/>
                <w:bCs/>
                <w:color w:val="000000" w:themeColor="text1"/>
                <w:highlight w:val="none"/>
                <w14:textFill>
                  <w14:solidFill>
                    <w14:schemeClr w14:val="tx1"/>
                  </w14:solidFill>
                </w14:textFill>
              </w:rPr>
            </w:pPr>
            <w:r>
              <w:rPr>
                <w:rFonts w:asciiTheme="minorEastAsia" w:hAnsiTheme="minorEastAsia"/>
                <w:b/>
                <w:bCs/>
                <w:color w:val="000000" w:themeColor="text1"/>
                <w:highlight w:val="none"/>
                <w14:textFill>
                  <w14:solidFill>
                    <w14:schemeClr w14:val="tx1"/>
                  </w14:solidFill>
                </w14:textFill>
              </w:rPr>
              <w:t>评分项</w:t>
            </w:r>
          </w:p>
        </w:tc>
        <w:tc>
          <w:tcPr>
            <w:tcW w:w="5338" w:type="dxa"/>
            <w:tcBorders>
              <w:top w:val="single" w:color="000000" w:sz="8" w:space="0"/>
              <w:left w:val="single" w:color="000000" w:sz="8" w:space="0"/>
              <w:bottom w:val="single" w:color="000000" w:sz="8" w:space="0"/>
              <w:right w:val="single" w:color="000000" w:sz="8" w:space="0"/>
            </w:tcBorders>
            <w:shd w:val="clear" w:color="auto" w:fill="DBE3F4" w:themeFill="accent1" w:themeFillTint="32"/>
            <w:vAlign w:val="center"/>
          </w:tcPr>
          <w:p w14:paraId="59091017">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b/>
                <w:bCs/>
                <w:color w:val="000000" w:themeColor="text1"/>
                <w:highlight w:val="none"/>
                <w:lang w:eastAsia="zh-CN"/>
                <w14:textFill>
                  <w14:solidFill>
                    <w14:schemeClr w14:val="tx1"/>
                  </w14:solidFill>
                </w14:textFill>
              </w:rPr>
            </w:pPr>
            <w:r>
              <w:rPr>
                <w:rFonts w:hint="eastAsia" w:asciiTheme="minorEastAsia" w:hAnsiTheme="minorEastAsia"/>
                <w:b/>
                <w:bCs/>
                <w:color w:val="000000" w:themeColor="text1"/>
                <w:highlight w:val="none"/>
                <w:lang w:eastAsia="zh-CN"/>
                <w14:textFill>
                  <w14:solidFill>
                    <w14:schemeClr w14:val="tx1"/>
                  </w14:solidFill>
                </w14:textFill>
              </w:rPr>
              <w:t>分值</w:t>
            </w:r>
          </w:p>
        </w:tc>
      </w:tr>
      <w:tr w14:paraId="520262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5" w:type="dxa"/>
            <w:tcBorders>
              <w:top w:val="single" w:color="000000" w:sz="8" w:space="0"/>
              <w:left w:val="single" w:color="000000" w:sz="8" w:space="0"/>
              <w:bottom w:val="single" w:color="000000" w:sz="8" w:space="0"/>
              <w:right w:val="single" w:color="000000" w:sz="8" w:space="0"/>
            </w:tcBorders>
          </w:tcPr>
          <w:p w14:paraId="3945EA08">
            <w:pPr>
              <w:keepLines w:val="0"/>
              <w:pageBreakBefore w:val="0"/>
              <w:kinsoku/>
              <w:wordWrap w:val="0"/>
              <w:overflowPunct/>
              <w:topLinePunct w:val="0"/>
              <w:autoSpaceDE/>
              <w:autoSpaceDN/>
              <w:bidi w:val="0"/>
              <w:snapToGrid/>
              <w:spacing w:line="560" w:lineRule="exact"/>
              <w:jc w:val="center"/>
              <w:rPr>
                <w:rFonts w:asciiTheme="minorEastAsia" w:hAnsiTheme="minorEastAsia"/>
                <w:b/>
                <w:bCs/>
                <w:color w:val="000000" w:themeColor="text1"/>
                <w:highlight w:val="none"/>
                <w14:textFill>
                  <w14:solidFill>
                    <w14:schemeClr w14:val="tx1"/>
                  </w14:solidFill>
                </w14:textFill>
              </w:rPr>
            </w:pPr>
            <w:r>
              <w:rPr>
                <w:rFonts w:asciiTheme="minorEastAsia" w:hAnsiTheme="minorEastAsia"/>
                <w:b/>
                <w:bCs/>
                <w:color w:val="000000" w:themeColor="text1"/>
                <w:highlight w:val="none"/>
                <w14:textFill>
                  <w14:solidFill>
                    <w14:schemeClr w14:val="tx1"/>
                  </w14:solidFill>
                </w14:textFill>
              </w:rPr>
              <w:t>1</w:t>
            </w:r>
          </w:p>
        </w:tc>
        <w:tc>
          <w:tcPr>
            <w:tcW w:w="3299" w:type="dxa"/>
            <w:gridSpan w:val="3"/>
            <w:tcBorders>
              <w:top w:val="single" w:color="000000" w:sz="8" w:space="0"/>
              <w:left w:val="single" w:color="000000" w:sz="8" w:space="0"/>
              <w:bottom w:val="single" w:color="000000" w:sz="8" w:space="0"/>
              <w:right w:val="single" w:color="000000" w:sz="8" w:space="0"/>
            </w:tcBorders>
          </w:tcPr>
          <w:p w14:paraId="64CC7D09">
            <w:pPr>
              <w:keepLines w:val="0"/>
              <w:pageBreakBefore w:val="0"/>
              <w:kinsoku/>
              <w:wordWrap w:val="0"/>
              <w:overflowPunct/>
              <w:topLinePunct w:val="0"/>
              <w:autoSpaceDE/>
              <w:autoSpaceDN/>
              <w:bidi w:val="0"/>
              <w:snapToGrid/>
              <w:spacing w:line="560" w:lineRule="exact"/>
              <w:jc w:val="center"/>
              <w:rPr>
                <w:rFonts w:asciiTheme="minorEastAsia" w:hAnsiTheme="minorEastAsia"/>
                <w:b/>
                <w:bCs/>
                <w:color w:val="000000" w:themeColor="text1"/>
                <w:highlight w:val="none"/>
                <w14:textFill>
                  <w14:solidFill>
                    <w14:schemeClr w14:val="tx1"/>
                  </w14:solidFill>
                </w14:textFill>
              </w:rPr>
            </w:pPr>
            <w:r>
              <w:rPr>
                <w:rFonts w:asciiTheme="minorEastAsia" w:hAnsiTheme="minorEastAsia"/>
                <w:b/>
                <w:bCs/>
                <w:color w:val="000000" w:themeColor="text1"/>
                <w:highlight w:val="none"/>
                <w14:textFill>
                  <w14:solidFill>
                    <w14:schemeClr w14:val="tx1"/>
                  </w14:solidFill>
                </w14:textFill>
              </w:rPr>
              <w:t>价格</w:t>
            </w:r>
          </w:p>
        </w:tc>
        <w:tc>
          <w:tcPr>
            <w:tcW w:w="5338" w:type="dxa"/>
            <w:tcBorders>
              <w:top w:val="single" w:color="000000" w:sz="8" w:space="0"/>
              <w:left w:val="single" w:color="000000" w:sz="8" w:space="0"/>
              <w:bottom w:val="single" w:color="000000" w:sz="8" w:space="0"/>
              <w:right w:val="single" w:color="000000" w:sz="8" w:space="0"/>
            </w:tcBorders>
          </w:tcPr>
          <w:p w14:paraId="4D4E0B0A">
            <w:pPr>
              <w:keepLines w:val="0"/>
              <w:pageBreakBefore w:val="0"/>
              <w:kinsoku/>
              <w:wordWrap w:val="0"/>
              <w:overflowPunct/>
              <w:topLinePunct w:val="0"/>
              <w:autoSpaceDE/>
              <w:autoSpaceDN/>
              <w:bidi w:val="0"/>
              <w:snapToGrid/>
              <w:spacing w:line="560" w:lineRule="exact"/>
              <w:jc w:val="center"/>
              <w:rPr>
                <w:rFonts w:hint="default" w:eastAsia="宋体" w:asciiTheme="minorEastAsia" w:hAnsiTheme="minorEastAsia"/>
                <w:b/>
                <w:bCs/>
                <w:color w:val="000000" w:themeColor="text1"/>
                <w:highlight w:val="none"/>
                <w:lang w:val="en-US" w:eastAsia="zh-CN"/>
                <w14:textFill>
                  <w14:solidFill>
                    <w14:schemeClr w14:val="tx1"/>
                  </w14:solidFill>
                </w14:textFill>
              </w:rPr>
            </w:pPr>
            <w:r>
              <w:rPr>
                <w:rFonts w:hint="eastAsia" w:asciiTheme="minorEastAsia" w:hAnsiTheme="minorEastAsia"/>
                <w:b/>
                <w:bCs/>
                <w:color w:val="000000" w:themeColor="text1"/>
                <w:highlight w:val="none"/>
                <w:lang w:val="en-US" w:eastAsia="zh-CN"/>
                <w14:textFill>
                  <w14:solidFill>
                    <w14:schemeClr w14:val="tx1"/>
                  </w14:solidFill>
                </w14:textFill>
              </w:rPr>
              <w:t>20</w:t>
            </w:r>
          </w:p>
        </w:tc>
      </w:tr>
      <w:tr w14:paraId="38EE91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50" w:hRule="atLeast"/>
          <w:jc w:val="center"/>
        </w:trPr>
        <w:tc>
          <w:tcPr>
            <w:tcW w:w="435" w:type="dxa"/>
            <w:vMerge w:val="restart"/>
            <w:tcBorders>
              <w:left w:val="single" w:color="000000" w:sz="8" w:space="0"/>
              <w:right w:val="single" w:color="000000" w:sz="8" w:space="0"/>
            </w:tcBorders>
          </w:tcPr>
          <w:p w14:paraId="1C88A5F3">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cstheme="minorEastAsia"/>
                <w:b/>
                <w:bCs/>
                <w:lang w:val="en-US" w:eastAsia="zh-CN"/>
              </w:rPr>
            </w:pPr>
          </w:p>
          <w:p w14:paraId="7F998130">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cstheme="minorEastAsia"/>
                <w:b/>
                <w:bCs/>
                <w:lang w:val="en-US" w:eastAsia="zh-CN"/>
              </w:rPr>
            </w:pPr>
          </w:p>
          <w:p w14:paraId="54D9699A">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cstheme="minorEastAsia"/>
                <w:b/>
                <w:bCs/>
                <w:lang w:val="en-US" w:eastAsia="zh-CN"/>
              </w:rPr>
            </w:pPr>
          </w:p>
          <w:p w14:paraId="2E3FA2CF">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cstheme="minorEastAsia"/>
                <w:b/>
                <w:bCs/>
                <w:lang w:val="en-US" w:eastAsia="zh-CN"/>
              </w:rPr>
            </w:pPr>
          </w:p>
          <w:p w14:paraId="17236563">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cstheme="minorEastAsia"/>
                <w:b/>
                <w:bCs/>
                <w:lang w:val="en-US" w:eastAsia="zh-CN"/>
              </w:rPr>
            </w:pPr>
          </w:p>
          <w:p w14:paraId="5933FE02">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cstheme="minorEastAsia"/>
                <w:b/>
                <w:bCs/>
                <w:lang w:val="en-US" w:eastAsia="zh-CN"/>
              </w:rPr>
            </w:pPr>
          </w:p>
          <w:p w14:paraId="33A95BA1">
            <w:pPr>
              <w:keepLines w:val="0"/>
              <w:pageBreakBefore w:val="0"/>
              <w:kinsoku/>
              <w:wordWrap w:val="0"/>
              <w:overflowPunct/>
              <w:topLinePunct w:val="0"/>
              <w:autoSpaceDE/>
              <w:autoSpaceDN/>
              <w:bidi w:val="0"/>
              <w:snapToGrid/>
              <w:spacing w:line="560" w:lineRule="exact"/>
              <w:jc w:val="center"/>
              <w:rPr>
                <w:rFonts w:hint="eastAsia" w:eastAsiaTheme="minorEastAsia"/>
                <w:lang w:val="en-US" w:eastAsia="zh-CN"/>
              </w:rPr>
            </w:pPr>
            <w:r>
              <w:rPr>
                <w:rFonts w:hint="eastAsia" w:asciiTheme="minorEastAsia" w:hAnsiTheme="minorEastAsia" w:eastAsiaTheme="minorEastAsia" w:cstheme="minorEastAsia"/>
                <w:b/>
                <w:bCs/>
                <w:lang w:val="en-US" w:eastAsia="zh-CN"/>
              </w:rPr>
              <w:t>2</w:t>
            </w:r>
          </w:p>
        </w:tc>
        <w:tc>
          <w:tcPr>
            <w:tcW w:w="3299" w:type="dxa"/>
            <w:gridSpan w:val="3"/>
            <w:tcBorders>
              <w:top w:val="single" w:color="000000" w:sz="8" w:space="0"/>
              <w:left w:val="single" w:color="000000" w:sz="8" w:space="0"/>
              <w:bottom w:val="single" w:color="000000" w:sz="8" w:space="0"/>
              <w:right w:val="single" w:color="000000" w:sz="8" w:space="0"/>
            </w:tcBorders>
          </w:tcPr>
          <w:p w14:paraId="3739CA16">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bCs/>
                <w:color w:val="000000" w:themeColor="text1"/>
                <w:highlight w:val="none"/>
                <w:lang w:eastAsia="zh-CN"/>
                <w14:textFill>
                  <w14:solidFill>
                    <w14:schemeClr w14:val="tx1"/>
                  </w14:solidFill>
                </w14:textFill>
              </w:rPr>
            </w:pPr>
            <w:r>
              <w:rPr>
                <w:rFonts w:hint="eastAsia" w:asciiTheme="minorEastAsia" w:hAnsiTheme="minorEastAsia"/>
                <w:b/>
                <w:bCs/>
                <w:color w:val="000000" w:themeColor="text1"/>
                <w:highlight w:val="none"/>
                <w:lang w:eastAsia="zh-CN"/>
                <w14:textFill>
                  <w14:solidFill>
                    <w14:schemeClr w14:val="tx1"/>
                  </w14:solidFill>
                </w14:textFill>
              </w:rPr>
              <w:t>技术部分</w:t>
            </w:r>
          </w:p>
        </w:tc>
        <w:tc>
          <w:tcPr>
            <w:tcW w:w="5338" w:type="dxa"/>
            <w:tcBorders>
              <w:left w:val="single" w:color="000000" w:sz="8" w:space="0"/>
              <w:right w:val="single" w:color="000000" w:sz="8" w:space="0"/>
            </w:tcBorders>
          </w:tcPr>
          <w:p w14:paraId="0A6956C2">
            <w:pPr>
              <w:keepLines w:val="0"/>
              <w:pageBreakBefore w:val="0"/>
              <w:kinsoku/>
              <w:wordWrap w:val="0"/>
              <w:overflowPunct/>
              <w:topLinePunct w:val="0"/>
              <w:autoSpaceDE/>
              <w:autoSpaceDN/>
              <w:bidi w:val="0"/>
              <w:snapToGrid/>
              <w:spacing w:line="560" w:lineRule="exact"/>
              <w:jc w:val="center"/>
              <w:rPr>
                <w:rFonts w:hint="default" w:asciiTheme="minorEastAsia" w:hAnsiTheme="minorEastAsia"/>
                <w:b/>
                <w:bCs/>
                <w:color w:val="000000" w:themeColor="text1"/>
                <w:highlight w:val="none"/>
                <w:lang w:val="en-US" w:eastAsia="zh-CN"/>
                <w14:textFill>
                  <w14:solidFill>
                    <w14:schemeClr w14:val="tx1"/>
                  </w14:solidFill>
                </w14:textFill>
              </w:rPr>
            </w:pPr>
            <w:r>
              <w:rPr>
                <w:rFonts w:hint="eastAsia" w:asciiTheme="minorEastAsia" w:hAnsiTheme="minorEastAsia"/>
                <w:b/>
                <w:bCs/>
                <w:color w:val="000000" w:themeColor="text1"/>
                <w:highlight w:val="none"/>
                <w:lang w:val="en-US" w:eastAsia="zh-CN"/>
                <w14:textFill>
                  <w14:solidFill>
                    <w14:schemeClr w14:val="tx1"/>
                  </w14:solidFill>
                </w14:textFill>
              </w:rPr>
              <w:t>56</w:t>
            </w:r>
          </w:p>
        </w:tc>
      </w:tr>
      <w:tr w14:paraId="39BAA1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50" w:hRule="atLeast"/>
          <w:jc w:val="center"/>
        </w:trPr>
        <w:tc>
          <w:tcPr>
            <w:tcW w:w="435" w:type="dxa"/>
            <w:vMerge w:val="continue"/>
            <w:tcBorders>
              <w:left w:val="single" w:color="000000" w:sz="8" w:space="0"/>
              <w:right w:val="single" w:color="000000" w:sz="8" w:space="0"/>
            </w:tcBorders>
          </w:tcPr>
          <w:p w14:paraId="4156AA30">
            <w:pPr>
              <w:keepLines w:val="0"/>
              <w:pageBreakBefore w:val="0"/>
              <w:kinsoku/>
              <w:wordWrap w:val="0"/>
              <w:overflowPunct/>
              <w:topLinePunct w:val="0"/>
              <w:autoSpaceDE/>
              <w:autoSpaceDN/>
              <w:bidi w:val="0"/>
              <w:snapToGrid/>
              <w:spacing w:line="560" w:lineRule="exact"/>
              <w:jc w:val="center"/>
              <w:rPr>
                <w:rFonts w:hint="eastAsia" w:eastAsiaTheme="minorEastAsia"/>
                <w:lang w:val="en-US" w:eastAsia="zh-CN"/>
              </w:rPr>
            </w:pPr>
          </w:p>
        </w:tc>
        <w:tc>
          <w:tcPr>
            <w:tcW w:w="794" w:type="dxa"/>
            <w:tcBorders>
              <w:top w:val="single" w:color="000000" w:sz="8" w:space="0"/>
              <w:left w:val="single" w:color="000000" w:sz="8" w:space="0"/>
              <w:bottom w:val="single" w:color="000000" w:sz="8" w:space="0"/>
              <w:right w:val="single" w:color="000000" w:sz="8" w:space="0"/>
            </w:tcBorders>
            <w:shd w:val="clear" w:color="auto" w:fill="DBE3F4" w:themeFill="accent1" w:themeFillTint="32"/>
          </w:tcPr>
          <w:p w14:paraId="1B749C81">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b w:val="0"/>
                <w:bCs w:val="0"/>
                <w:color w:val="000000" w:themeColor="text1"/>
                <w:highlight w:val="none"/>
                <w:shd w:val="clear" w:color="auto" w:fill="auto"/>
                <w:lang w:eastAsia="zh-CN"/>
                <w14:textFill>
                  <w14:solidFill>
                    <w14:schemeClr w14:val="tx1"/>
                  </w14:solidFill>
                </w14:textFill>
              </w:rPr>
            </w:pPr>
            <w:r>
              <w:rPr>
                <w:rFonts w:hint="eastAsia" w:asciiTheme="minorEastAsia" w:hAnsiTheme="minorEastAsia"/>
                <w:b w:val="0"/>
                <w:bCs w:val="0"/>
                <w:color w:val="000000" w:themeColor="text1"/>
                <w:highlight w:val="none"/>
                <w:shd w:val="clear" w:color="auto" w:fill="auto"/>
                <w:lang w:eastAsia="zh-CN"/>
                <w14:textFill>
                  <w14:solidFill>
                    <w14:schemeClr w14:val="tx1"/>
                  </w14:solidFill>
                </w14:textFill>
              </w:rPr>
              <w:t>序号</w:t>
            </w:r>
          </w:p>
        </w:tc>
        <w:tc>
          <w:tcPr>
            <w:tcW w:w="1620" w:type="dxa"/>
            <w:tcBorders>
              <w:top w:val="single" w:color="000000" w:sz="8" w:space="0"/>
              <w:left w:val="single" w:color="000000" w:sz="8" w:space="0"/>
              <w:bottom w:val="single" w:color="000000" w:sz="8" w:space="0"/>
              <w:right w:val="single" w:color="000000" w:sz="8" w:space="0"/>
            </w:tcBorders>
            <w:shd w:val="clear" w:color="auto" w:fill="DBE3F4" w:themeFill="accent1" w:themeFillTint="32"/>
          </w:tcPr>
          <w:p w14:paraId="3B85FBC5">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b w:val="0"/>
                <w:bCs w:val="0"/>
                <w:color w:val="000000" w:themeColor="text1"/>
                <w:highlight w:val="none"/>
                <w:shd w:val="clear" w:color="auto" w:fill="auto"/>
                <w:lang w:eastAsia="zh-CN"/>
                <w14:textFill>
                  <w14:solidFill>
                    <w14:schemeClr w14:val="tx1"/>
                  </w14:solidFill>
                </w14:textFill>
              </w:rPr>
            </w:pPr>
            <w:r>
              <w:rPr>
                <w:rFonts w:hint="eastAsia" w:asciiTheme="minorEastAsia" w:hAnsiTheme="minorEastAsia"/>
                <w:b w:val="0"/>
                <w:bCs w:val="0"/>
                <w:color w:val="000000" w:themeColor="text1"/>
                <w:highlight w:val="none"/>
                <w:shd w:val="clear" w:color="auto" w:fill="auto"/>
                <w:lang w:eastAsia="zh-CN"/>
                <w14:textFill>
                  <w14:solidFill>
                    <w14:schemeClr w14:val="tx1"/>
                  </w14:solidFill>
                </w14:textFill>
              </w:rPr>
              <w:t>评分因素</w:t>
            </w:r>
          </w:p>
        </w:tc>
        <w:tc>
          <w:tcPr>
            <w:tcW w:w="885" w:type="dxa"/>
            <w:tcBorders>
              <w:top w:val="single" w:color="000000" w:sz="8" w:space="0"/>
              <w:left w:val="single" w:color="000000" w:sz="8" w:space="0"/>
              <w:bottom w:val="single" w:color="000000" w:sz="8" w:space="0"/>
              <w:right w:val="single" w:color="000000" w:sz="8" w:space="0"/>
            </w:tcBorders>
            <w:shd w:val="clear" w:color="auto" w:fill="DBE3F4" w:themeFill="accent1" w:themeFillTint="32"/>
          </w:tcPr>
          <w:p w14:paraId="32204273">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b w:val="0"/>
                <w:bCs w:val="0"/>
                <w:color w:val="000000" w:themeColor="text1"/>
                <w:highlight w:val="none"/>
                <w:shd w:val="clear" w:color="auto" w:fill="auto"/>
                <w:lang w:eastAsia="zh-CN"/>
                <w14:textFill>
                  <w14:solidFill>
                    <w14:schemeClr w14:val="tx1"/>
                  </w14:solidFill>
                </w14:textFill>
              </w:rPr>
            </w:pPr>
            <w:r>
              <w:rPr>
                <w:rFonts w:hint="eastAsia" w:asciiTheme="minorEastAsia" w:hAnsiTheme="minorEastAsia"/>
                <w:b w:val="0"/>
                <w:bCs w:val="0"/>
                <w:color w:val="000000" w:themeColor="text1"/>
                <w:highlight w:val="none"/>
                <w:shd w:val="clear" w:color="auto" w:fill="auto"/>
                <w:lang w:eastAsia="zh-CN"/>
                <w14:textFill>
                  <w14:solidFill>
                    <w14:schemeClr w14:val="tx1"/>
                  </w14:solidFill>
                </w14:textFill>
              </w:rPr>
              <w:t>权重</w:t>
            </w:r>
          </w:p>
        </w:tc>
        <w:tc>
          <w:tcPr>
            <w:tcW w:w="5338" w:type="dxa"/>
            <w:tcBorders>
              <w:left w:val="single" w:color="000000" w:sz="8" w:space="0"/>
              <w:right w:val="single" w:color="000000" w:sz="8" w:space="0"/>
            </w:tcBorders>
            <w:shd w:val="clear" w:color="auto" w:fill="DBE3F4" w:themeFill="accent1" w:themeFillTint="32"/>
          </w:tcPr>
          <w:p w14:paraId="50C75274">
            <w:pPr>
              <w:keepLines w:val="0"/>
              <w:pageBreakBefore w:val="0"/>
              <w:kinsoku/>
              <w:wordWrap w:val="0"/>
              <w:overflowPunct/>
              <w:topLinePunct w:val="0"/>
              <w:autoSpaceDE/>
              <w:autoSpaceDN/>
              <w:bidi w:val="0"/>
              <w:snapToGrid/>
              <w:spacing w:line="560" w:lineRule="exact"/>
              <w:jc w:val="center"/>
              <w:rPr>
                <w:rFonts w:hint="default" w:asciiTheme="minorEastAsia" w:hAnsiTheme="minorEastAsia" w:eastAsiaTheme="minorEastAsia"/>
                <w:b w:val="0"/>
                <w:bCs w:val="0"/>
                <w:color w:val="000000" w:themeColor="text1"/>
                <w:highlight w:val="none"/>
                <w:shd w:val="clear" w:color="auto" w:fill="auto"/>
                <w:lang w:val="en-US" w:eastAsia="zh-CN"/>
                <w14:textFill>
                  <w14:solidFill>
                    <w14:schemeClr w14:val="tx1"/>
                  </w14:solidFill>
                </w14:textFill>
              </w:rPr>
            </w:pPr>
            <w:r>
              <w:rPr>
                <w:rFonts w:hint="eastAsia" w:asciiTheme="minorEastAsia" w:hAnsiTheme="minorEastAsia"/>
                <w:b w:val="0"/>
                <w:bCs w:val="0"/>
                <w:color w:val="000000" w:themeColor="text1"/>
                <w:highlight w:val="none"/>
                <w:shd w:val="clear" w:color="auto" w:fill="auto"/>
                <w:lang w:eastAsia="zh-CN"/>
                <w14:textFill>
                  <w14:solidFill>
                    <w14:schemeClr w14:val="tx1"/>
                  </w14:solidFill>
                </w14:textFill>
              </w:rPr>
              <w:t>评分准则</w:t>
            </w:r>
          </w:p>
        </w:tc>
      </w:tr>
      <w:tr w14:paraId="23DFFC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5" w:hRule="atLeast"/>
          <w:jc w:val="center"/>
        </w:trPr>
        <w:tc>
          <w:tcPr>
            <w:tcW w:w="435" w:type="dxa"/>
            <w:vMerge w:val="continue"/>
            <w:tcBorders>
              <w:left w:val="single" w:color="000000" w:sz="8" w:space="0"/>
              <w:right w:val="single" w:color="000000" w:sz="8" w:space="0"/>
            </w:tcBorders>
          </w:tcPr>
          <w:p w14:paraId="6AAC93BA">
            <w:pPr>
              <w:keepLines w:val="0"/>
              <w:pageBreakBefore w:val="0"/>
              <w:kinsoku/>
              <w:wordWrap w:val="0"/>
              <w:overflowPunct/>
              <w:topLinePunct w:val="0"/>
              <w:autoSpaceDE/>
              <w:autoSpaceDN/>
              <w:bidi w:val="0"/>
              <w:snapToGrid/>
              <w:spacing w:line="560" w:lineRule="exact"/>
              <w:jc w:val="center"/>
            </w:pPr>
          </w:p>
        </w:tc>
        <w:tc>
          <w:tcPr>
            <w:tcW w:w="794" w:type="dxa"/>
            <w:tcBorders>
              <w:top w:val="single" w:color="000000" w:sz="8" w:space="0"/>
              <w:left w:val="single" w:color="000000" w:sz="8" w:space="0"/>
              <w:bottom w:val="single" w:color="000000" w:sz="8" w:space="0"/>
              <w:right w:val="single" w:color="000000" w:sz="8" w:space="0"/>
            </w:tcBorders>
          </w:tcPr>
          <w:p w14:paraId="779571E5">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74284BB0">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799803D4">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00DF555A">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1</w:t>
            </w:r>
          </w:p>
        </w:tc>
        <w:tc>
          <w:tcPr>
            <w:tcW w:w="1620" w:type="dxa"/>
            <w:tcBorders>
              <w:top w:val="single" w:color="000000" w:sz="8" w:space="0"/>
              <w:left w:val="single" w:color="000000" w:sz="8" w:space="0"/>
              <w:bottom w:val="single" w:color="000000" w:sz="8" w:space="0"/>
              <w:right w:val="single" w:color="000000" w:sz="8" w:space="0"/>
            </w:tcBorders>
          </w:tcPr>
          <w:p w14:paraId="21004BF5">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14:textFill>
                  <w14:solidFill>
                    <w14:schemeClr w14:val="tx1"/>
                  </w14:solidFill>
                </w14:textFill>
              </w:rPr>
            </w:pPr>
          </w:p>
          <w:p w14:paraId="26C59A30">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14:textFill>
                  <w14:solidFill>
                    <w14:schemeClr w14:val="tx1"/>
                  </w14:solidFill>
                </w14:textFill>
              </w:rPr>
            </w:pPr>
          </w:p>
          <w:p w14:paraId="2FEA8A53">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14:textFill>
                  <w14:solidFill>
                    <w14:schemeClr w14:val="tx1"/>
                  </w14:solidFill>
                </w14:textFill>
              </w:rPr>
            </w:pPr>
          </w:p>
          <w:p w14:paraId="3006E5FF">
            <w:pPr>
              <w:keepLines w:val="0"/>
              <w:pageBreakBefore w:val="0"/>
              <w:kinsoku/>
              <w:wordWrap w:val="0"/>
              <w:overflowPunct/>
              <w:topLinePunct w:val="0"/>
              <w:autoSpaceDE/>
              <w:autoSpaceDN/>
              <w:bidi w:val="0"/>
              <w:snapToGrid/>
              <w:spacing w:line="560" w:lineRule="exact"/>
              <w:jc w:val="center"/>
              <w:rPr>
                <w:rFonts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项目服务方案</w:t>
            </w:r>
          </w:p>
        </w:tc>
        <w:tc>
          <w:tcPr>
            <w:tcW w:w="885" w:type="dxa"/>
            <w:tcBorders>
              <w:top w:val="single" w:color="000000" w:sz="8" w:space="0"/>
              <w:left w:val="single" w:color="000000" w:sz="8" w:space="0"/>
              <w:bottom w:val="single" w:color="000000" w:sz="8" w:space="0"/>
              <w:right w:val="single" w:color="000000" w:sz="8" w:space="0"/>
            </w:tcBorders>
          </w:tcPr>
          <w:p w14:paraId="20F61FEF">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0F6B6C2A">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5F6D1611">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632DAE95">
            <w:pPr>
              <w:keepLines w:val="0"/>
              <w:pageBreakBefore w:val="0"/>
              <w:kinsoku/>
              <w:wordWrap w:val="0"/>
              <w:overflowPunct/>
              <w:topLinePunct w:val="0"/>
              <w:autoSpaceDE/>
              <w:autoSpaceDN/>
              <w:bidi w:val="0"/>
              <w:snapToGrid/>
              <w:spacing w:line="560" w:lineRule="exact"/>
              <w:jc w:val="center"/>
              <w:rPr>
                <w:rFonts w:hint="default" w:asciiTheme="minorEastAsia" w:hAnsiTheme="minorEastAsia" w:eastAsia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36</w:t>
            </w:r>
          </w:p>
        </w:tc>
        <w:tc>
          <w:tcPr>
            <w:tcW w:w="5338" w:type="dxa"/>
            <w:tcBorders>
              <w:left w:val="single" w:color="000000" w:sz="8" w:space="0"/>
              <w:right w:val="single" w:color="000000" w:sz="8" w:space="0"/>
            </w:tcBorders>
          </w:tcPr>
          <w:p w14:paraId="0339C0F6">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一、评分内容</w:t>
            </w:r>
          </w:p>
          <w:p w14:paraId="40931B23">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投标人需提供项目服务方案，服务方案包含但不限于：</w:t>
            </w:r>
          </w:p>
          <w:p w14:paraId="5DB100A6">
            <w:pPr>
              <w:keepNext w:val="0"/>
              <w:keepLines w:val="0"/>
              <w:pageBreakBefore w:val="0"/>
              <w:widowControl w:val="0"/>
              <w:numPr>
                <w:ilvl w:val="0"/>
                <w:numId w:val="4"/>
              </w:numPr>
              <w:kinsoku/>
              <w:wordWrap w:val="0"/>
              <w:overflowPunct/>
              <w:topLinePunct w:val="0"/>
              <w:autoSpaceDE/>
              <w:autoSpaceDN/>
              <w:bidi w:val="0"/>
              <w:adjustRightInd/>
              <w:snapToGrid/>
              <w:spacing w:line="240" w:lineRule="auto"/>
              <w:ind w:left="0" w:leftChars="0" w:firstLine="420" w:firstLineChars="200"/>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项目组织管理；</w:t>
            </w:r>
          </w:p>
          <w:p w14:paraId="6E2A26EF">
            <w:pPr>
              <w:keepNext w:val="0"/>
              <w:keepLines w:val="0"/>
              <w:pageBreakBefore w:val="0"/>
              <w:widowControl w:val="0"/>
              <w:numPr>
                <w:ilvl w:val="0"/>
                <w:numId w:val="4"/>
              </w:numPr>
              <w:kinsoku/>
              <w:wordWrap w:val="0"/>
              <w:overflowPunct/>
              <w:topLinePunct w:val="0"/>
              <w:autoSpaceDE/>
              <w:autoSpaceDN/>
              <w:bidi w:val="0"/>
              <w:adjustRightInd/>
              <w:snapToGrid/>
              <w:spacing w:line="240" w:lineRule="auto"/>
              <w:ind w:left="0" w:leftChars="0" w:firstLine="420" w:firstLineChars="200"/>
              <w:jc w:val="left"/>
              <w:textAlignment w:val="auto"/>
              <w:rPr>
                <w:rFonts w:hint="eastAsia" w:asciiTheme="minorEastAsia" w:hAnsiTheme="minorEastAsia" w:eastAsia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项目目标方案</w:t>
            </w:r>
            <w:r>
              <w:rPr>
                <w:rFonts w:hint="eastAsia" w:asciiTheme="minorEastAsia" w:hAnsiTheme="minorEastAsia"/>
                <w:b w:val="0"/>
                <w:bCs w:val="0"/>
                <w:color w:val="000000" w:themeColor="text1"/>
                <w:highlight w:val="none"/>
                <w14:textFill>
                  <w14:solidFill>
                    <w14:schemeClr w14:val="tx1"/>
                  </w14:solidFill>
                </w14:textFill>
              </w:rPr>
              <w:t>；</w:t>
            </w:r>
          </w:p>
          <w:p w14:paraId="3D91ABD1">
            <w:pPr>
              <w:keepNext w:val="0"/>
              <w:keepLines w:val="0"/>
              <w:pageBreakBefore w:val="0"/>
              <w:widowControl w:val="0"/>
              <w:numPr>
                <w:ilvl w:val="0"/>
                <w:numId w:val="4"/>
              </w:numPr>
              <w:kinsoku/>
              <w:wordWrap w:val="0"/>
              <w:overflowPunct/>
              <w:topLinePunct w:val="0"/>
              <w:autoSpaceDE/>
              <w:autoSpaceDN/>
              <w:bidi w:val="0"/>
              <w:adjustRightInd/>
              <w:snapToGrid/>
              <w:spacing w:line="240" w:lineRule="auto"/>
              <w:ind w:left="0" w:leftChars="0" w:firstLine="420" w:firstLineChars="200"/>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项目风险管理；</w:t>
            </w:r>
          </w:p>
          <w:p w14:paraId="62FAF2A8">
            <w:pPr>
              <w:keepNext w:val="0"/>
              <w:keepLines w:val="0"/>
              <w:pageBreakBefore w:val="0"/>
              <w:widowControl w:val="0"/>
              <w:numPr>
                <w:ilvl w:val="0"/>
                <w:numId w:val="4"/>
              </w:numPr>
              <w:kinsoku/>
              <w:wordWrap w:val="0"/>
              <w:overflowPunct/>
              <w:topLinePunct w:val="0"/>
              <w:autoSpaceDE/>
              <w:autoSpaceDN/>
              <w:bidi w:val="0"/>
              <w:adjustRightInd/>
              <w:snapToGrid/>
              <w:spacing w:line="240" w:lineRule="auto"/>
              <w:ind w:left="0" w:leftChars="0" w:firstLine="420" w:firstLineChars="200"/>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服务质量保障。</w:t>
            </w:r>
          </w:p>
          <w:p w14:paraId="1B316596">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二、评分依据</w:t>
            </w:r>
          </w:p>
          <w:p w14:paraId="3FFB6407">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投标人提供的项目服务方案每满足以上1点要求的得</w:t>
            </w:r>
            <w:r>
              <w:rPr>
                <w:rFonts w:hint="eastAsia" w:asciiTheme="minorEastAsia" w:hAnsiTheme="minorEastAsia"/>
                <w:b w:val="0"/>
                <w:bCs w:val="0"/>
                <w:color w:val="000000" w:themeColor="text1"/>
                <w:highlight w:val="none"/>
                <w:lang w:val="en-US" w:eastAsia="zh-CN"/>
                <w14:textFill>
                  <w14:solidFill>
                    <w14:schemeClr w14:val="tx1"/>
                  </w14:solidFill>
                </w14:textFill>
              </w:rPr>
              <w:t>6</w:t>
            </w:r>
            <w:r>
              <w:rPr>
                <w:rFonts w:hint="eastAsia" w:asciiTheme="minorEastAsia" w:hAnsiTheme="minorEastAsia"/>
                <w:b w:val="0"/>
                <w:bCs w:val="0"/>
                <w:color w:val="000000" w:themeColor="text1"/>
                <w:highlight w:val="none"/>
                <w14:textFill>
                  <w14:solidFill>
                    <w14:schemeClr w14:val="tx1"/>
                  </w14:solidFill>
                </w14:textFill>
              </w:rPr>
              <w:t>分，最高得2</w:t>
            </w:r>
            <w:r>
              <w:rPr>
                <w:rFonts w:hint="eastAsia" w:asciiTheme="minorEastAsia" w:hAnsiTheme="minorEastAsia"/>
                <w:b w:val="0"/>
                <w:bCs w:val="0"/>
                <w:color w:val="000000" w:themeColor="text1"/>
                <w:highlight w:val="none"/>
                <w:lang w:val="en-US" w:eastAsia="zh-CN"/>
                <w14:textFill>
                  <w14:solidFill>
                    <w14:schemeClr w14:val="tx1"/>
                  </w14:solidFill>
                </w14:textFill>
              </w:rPr>
              <w:t>4</w:t>
            </w:r>
            <w:r>
              <w:rPr>
                <w:rFonts w:hint="eastAsia" w:asciiTheme="minorEastAsia" w:hAnsiTheme="minorEastAsia"/>
                <w:b w:val="0"/>
                <w:bCs w:val="0"/>
                <w:color w:val="000000" w:themeColor="text1"/>
                <w:highlight w:val="none"/>
                <w14:textFill>
                  <w14:solidFill>
                    <w14:schemeClr w14:val="tx1"/>
                  </w14:solidFill>
                </w14:textFill>
              </w:rPr>
              <w:t>分。</w:t>
            </w:r>
          </w:p>
          <w:p w14:paraId="7B90B9B7">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在此基础上，评委会根据</w:t>
            </w:r>
            <w:r>
              <w:rPr>
                <w:rFonts w:hint="eastAsia" w:asciiTheme="minorEastAsia" w:hAnsiTheme="minorEastAsia"/>
                <w:b w:val="0"/>
                <w:bCs w:val="0"/>
                <w:color w:val="000000" w:themeColor="text1"/>
                <w:highlight w:val="none"/>
                <w:lang w:eastAsia="zh-CN"/>
                <w14:textFill>
                  <w14:solidFill>
                    <w14:schemeClr w14:val="tx1"/>
                  </w14:solidFill>
                </w14:textFill>
              </w:rPr>
              <w:t>相应</w:t>
            </w:r>
            <w:r>
              <w:rPr>
                <w:rFonts w:hint="eastAsia" w:asciiTheme="minorEastAsia" w:hAnsiTheme="minorEastAsia"/>
                <w:b w:val="0"/>
                <w:bCs w:val="0"/>
                <w:color w:val="000000" w:themeColor="text1"/>
                <w:highlight w:val="none"/>
                <w14:textFill>
                  <w14:solidFill>
                    <w14:schemeClr w14:val="tx1"/>
                  </w14:solidFill>
                </w14:textFill>
              </w:rPr>
              <w:t>情况进行打分：</w:t>
            </w:r>
          </w:p>
          <w:p w14:paraId="1ADE4A48">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优：方案内容完整、科学合理、清晰准确，得</w:t>
            </w:r>
            <w:r>
              <w:rPr>
                <w:rFonts w:hint="eastAsia" w:asciiTheme="minorEastAsia" w:hAnsiTheme="minorEastAsia"/>
                <w:b w:val="0"/>
                <w:bCs w:val="0"/>
                <w:color w:val="000000" w:themeColor="text1"/>
                <w:highlight w:val="none"/>
                <w:lang w:val="en-US" w:eastAsia="zh-CN"/>
                <w14:textFill>
                  <w14:solidFill>
                    <w14:schemeClr w14:val="tx1"/>
                  </w14:solidFill>
                </w14:textFill>
              </w:rPr>
              <w:t>10</w:t>
            </w:r>
            <w:r>
              <w:rPr>
                <w:rFonts w:hint="eastAsia" w:asciiTheme="minorEastAsia" w:hAnsiTheme="minorEastAsia"/>
                <w:b w:val="0"/>
                <w:bCs w:val="0"/>
                <w:color w:val="000000" w:themeColor="text1"/>
                <w:highlight w:val="none"/>
                <w14:textFill>
                  <w14:solidFill>
                    <w14:schemeClr w14:val="tx1"/>
                  </w14:solidFill>
                </w14:textFill>
              </w:rPr>
              <w:t>-1</w:t>
            </w:r>
            <w:r>
              <w:rPr>
                <w:rFonts w:hint="eastAsia" w:asciiTheme="minorEastAsia" w:hAnsiTheme="minorEastAsia"/>
                <w:b w:val="0"/>
                <w:bCs w:val="0"/>
                <w:color w:val="000000" w:themeColor="text1"/>
                <w:highlight w:val="none"/>
                <w:lang w:val="en-US" w:eastAsia="zh-CN"/>
                <w14:textFill>
                  <w14:solidFill>
                    <w14:schemeClr w14:val="tx1"/>
                  </w14:solidFill>
                </w14:textFill>
              </w:rPr>
              <w:t>2</w:t>
            </w:r>
            <w:r>
              <w:rPr>
                <w:rFonts w:hint="eastAsia" w:asciiTheme="minorEastAsia" w:hAnsiTheme="minorEastAsia"/>
                <w:b w:val="0"/>
                <w:bCs w:val="0"/>
                <w:color w:val="000000" w:themeColor="text1"/>
                <w:highlight w:val="none"/>
                <w14:textFill>
                  <w14:solidFill>
                    <w14:schemeClr w14:val="tx1"/>
                  </w14:solidFill>
                </w14:textFill>
              </w:rPr>
              <w:t>分；</w:t>
            </w:r>
          </w:p>
          <w:p w14:paraId="651AC1E2">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良：方案内容较为完整、较为合理、较为清晰，得</w:t>
            </w:r>
            <w:r>
              <w:rPr>
                <w:rFonts w:hint="eastAsia" w:asciiTheme="minorEastAsia" w:hAnsiTheme="minorEastAsia"/>
                <w:b w:val="0"/>
                <w:bCs w:val="0"/>
                <w:color w:val="000000" w:themeColor="text1"/>
                <w:highlight w:val="none"/>
                <w:lang w:val="en-US" w:eastAsia="zh-CN"/>
                <w14:textFill>
                  <w14:solidFill>
                    <w14:schemeClr w14:val="tx1"/>
                  </w14:solidFill>
                </w14:textFill>
              </w:rPr>
              <w:t>6</w:t>
            </w:r>
            <w:r>
              <w:rPr>
                <w:rFonts w:hint="eastAsia" w:asciiTheme="minorEastAsia" w:hAnsiTheme="minorEastAsia"/>
                <w:b w:val="0"/>
                <w:bCs w:val="0"/>
                <w:color w:val="000000" w:themeColor="text1"/>
                <w:highlight w:val="none"/>
                <w14:textFill>
                  <w14:solidFill>
                    <w14:schemeClr w14:val="tx1"/>
                  </w14:solidFill>
                </w14:textFill>
              </w:rPr>
              <w:t>-</w:t>
            </w:r>
            <w:r>
              <w:rPr>
                <w:rFonts w:hint="eastAsia" w:asciiTheme="minorEastAsia" w:hAnsiTheme="minorEastAsia"/>
                <w:b w:val="0"/>
                <w:bCs w:val="0"/>
                <w:color w:val="000000" w:themeColor="text1"/>
                <w:highlight w:val="none"/>
                <w:lang w:val="en-US" w:eastAsia="zh-CN"/>
                <w14:textFill>
                  <w14:solidFill>
                    <w14:schemeClr w14:val="tx1"/>
                  </w14:solidFill>
                </w14:textFill>
              </w:rPr>
              <w:t>9</w:t>
            </w:r>
            <w:r>
              <w:rPr>
                <w:rFonts w:hint="eastAsia" w:asciiTheme="minorEastAsia" w:hAnsiTheme="minorEastAsia"/>
                <w:b w:val="0"/>
                <w:bCs w:val="0"/>
                <w:color w:val="000000" w:themeColor="text1"/>
                <w:highlight w:val="none"/>
                <w14:textFill>
                  <w14:solidFill>
                    <w14:schemeClr w14:val="tx1"/>
                  </w14:solidFill>
                </w14:textFill>
              </w:rPr>
              <w:t>分；</w:t>
            </w:r>
          </w:p>
          <w:p w14:paraId="1A1A7392">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中：方案内容有部分缺少、基本合理、基本清晰，得</w:t>
            </w:r>
            <w:r>
              <w:rPr>
                <w:rFonts w:hint="eastAsia" w:asciiTheme="minorEastAsia" w:hAnsiTheme="minorEastAsia"/>
                <w:b w:val="0"/>
                <w:bCs w:val="0"/>
                <w:color w:val="000000" w:themeColor="text1"/>
                <w:highlight w:val="none"/>
                <w:lang w:val="en-US" w:eastAsia="zh-CN"/>
                <w14:textFill>
                  <w14:solidFill>
                    <w14:schemeClr w14:val="tx1"/>
                  </w14:solidFill>
                </w14:textFill>
              </w:rPr>
              <w:t>1</w:t>
            </w:r>
            <w:r>
              <w:rPr>
                <w:rFonts w:hint="eastAsia" w:asciiTheme="minorEastAsia" w:hAnsiTheme="minorEastAsia"/>
                <w:b w:val="0"/>
                <w:bCs w:val="0"/>
                <w:color w:val="000000" w:themeColor="text1"/>
                <w:highlight w:val="none"/>
                <w14:textFill>
                  <w14:solidFill>
                    <w14:schemeClr w14:val="tx1"/>
                  </w14:solidFill>
                </w14:textFill>
              </w:rPr>
              <w:t>-</w:t>
            </w:r>
            <w:r>
              <w:rPr>
                <w:rFonts w:hint="eastAsia" w:asciiTheme="minorEastAsia" w:hAnsiTheme="minorEastAsia"/>
                <w:b w:val="0"/>
                <w:bCs w:val="0"/>
                <w:color w:val="000000" w:themeColor="text1"/>
                <w:highlight w:val="none"/>
                <w:lang w:val="en-US" w:eastAsia="zh-CN"/>
                <w14:textFill>
                  <w14:solidFill>
                    <w14:schemeClr w14:val="tx1"/>
                  </w14:solidFill>
                </w14:textFill>
              </w:rPr>
              <w:t>5</w:t>
            </w:r>
            <w:r>
              <w:rPr>
                <w:rFonts w:hint="eastAsia" w:asciiTheme="minorEastAsia" w:hAnsiTheme="minorEastAsia"/>
                <w:b w:val="0"/>
                <w:bCs w:val="0"/>
                <w:color w:val="000000" w:themeColor="text1"/>
                <w:highlight w:val="none"/>
                <w14:textFill>
                  <w14:solidFill>
                    <w14:schemeClr w14:val="tx1"/>
                  </w14:solidFill>
                </w14:textFill>
              </w:rPr>
              <w:t>分；</w:t>
            </w:r>
          </w:p>
          <w:p w14:paraId="14031D03">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差：方案存在内容严重缺失、不合理、不清晰任一情形的，得0分。</w:t>
            </w:r>
          </w:p>
          <w:p w14:paraId="2737CE6F">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left"/>
              <w:textAlignment w:val="auto"/>
              <w:rPr>
                <w:b w:val="0"/>
                <w:bCs w:val="0"/>
              </w:rPr>
            </w:pPr>
            <w:r>
              <w:rPr>
                <w:rFonts w:hint="eastAsia" w:asciiTheme="minorEastAsia" w:hAnsiTheme="minorEastAsia"/>
                <w:b w:val="0"/>
                <w:bCs w:val="0"/>
                <w:color w:val="000000" w:themeColor="text1"/>
                <w:highlight w:val="none"/>
                <w14:textFill>
                  <w14:solidFill>
                    <w14:schemeClr w14:val="tx1"/>
                  </w14:solidFill>
                </w14:textFill>
              </w:rPr>
              <w:t>以上两点累积相加，满分为3</w:t>
            </w:r>
            <w:r>
              <w:rPr>
                <w:rFonts w:hint="eastAsia" w:asciiTheme="minorEastAsia" w:hAnsiTheme="minorEastAsia"/>
                <w:b w:val="0"/>
                <w:bCs w:val="0"/>
                <w:color w:val="000000" w:themeColor="text1"/>
                <w:highlight w:val="none"/>
                <w:lang w:val="en-US" w:eastAsia="zh-CN"/>
                <w14:textFill>
                  <w14:solidFill>
                    <w14:schemeClr w14:val="tx1"/>
                  </w14:solidFill>
                </w14:textFill>
              </w:rPr>
              <w:t>6</w:t>
            </w:r>
            <w:r>
              <w:rPr>
                <w:rFonts w:hint="eastAsia" w:asciiTheme="minorEastAsia" w:hAnsiTheme="minorEastAsia"/>
                <w:b w:val="0"/>
                <w:bCs w:val="0"/>
                <w:color w:val="000000" w:themeColor="text1"/>
                <w:highlight w:val="none"/>
                <w14:textFill>
                  <w14:solidFill>
                    <w14:schemeClr w14:val="tx1"/>
                  </w14:solidFill>
                </w14:textFill>
              </w:rPr>
              <w:t>分，最低为0分。</w:t>
            </w:r>
          </w:p>
        </w:tc>
      </w:tr>
      <w:tr w14:paraId="4CE737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50" w:hRule="atLeast"/>
          <w:jc w:val="center"/>
        </w:trPr>
        <w:tc>
          <w:tcPr>
            <w:tcW w:w="435" w:type="dxa"/>
            <w:vMerge w:val="continue"/>
            <w:tcBorders>
              <w:left w:val="single" w:color="000000" w:sz="8" w:space="0"/>
              <w:right w:val="single" w:color="000000" w:sz="8" w:space="0"/>
            </w:tcBorders>
          </w:tcPr>
          <w:p w14:paraId="2BCBAD29">
            <w:pPr>
              <w:keepLines w:val="0"/>
              <w:pageBreakBefore w:val="0"/>
              <w:kinsoku/>
              <w:wordWrap w:val="0"/>
              <w:overflowPunct/>
              <w:topLinePunct w:val="0"/>
              <w:autoSpaceDE/>
              <w:autoSpaceDN/>
              <w:bidi w:val="0"/>
              <w:snapToGrid/>
              <w:spacing w:line="560" w:lineRule="exact"/>
              <w:jc w:val="center"/>
              <w:rPr>
                <w:rFonts w:asciiTheme="minorEastAsia" w:hAnsiTheme="minorEastAsia"/>
                <w:b/>
                <w:bCs/>
                <w:color w:val="000000" w:themeColor="text1"/>
                <w:highlight w:val="none"/>
                <w14:textFill>
                  <w14:solidFill>
                    <w14:schemeClr w14:val="tx1"/>
                  </w14:solidFill>
                </w14:textFill>
              </w:rPr>
            </w:pPr>
          </w:p>
        </w:tc>
        <w:tc>
          <w:tcPr>
            <w:tcW w:w="794" w:type="dxa"/>
            <w:tcBorders>
              <w:top w:val="single" w:color="000000" w:sz="8" w:space="0"/>
              <w:left w:val="single" w:color="000000" w:sz="8" w:space="0"/>
              <w:bottom w:val="single" w:color="000000" w:sz="8" w:space="0"/>
              <w:right w:val="single" w:color="000000" w:sz="8" w:space="0"/>
            </w:tcBorders>
          </w:tcPr>
          <w:p w14:paraId="5E057C39">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22F4EE63">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2031D707">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4ED5F6F3">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769149A8">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76568EB4">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5EF4E153">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2</w:t>
            </w:r>
          </w:p>
        </w:tc>
        <w:tc>
          <w:tcPr>
            <w:tcW w:w="1620" w:type="dxa"/>
            <w:tcBorders>
              <w:top w:val="single" w:color="000000" w:sz="8" w:space="0"/>
              <w:left w:val="single" w:color="000000" w:sz="8" w:space="0"/>
              <w:bottom w:val="single" w:color="000000" w:sz="8" w:space="0"/>
              <w:right w:val="single" w:color="000000" w:sz="8" w:space="0"/>
            </w:tcBorders>
          </w:tcPr>
          <w:p w14:paraId="37D55111">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14:textFill>
                  <w14:solidFill>
                    <w14:schemeClr w14:val="tx1"/>
                  </w14:solidFill>
                </w14:textFill>
              </w:rPr>
            </w:pPr>
          </w:p>
          <w:p w14:paraId="3D971938">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14:textFill>
                  <w14:solidFill>
                    <w14:schemeClr w14:val="tx1"/>
                  </w14:solidFill>
                </w14:textFill>
              </w:rPr>
            </w:pPr>
          </w:p>
          <w:p w14:paraId="527CDF1F">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14:textFill>
                  <w14:solidFill>
                    <w14:schemeClr w14:val="tx1"/>
                  </w14:solidFill>
                </w14:textFill>
              </w:rPr>
            </w:pPr>
          </w:p>
          <w:p w14:paraId="4A1E0ED0">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14:textFill>
                  <w14:solidFill>
                    <w14:schemeClr w14:val="tx1"/>
                  </w14:solidFill>
                </w14:textFill>
              </w:rPr>
            </w:pPr>
          </w:p>
          <w:p w14:paraId="67B0E6B2">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14:textFill>
                  <w14:solidFill>
                    <w14:schemeClr w14:val="tx1"/>
                  </w14:solidFill>
                </w14:textFill>
              </w:rPr>
            </w:pPr>
          </w:p>
          <w:p w14:paraId="16B6AA06">
            <w:pPr>
              <w:keepLines w:val="0"/>
              <w:pageBreakBefore w:val="0"/>
              <w:kinsoku/>
              <w:wordWrap w:val="0"/>
              <w:overflowPunct/>
              <w:topLinePunct w:val="0"/>
              <w:autoSpaceDE/>
              <w:autoSpaceDN/>
              <w:bidi w:val="0"/>
              <w:snapToGrid/>
              <w:spacing w:line="560" w:lineRule="exact"/>
              <w:jc w:val="center"/>
              <w:rPr>
                <w:rFonts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项目重点难点分析方案</w:t>
            </w:r>
          </w:p>
        </w:tc>
        <w:tc>
          <w:tcPr>
            <w:tcW w:w="885" w:type="dxa"/>
            <w:tcBorders>
              <w:top w:val="single" w:color="000000" w:sz="8" w:space="0"/>
              <w:left w:val="single" w:color="000000" w:sz="8" w:space="0"/>
              <w:bottom w:val="single" w:color="000000" w:sz="8" w:space="0"/>
              <w:right w:val="single" w:color="000000" w:sz="8" w:space="0"/>
            </w:tcBorders>
          </w:tcPr>
          <w:p w14:paraId="0D4C010E">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634FA633">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6EC02575">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4D163DD3">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193E7E4B">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257E3C71">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1ADE1047">
            <w:pPr>
              <w:keepLines w:val="0"/>
              <w:pageBreakBefore w:val="0"/>
              <w:kinsoku/>
              <w:wordWrap w:val="0"/>
              <w:overflowPunct/>
              <w:topLinePunct w:val="0"/>
              <w:autoSpaceDE/>
              <w:autoSpaceDN/>
              <w:bidi w:val="0"/>
              <w:snapToGrid/>
              <w:spacing w:line="560" w:lineRule="exact"/>
              <w:jc w:val="center"/>
              <w:rPr>
                <w:rFonts w:hint="default" w:asciiTheme="minorEastAsia" w:hAnsiTheme="minorEastAsia" w:eastAsia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20</w:t>
            </w:r>
          </w:p>
        </w:tc>
        <w:tc>
          <w:tcPr>
            <w:tcW w:w="5338" w:type="dxa"/>
            <w:tcBorders>
              <w:left w:val="single" w:color="000000" w:sz="8" w:space="0"/>
              <w:right w:val="single" w:color="000000" w:sz="8" w:space="0"/>
            </w:tcBorders>
          </w:tcPr>
          <w:p w14:paraId="3156C405">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（一）评审内容：</w:t>
            </w:r>
          </w:p>
          <w:p w14:paraId="03F28C97">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投标人须针对以下几点进行项目重点难点分析、制定合理有效应对措施并提出相关合理化建议：</w:t>
            </w:r>
          </w:p>
          <w:p w14:paraId="687CA992">
            <w:pPr>
              <w:keepNext w:val="0"/>
              <w:keepLines w:val="0"/>
              <w:pageBreakBefore w:val="0"/>
              <w:widowControl w:val="0"/>
              <w:numPr>
                <w:ilvl w:val="0"/>
                <w:numId w:val="5"/>
              </w:numPr>
              <w:kinsoku/>
              <w:wordWrap w:val="0"/>
              <w:overflowPunct/>
              <w:topLinePunct w:val="0"/>
              <w:autoSpaceDE/>
              <w:autoSpaceDN/>
              <w:bidi w:val="0"/>
              <w:adjustRightInd/>
              <w:snapToGrid/>
              <w:spacing w:line="240" w:lineRule="auto"/>
              <w:ind w:left="0" w:leftChars="0" w:firstLine="420" w:firstLineChars="200"/>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项目目标保障方案</w:t>
            </w:r>
          </w:p>
          <w:p w14:paraId="0CC7C080">
            <w:pPr>
              <w:keepNext w:val="0"/>
              <w:keepLines w:val="0"/>
              <w:pageBreakBefore w:val="0"/>
              <w:widowControl w:val="0"/>
              <w:numPr>
                <w:ilvl w:val="0"/>
                <w:numId w:val="5"/>
              </w:numPr>
              <w:kinsoku/>
              <w:wordWrap w:val="0"/>
              <w:overflowPunct/>
              <w:topLinePunct w:val="0"/>
              <w:autoSpaceDE/>
              <w:autoSpaceDN/>
              <w:bidi w:val="0"/>
              <w:adjustRightInd/>
              <w:snapToGrid/>
              <w:spacing w:line="240" w:lineRule="auto"/>
              <w:ind w:left="0" w:leftChars="0" w:firstLine="420" w:firstLineChars="200"/>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人员招聘和</w:t>
            </w:r>
            <w:r>
              <w:rPr>
                <w:rFonts w:hint="eastAsia" w:asciiTheme="minorEastAsia" w:hAnsiTheme="minorEastAsia"/>
                <w:b w:val="0"/>
                <w:bCs w:val="0"/>
                <w:color w:val="000000" w:themeColor="text1"/>
                <w:highlight w:val="none"/>
                <w14:textFill>
                  <w14:solidFill>
                    <w14:schemeClr w14:val="tx1"/>
                  </w14:solidFill>
                </w14:textFill>
              </w:rPr>
              <w:t>培训方案；</w:t>
            </w:r>
          </w:p>
          <w:p w14:paraId="28A5C807">
            <w:pPr>
              <w:keepNext w:val="0"/>
              <w:keepLines w:val="0"/>
              <w:pageBreakBefore w:val="0"/>
              <w:widowControl w:val="0"/>
              <w:numPr>
                <w:ilvl w:val="0"/>
                <w:numId w:val="5"/>
              </w:numPr>
              <w:kinsoku/>
              <w:wordWrap w:val="0"/>
              <w:overflowPunct/>
              <w:topLinePunct w:val="0"/>
              <w:autoSpaceDE/>
              <w:autoSpaceDN/>
              <w:bidi w:val="0"/>
              <w:adjustRightInd/>
              <w:snapToGrid/>
              <w:spacing w:line="240" w:lineRule="auto"/>
              <w:ind w:left="0" w:leftChars="0" w:firstLine="420" w:firstLineChars="200"/>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投诉</w:t>
            </w:r>
            <w:r>
              <w:rPr>
                <w:rFonts w:hint="eastAsia" w:asciiTheme="minorEastAsia" w:hAnsiTheme="minorEastAsia"/>
                <w:b w:val="0"/>
                <w:bCs w:val="0"/>
                <w:color w:val="000000" w:themeColor="text1"/>
                <w:highlight w:val="none"/>
                <w:lang w:eastAsia="zh-CN"/>
                <w14:textFill>
                  <w14:solidFill>
                    <w14:schemeClr w14:val="tx1"/>
                  </w14:solidFill>
                </w14:textFill>
              </w:rPr>
              <w:t>、</w:t>
            </w:r>
            <w:r>
              <w:rPr>
                <w:rFonts w:hint="eastAsia" w:asciiTheme="minorEastAsia" w:hAnsiTheme="minorEastAsia"/>
                <w:b w:val="0"/>
                <w:bCs w:val="0"/>
                <w:color w:val="000000" w:themeColor="text1"/>
                <w:highlight w:val="none"/>
                <w14:textFill>
                  <w14:solidFill>
                    <w14:schemeClr w14:val="tx1"/>
                  </w14:solidFill>
                </w14:textFill>
              </w:rPr>
              <w:t>纠纷</w:t>
            </w:r>
            <w:r>
              <w:rPr>
                <w:rFonts w:hint="eastAsia" w:asciiTheme="minorEastAsia" w:hAnsiTheme="minorEastAsia"/>
                <w:b w:val="0"/>
                <w:bCs w:val="0"/>
                <w:color w:val="000000" w:themeColor="text1"/>
                <w:highlight w:val="none"/>
                <w:lang w:eastAsia="zh-CN"/>
                <w14:textFill>
                  <w14:solidFill>
                    <w14:schemeClr w14:val="tx1"/>
                  </w14:solidFill>
                </w14:textFill>
              </w:rPr>
              <w:t>、舆情处置机制</w:t>
            </w:r>
            <w:r>
              <w:rPr>
                <w:rFonts w:hint="eastAsia" w:asciiTheme="minorEastAsia" w:hAnsiTheme="minorEastAsia"/>
                <w:b w:val="0"/>
                <w:bCs w:val="0"/>
                <w:color w:val="000000" w:themeColor="text1"/>
                <w:highlight w:val="none"/>
                <w14:textFill>
                  <w14:solidFill>
                    <w14:schemeClr w14:val="tx1"/>
                  </w14:solidFill>
                </w14:textFill>
              </w:rPr>
              <w:t>；</w:t>
            </w:r>
          </w:p>
          <w:p w14:paraId="421E1A08">
            <w:pPr>
              <w:keepNext w:val="0"/>
              <w:keepLines w:val="0"/>
              <w:pageBreakBefore w:val="0"/>
              <w:widowControl w:val="0"/>
              <w:numPr>
                <w:ilvl w:val="0"/>
                <w:numId w:val="5"/>
              </w:numPr>
              <w:kinsoku/>
              <w:wordWrap w:val="0"/>
              <w:overflowPunct/>
              <w:topLinePunct w:val="0"/>
              <w:autoSpaceDE/>
              <w:autoSpaceDN/>
              <w:bidi w:val="0"/>
              <w:adjustRightInd/>
              <w:snapToGrid/>
              <w:spacing w:line="240" w:lineRule="auto"/>
              <w:ind w:left="0" w:leftChars="0" w:firstLine="420" w:firstLineChars="200"/>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安全保障管理方案</w:t>
            </w:r>
            <w:r>
              <w:rPr>
                <w:rFonts w:hint="eastAsia" w:asciiTheme="minorEastAsia" w:hAnsiTheme="minorEastAsia"/>
                <w:b w:val="0"/>
                <w:bCs w:val="0"/>
                <w:color w:val="000000" w:themeColor="text1"/>
                <w:highlight w:val="none"/>
                <w14:textFill>
                  <w14:solidFill>
                    <w14:schemeClr w14:val="tx1"/>
                  </w14:solidFill>
                </w14:textFill>
              </w:rPr>
              <w:t>；</w:t>
            </w:r>
          </w:p>
          <w:p w14:paraId="645C3538">
            <w:pPr>
              <w:keepNext w:val="0"/>
              <w:keepLines w:val="0"/>
              <w:pageBreakBefore w:val="0"/>
              <w:widowControl w:val="0"/>
              <w:numPr>
                <w:ilvl w:val="0"/>
                <w:numId w:val="5"/>
              </w:numPr>
              <w:kinsoku/>
              <w:wordWrap w:val="0"/>
              <w:overflowPunct/>
              <w:topLinePunct w:val="0"/>
              <w:autoSpaceDE/>
              <w:autoSpaceDN/>
              <w:bidi w:val="0"/>
              <w:adjustRightInd/>
              <w:snapToGrid/>
              <w:spacing w:line="240" w:lineRule="auto"/>
              <w:ind w:left="0" w:leftChars="0" w:firstLine="420" w:firstLineChars="200"/>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突发事件</w:t>
            </w:r>
            <w:r>
              <w:rPr>
                <w:rFonts w:hint="eastAsia" w:asciiTheme="minorEastAsia" w:hAnsiTheme="minorEastAsia"/>
                <w:b w:val="0"/>
                <w:bCs w:val="0"/>
                <w:color w:val="000000" w:themeColor="text1"/>
                <w:highlight w:val="none"/>
                <w14:textFill>
                  <w14:solidFill>
                    <w14:schemeClr w14:val="tx1"/>
                  </w14:solidFill>
                </w14:textFill>
              </w:rPr>
              <w:t>应急预案。</w:t>
            </w:r>
          </w:p>
          <w:p w14:paraId="254801F2">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（二）评分依据：</w:t>
            </w:r>
          </w:p>
          <w:p w14:paraId="597447B3">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项目重点难点分析方案每满足以上1点要求的得</w:t>
            </w:r>
            <w:r>
              <w:rPr>
                <w:rFonts w:hint="eastAsia" w:asciiTheme="minorEastAsia" w:hAnsiTheme="minorEastAsia"/>
                <w:b w:val="0"/>
                <w:bCs w:val="0"/>
                <w:color w:val="000000" w:themeColor="text1"/>
                <w:highlight w:val="none"/>
                <w:lang w:val="en-US" w:eastAsia="zh-CN"/>
                <w14:textFill>
                  <w14:solidFill>
                    <w14:schemeClr w14:val="tx1"/>
                  </w14:solidFill>
                </w14:textFill>
              </w:rPr>
              <w:t>2</w:t>
            </w:r>
            <w:r>
              <w:rPr>
                <w:rFonts w:hint="eastAsia" w:asciiTheme="minorEastAsia" w:hAnsiTheme="minorEastAsia"/>
                <w:b w:val="0"/>
                <w:bCs w:val="0"/>
                <w:color w:val="000000" w:themeColor="text1"/>
                <w:highlight w:val="none"/>
                <w14:textFill>
                  <w14:solidFill>
                    <w14:schemeClr w14:val="tx1"/>
                  </w14:solidFill>
                </w14:textFill>
              </w:rPr>
              <w:t>分，最高得</w:t>
            </w:r>
            <w:r>
              <w:rPr>
                <w:rFonts w:hint="eastAsia" w:asciiTheme="minorEastAsia" w:hAnsiTheme="minorEastAsia"/>
                <w:b w:val="0"/>
                <w:bCs w:val="0"/>
                <w:color w:val="000000" w:themeColor="text1"/>
                <w:highlight w:val="none"/>
                <w:lang w:val="en-US" w:eastAsia="zh-CN"/>
                <w14:textFill>
                  <w14:solidFill>
                    <w14:schemeClr w14:val="tx1"/>
                  </w14:solidFill>
                </w14:textFill>
              </w:rPr>
              <w:t>10</w:t>
            </w:r>
            <w:r>
              <w:rPr>
                <w:rFonts w:hint="eastAsia" w:asciiTheme="minorEastAsia" w:hAnsiTheme="minorEastAsia"/>
                <w:b w:val="0"/>
                <w:bCs w:val="0"/>
                <w:color w:val="000000" w:themeColor="text1"/>
                <w:highlight w:val="none"/>
                <w14:textFill>
                  <w14:solidFill>
                    <w14:schemeClr w14:val="tx1"/>
                  </w14:solidFill>
                </w14:textFill>
              </w:rPr>
              <w:t>分。</w:t>
            </w:r>
          </w:p>
          <w:p w14:paraId="22A5902E">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在此基础上，进一步评审：</w:t>
            </w:r>
          </w:p>
          <w:p w14:paraId="72836B32">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投标人提供的方案，描述了项目实际存在的关键点且从实际出发提出贴合现状的评价为优得8-10分。</w:t>
            </w:r>
          </w:p>
          <w:p w14:paraId="465BF48C">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投标人提供的方案基本能够涵盖项目的关键点，方案也基本能够解决问题的评价为良得</w:t>
            </w:r>
            <w:r>
              <w:rPr>
                <w:rFonts w:hint="eastAsia" w:asciiTheme="minorEastAsia" w:hAnsiTheme="minorEastAsia"/>
                <w:b w:val="0"/>
                <w:bCs w:val="0"/>
                <w:color w:val="000000" w:themeColor="text1"/>
                <w:highlight w:val="none"/>
                <w:lang w:val="en-US" w:eastAsia="zh-CN"/>
                <w14:textFill>
                  <w14:solidFill>
                    <w14:schemeClr w14:val="tx1"/>
                  </w14:solidFill>
                </w14:textFill>
              </w:rPr>
              <w:t>5-7</w:t>
            </w:r>
            <w:r>
              <w:rPr>
                <w:rFonts w:hint="eastAsia" w:asciiTheme="minorEastAsia" w:hAnsiTheme="minorEastAsia"/>
                <w:b w:val="0"/>
                <w:bCs w:val="0"/>
                <w:color w:val="000000" w:themeColor="text1"/>
                <w:highlight w:val="none"/>
                <w14:textFill>
                  <w14:solidFill>
                    <w14:schemeClr w14:val="tx1"/>
                  </w14:solidFill>
                </w14:textFill>
              </w:rPr>
              <w:t>分。</w:t>
            </w:r>
          </w:p>
          <w:p w14:paraId="7051E3B5">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投标人提供的方案不够全面的评价为中得1</w:t>
            </w:r>
            <w:r>
              <w:rPr>
                <w:rFonts w:hint="eastAsia" w:asciiTheme="minorEastAsia" w:hAnsiTheme="minorEastAsia"/>
                <w:b w:val="0"/>
                <w:bCs w:val="0"/>
                <w:color w:val="000000" w:themeColor="text1"/>
                <w:highlight w:val="none"/>
                <w:lang w:val="en-US" w:eastAsia="zh-CN"/>
                <w14:textFill>
                  <w14:solidFill>
                    <w14:schemeClr w14:val="tx1"/>
                  </w14:solidFill>
                </w14:textFill>
              </w:rPr>
              <w:t>-4</w:t>
            </w:r>
            <w:r>
              <w:rPr>
                <w:rFonts w:hint="eastAsia" w:asciiTheme="minorEastAsia" w:hAnsiTheme="minorEastAsia"/>
                <w:b w:val="0"/>
                <w:bCs w:val="0"/>
                <w:color w:val="000000" w:themeColor="text1"/>
                <w:highlight w:val="none"/>
                <w14:textFill>
                  <w14:solidFill>
                    <w14:schemeClr w14:val="tx1"/>
                  </w14:solidFill>
                </w14:textFill>
              </w:rPr>
              <w:t>分。</w:t>
            </w:r>
          </w:p>
          <w:p w14:paraId="38B567FA">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其他情况不得分。</w:t>
            </w:r>
          </w:p>
          <w:p w14:paraId="6C773DBE">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left"/>
              <w:textAlignment w:val="auto"/>
              <w:rPr>
                <w:rFonts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以上两点累积相加，满分为20分，最低为0分。</w:t>
            </w:r>
          </w:p>
        </w:tc>
      </w:tr>
      <w:tr w14:paraId="6C2EA9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50" w:hRule="atLeast"/>
          <w:jc w:val="center"/>
        </w:trPr>
        <w:tc>
          <w:tcPr>
            <w:tcW w:w="435" w:type="dxa"/>
            <w:vMerge w:val="restart"/>
            <w:tcBorders>
              <w:left w:val="single" w:color="000000" w:sz="8" w:space="0"/>
              <w:right w:val="single" w:color="000000" w:sz="8" w:space="0"/>
            </w:tcBorders>
          </w:tcPr>
          <w:p w14:paraId="1C230E39">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bCs/>
                <w:color w:val="000000" w:themeColor="text1"/>
                <w:highlight w:val="none"/>
                <w:lang w:val="en-US" w:eastAsia="zh-CN"/>
                <w14:textFill>
                  <w14:solidFill>
                    <w14:schemeClr w14:val="tx1"/>
                  </w14:solidFill>
                </w14:textFill>
              </w:rPr>
            </w:pPr>
          </w:p>
          <w:p w14:paraId="651995FB">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bCs/>
                <w:color w:val="000000" w:themeColor="text1"/>
                <w:highlight w:val="none"/>
                <w:lang w:val="en-US" w:eastAsia="zh-CN"/>
                <w14:textFill>
                  <w14:solidFill>
                    <w14:schemeClr w14:val="tx1"/>
                  </w14:solidFill>
                </w14:textFill>
              </w:rPr>
            </w:pPr>
          </w:p>
          <w:p w14:paraId="1CD19758">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bCs/>
                <w:color w:val="000000" w:themeColor="text1"/>
                <w:highlight w:val="none"/>
                <w:lang w:val="en-US" w:eastAsia="zh-CN"/>
                <w14:textFill>
                  <w14:solidFill>
                    <w14:schemeClr w14:val="tx1"/>
                  </w14:solidFill>
                </w14:textFill>
              </w:rPr>
            </w:pPr>
          </w:p>
          <w:p w14:paraId="17EBAF82">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bCs/>
                <w:color w:val="000000" w:themeColor="text1"/>
                <w:highlight w:val="none"/>
                <w:lang w:val="en-US" w:eastAsia="zh-CN"/>
                <w14:textFill>
                  <w14:solidFill>
                    <w14:schemeClr w14:val="tx1"/>
                  </w14:solidFill>
                </w14:textFill>
              </w:rPr>
            </w:pPr>
          </w:p>
          <w:p w14:paraId="7DD9D95E">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bCs/>
                <w:color w:val="000000" w:themeColor="text1"/>
                <w:highlight w:val="none"/>
                <w:lang w:val="en-US" w:eastAsia="zh-CN"/>
                <w14:textFill>
                  <w14:solidFill>
                    <w14:schemeClr w14:val="tx1"/>
                  </w14:solidFill>
                </w14:textFill>
              </w:rPr>
            </w:pPr>
          </w:p>
          <w:p w14:paraId="47A21F6A">
            <w:pPr>
              <w:keepLines w:val="0"/>
              <w:pageBreakBefore w:val="0"/>
              <w:kinsoku/>
              <w:wordWrap w:val="0"/>
              <w:overflowPunct/>
              <w:topLinePunct w:val="0"/>
              <w:autoSpaceDE/>
              <w:autoSpaceDN/>
              <w:bidi w:val="0"/>
              <w:snapToGrid/>
              <w:spacing w:line="560" w:lineRule="exact"/>
              <w:jc w:val="both"/>
              <w:rPr>
                <w:rFonts w:hint="eastAsia" w:asciiTheme="minorEastAsia" w:hAnsiTheme="minorEastAsia" w:eastAsiaTheme="minorEastAsia"/>
                <w:b/>
                <w:bCs/>
                <w:color w:val="000000" w:themeColor="text1"/>
                <w:highlight w:val="none"/>
                <w:lang w:val="en-US" w:eastAsia="zh-CN"/>
                <w14:textFill>
                  <w14:solidFill>
                    <w14:schemeClr w14:val="tx1"/>
                  </w14:solidFill>
                </w14:textFill>
              </w:rPr>
            </w:pPr>
            <w:r>
              <w:rPr>
                <w:rFonts w:hint="eastAsia" w:asciiTheme="minorEastAsia" w:hAnsiTheme="minorEastAsia"/>
                <w:b/>
                <w:bCs/>
                <w:color w:val="000000" w:themeColor="text1"/>
                <w:highlight w:val="none"/>
                <w:lang w:val="en-US" w:eastAsia="zh-CN"/>
                <w14:textFill>
                  <w14:solidFill>
                    <w14:schemeClr w14:val="tx1"/>
                  </w14:solidFill>
                </w14:textFill>
              </w:rPr>
              <w:t>3</w:t>
            </w:r>
          </w:p>
        </w:tc>
        <w:tc>
          <w:tcPr>
            <w:tcW w:w="3299" w:type="dxa"/>
            <w:gridSpan w:val="3"/>
            <w:tcBorders>
              <w:top w:val="single" w:color="000000" w:sz="8" w:space="0"/>
              <w:left w:val="single" w:color="000000" w:sz="8" w:space="0"/>
              <w:bottom w:val="single" w:color="000000" w:sz="8" w:space="0"/>
              <w:right w:val="single" w:color="000000" w:sz="8" w:space="0"/>
            </w:tcBorders>
            <w:vAlign w:val="top"/>
          </w:tcPr>
          <w:p w14:paraId="7BB21D5A">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综合实力</w:t>
            </w:r>
          </w:p>
        </w:tc>
        <w:tc>
          <w:tcPr>
            <w:tcW w:w="5338" w:type="dxa"/>
            <w:tcBorders>
              <w:left w:val="single" w:color="000000" w:sz="8" w:space="0"/>
              <w:right w:val="single" w:color="000000" w:sz="8" w:space="0"/>
            </w:tcBorders>
          </w:tcPr>
          <w:p w14:paraId="59B098E4">
            <w:pPr>
              <w:keepLines w:val="0"/>
              <w:pageBreakBefore w:val="0"/>
              <w:kinsoku/>
              <w:wordWrap w:val="0"/>
              <w:overflowPunct/>
              <w:topLinePunct w:val="0"/>
              <w:autoSpaceDE/>
              <w:autoSpaceDN/>
              <w:bidi w:val="0"/>
              <w:snapToGrid/>
              <w:spacing w:line="560" w:lineRule="exact"/>
              <w:jc w:val="center"/>
              <w:rPr>
                <w:rFonts w:hint="default" w:asciiTheme="minorEastAsia" w:hAnsi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24</w:t>
            </w:r>
          </w:p>
        </w:tc>
      </w:tr>
      <w:tr w14:paraId="265D57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95" w:hRule="atLeast"/>
          <w:jc w:val="center"/>
        </w:trPr>
        <w:tc>
          <w:tcPr>
            <w:tcW w:w="435" w:type="dxa"/>
            <w:vMerge w:val="continue"/>
            <w:tcBorders>
              <w:left w:val="single" w:color="000000" w:sz="8" w:space="0"/>
              <w:right w:val="single" w:color="000000" w:sz="8" w:space="0"/>
            </w:tcBorders>
          </w:tcPr>
          <w:p w14:paraId="566ACC54">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b/>
                <w:bCs/>
                <w:color w:val="000000" w:themeColor="text1"/>
                <w:highlight w:val="none"/>
                <w:lang w:val="en-US" w:eastAsia="zh-CN"/>
                <w14:textFill>
                  <w14:solidFill>
                    <w14:schemeClr w14:val="tx1"/>
                  </w14:solidFill>
                </w14:textFill>
              </w:rPr>
            </w:pPr>
          </w:p>
        </w:tc>
        <w:tc>
          <w:tcPr>
            <w:tcW w:w="794" w:type="dxa"/>
            <w:tcBorders>
              <w:top w:val="single" w:color="000000" w:sz="8" w:space="0"/>
              <w:left w:val="single" w:color="000000" w:sz="8" w:space="0"/>
              <w:bottom w:val="single" w:color="000000" w:sz="8" w:space="0"/>
              <w:right w:val="single" w:color="000000" w:sz="8" w:space="0"/>
            </w:tcBorders>
            <w:shd w:val="clear" w:color="auto" w:fill="DBE3F4" w:themeFill="accent1" w:themeFillTint="32"/>
            <w:vAlign w:val="top"/>
          </w:tcPr>
          <w:p w14:paraId="43BDEFD9">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cstheme="minorBidi"/>
                <w:b w:val="0"/>
                <w:bCs w:val="0"/>
                <w:color w:val="000000" w:themeColor="text1"/>
                <w:kern w:val="2"/>
                <w:sz w:val="21"/>
                <w:szCs w:val="24"/>
                <w:highlight w:val="none"/>
                <w:lang w:val="en-US" w:eastAsia="zh-CN" w:bidi="ar-SA"/>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序号</w:t>
            </w:r>
          </w:p>
        </w:tc>
        <w:tc>
          <w:tcPr>
            <w:tcW w:w="1620" w:type="dxa"/>
            <w:tcBorders>
              <w:top w:val="single" w:color="000000" w:sz="8" w:space="0"/>
              <w:left w:val="single" w:color="000000" w:sz="8" w:space="0"/>
              <w:bottom w:val="single" w:color="000000" w:sz="8" w:space="0"/>
              <w:right w:val="single" w:color="000000" w:sz="8" w:space="0"/>
            </w:tcBorders>
            <w:shd w:val="clear" w:color="auto" w:fill="DBE3F4" w:themeFill="accent1" w:themeFillTint="32"/>
            <w:vAlign w:val="top"/>
          </w:tcPr>
          <w:p w14:paraId="7C6C1FBE">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cstheme="minorBidi"/>
                <w:b w:val="0"/>
                <w:bCs w:val="0"/>
                <w:color w:val="000000" w:themeColor="text1"/>
                <w:kern w:val="2"/>
                <w:sz w:val="21"/>
                <w:szCs w:val="24"/>
                <w:highlight w:val="none"/>
                <w:lang w:val="en-US" w:eastAsia="zh-CN" w:bidi="ar-SA"/>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评分因素</w:t>
            </w:r>
          </w:p>
        </w:tc>
        <w:tc>
          <w:tcPr>
            <w:tcW w:w="885" w:type="dxa"/>
            <w:tcBorders>
              <w:top w:val="single" w:color="000000" w:sz="8" w:space="0"/>
              <w:left w:val="single" w:color="000000" w:sz="8" w:space="0"/>
              <w:bottom w:val="single" w:color="000000" w:sz="8" w:space="0"/>
              <w:right w:val="single" w:color="000000" w:sz="8" w:space="0"/>
            </w:tcBorders>
            <w:shd w:val="clear" w:color="auto" w:fill="DBE3F4" w:themeFill="accent1" w:themeFillTint="32"/>
            <w:vAlign w:val="top"/>
          </w:tcPr>
          <w:p w14:paraId="40762B8B">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cstheme="minorBidi"/>
                <w:b w:val="0"/>
                <w:bCs w:val="0"/>
                <w:color w:val="000000" w:themeColor="text1"/>
                <w:kern w:val="2"/>
                <w:sz w:val="21"/>
                <w:szCs w:val="24"/>
                <w:highlight w:val="none"/>
                <w:lang w:val="en-US" w:eastAsia="zh-CN" w:bidi="ar-SA"/>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权重</w:t>
            </w:r>
          </w:p>
        </w:tc>
        <w:tc>
          <w:tcPr>
            <w:tcW w:w="5338" w:type="dxa"/>
            <w:tcBorders>
              <w:left w:val="single" w:color="000000" w:sz="8" w:space="0"/>
              <w:right w:val="single" w:color="000000" w:sz="8" w:space="0"/>
            </w:tcBorders>
            <w:shd w:val="clear" w:color="auto" w:fill="DBE3F4" w:themeFill="accent1" w:themeFillTint="32"/>
          </w:tcPr>
          <w:p w14:paraId="59519FCB">
            <w:pPr>
              <w:keepLines w:val="0"/>
              <w:pageBreakBefore w:val="0"/>
              <w:kinsoku/>
              <w:wordWrap w:val="0"/>
              <w:overflowPunct/>
              <w:topLinePunct w:val="0"/>
              <w:autoSpaceDE/>
              <w:autoSpaceDN/>
              <w:bidi w:val="0"/>
              <w:snapToGrid/>
              <w:spacing w:line="560" w:lineRule="exact"/>
              <w:jc w:val="center"/>
              <w:rPr>
                <w:rFonts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评分准则</w:t>
            </w:r>
          </w:p>
        </w:tc>
      </w:tr>
      <w:tr w14:paraId="388246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20" w:hRule="atLeast"/>
          <w:jc w:val="center"/>
        </w:trPr>
        <w:tc>
          <w:tcPr>
            <w:tcW w:w="435" w:type="dxa"/>
            <w:vMerge w:val="continue"/>
            <w:tcBorders>
              <w:left w:val="single" w:color="000000" w:sz="8" w:space="0"/>
              <w:right w:val="single" w:color="000000" w:sz="8" w:space="0"/>
            </w:tcBorders>
          </w:tcPr>
          <w:p w14:paraId="34F45DDD">
            <w:pPr>
              <w:keepLines w:val="0"/>
              <w:pageBreakBefore w:val="0"/>
              <w:kinsoku/>
              <w:wordWrap w:val="0"/>
              <w:overflowPunct/>
              <w:topLinePunct w:val="0"/>
              <w:autoSpaceDE/>
              <w:autoSpaceDN/>
              <w:bidi w:val="0"/>
              <w:snapToGrid/>
              <w:spacing w:line="560" w:lineRule="exact"/>
              <w:jc w:val="center"/>
            </w:pPr>
          </w:p>
        </w:tc>
        <w:tc>
          <w:tcPr>
            <w:tcW w:w="794" w:type="dxa"/>
            <w:tcBorders>
              <w:top w:val="single" w:color="000000" w:sz="8" w:space="0"/>
              <w:left w:val="single" w:color="000000" w:sz="8" w:space="0"/>
              <w:bottom w:val="single" w:color="000000" w:sz="8" w:space="0"/>
              <w:right w:val="single" w:color="000000" w:sz="8" w:space="0"/>
            </w:tcBorders>
            <w:vAlign w:val="top"/>
          </w:tcPr>
          <w:p w14:paraId="5D145E08">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70AC1DF1">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65487A99">
            <w:pPr>
              <w:keepLines w:val="0"/>
              <w:pageBreakBefore w:val="0"/>
              <w:kinsoku/>
              <w:wordWrap w:val="0"/>
              <w:overflowPunct/>
              <w:topLinePunct w:val="0"/>
              <w:autoSpaceDE/>
              <w:autoSpaceDN/>
              <w:bidi w:val="0"/>
              <w:snapToGrid/>
              <w:spacing w:line="560" w:lineRule="exact"/>
              <w:jc w:val="center"/>
              <w:rPr>
                <w:rFonts w:hint="default" w:asciiTheme="minorEastAsia" w:hAnsi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1</w:t>
            </w:r>
          </w:p>
        </w:tc>
        <w:tc>
          <w:tcPr>
            <w:tcW w:w="1620" w:type="dxa"/>
            <w:tcBorders>
              <w:top w:val="single" w:color="000000" w:sz="8" w:space="0"/>
              <w:left w:val="single" w:color="000000" w:sz="8" w:space="0"/>
              <w:bottom w:val="single" w:color="000000" w:sz="8" w:space="0"/>
              <w:right w:val="single" w:color="000000" w:sz="8" w:space="0"/>
            </w:tcBorders>
            <w:vAlign w:val="top"/>
          </w:tcPr>
          <w:p w14:paraId="61F34407">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eastAsia="zh-CN"/>
                <w14:textFill>
                  <w14:solidFill>
                    <w14:schemeClr w14:val="tx1"/>
                  </w14:solidFill>
                </w14:textFill>
              </w:rPr>
            </w:pPr>
          </w:p>
          <w:p w14:paraId="7A69C022">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eastAsia="zh-CN"/>
                <w14:textFill>
                  <w14:solidFill>
                    <w14:schemeClr w14:val="tx1"/>
                  </w14:solidFill>
                </w14:textFill>
              </w:rPr>
            </w:pPr>
          </w:p>
          <w:p w14:paraId="2AEC77B0">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企业获得荣誉</w:t>
            </w:r>
          </w:p>
        </w:tc>
        <w:tc>
          <w:tcPr>
            <w:tcW w:w="885" w:type="dxa"/>
            <w:tcBorders>
              <w:top w:val="single" w:color="000000" w:sz="8" w:space="0"/>
              <w:left w:val="single" w:color="000000" w:sz="8" w:space="0"/>
              <w:bottom w:val="single" w:color="000000" w:sz="8" w:space="0"/>
              <w:right w:val="single" w:color="000000" w:sz="8" w:space="0"/>
            </w:tcBorders>
            <w:vAlign w:val="top"/>
          </w:tcPr>
          <w:p w14:paraId="3A301CC3">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0761958A">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38972920">
            <w:pPr>
              <w:keepLines w:val="0"/>
              <w:pageBreakBefore w:val="0"/>
              <w:kinsoku/>
              <w:wordWrap w:val="0"/>
              <w:overflowPunct/>
              <w:topLinePunct w:val="0"/>
              <w:autoSpaceDE/>
              <w:autoSpaceDN/>
              <w:bidi w:val="0"/>
              <w:snapToGrid/>
              <w:spacing w:line="560" w:lineRule="exact"/>
              <w:jc w:val="center"/>
              <w:rPr>
                <w:rFonts w:hint="default" w:asciiTheme="minorEastAsia" w:hAnsi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8</w:t>
            </w:r>
          </w:p>
        </w:tc>
        <w:tc>
          <w:tcPr>
            <w:tcW w:w="5338" w:type="dxa"/>
            <w:tcBorders>
              <w:left w:val="single" w:color="000000" w:sz="8" w:space="0"/>
              <w:right w:val="single" w:color="000000" w:sz="8" w:space="0"/>
            </w:tcBorders>
          </w:tcPr>
          <w:p w14:paraId="2B90E347">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（一）评审内容：</w:t>
            </w:r>
          </w:p>
          <w:p w14:paraId="16A5C949">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202</w:t>
            </w:r>
            <w:r>
              <w:rPr>
                <w:rFonts w:hint="eastAsia" w:asciiTheme="minorEastAsia" w:hAnsiTheme="minorEastAsia"/>
                <w:b w:val="0"/>
                <w:bCs w:val="0"/>
                <w:color w:val="000000" w:themeColor="text1"/>
                <w:highlight w:val="none"/>
                <w:lang w:val="en-US" w:eastAsia="zh-CN"/>
                <w14:textFill>
                  <w14:solidFill>
                    <w14:schemeClr w14:val="tx1"/>
                  </w14:solidFill>
                </w14:textFill>
              </w:rPr>
              <w:t>1</w:t>
            </w:r>
            <w:r>
              <w:rPr>
                <w:rFonts w:hint="eastAsia" w:asciiTheme="minorEastAsia" w:hAnsiTheme="minorEastAsia"/>
                <w:b w:val="0"/>
                <w:bCs w:val="0"/>
                <w:color w:val="000000" w:themeColor="text1"/>
                <w:highlight w:val="none"/>
                <w:lang w:eastAsia="zh-CN"/>
                <w14:textFill>
                  <w14:solidFill>
                    <w14:schemeClr w14:val="tx1"/>
                  </w14:solidFill>
                </w14:textFill>
              </w:rPr>
              <w:t>年1月1日至本项目投标截止之日（以合同或协议签订日期为准）获得荣誉情况：</w:t>
            </w:r>
          </w:p>
          <w:p w14:paraId="3AAFAA5B">
            <w:pPr>
              <w:keepNext w:val="0"/>
              <w:keepLines w:val="0"/>
              <w:pageBreakBefore w:val="0"/>
              <w:widowControl w:val="0"/>
              <w:numPr>
                <w:ilvl w:val="0"/>
                <w:numId w:val="6"/>
              </w:numPr>
              <w:kinsoku/>
              <w:wordWrap w:val="0"/>
              <w:overflowPunct/>
              <w:topLinePunct w:val="0"/>
              <w:autoSpaceDE/>
              <w:autoSpaceDN/>
              <w:bidi w:val="0"/>
              <w:adjustRightInd/>
              <w:snapToGrid/>
              <w:spacing w:line="240" w:lineRule="auto"/>
              <w:ind w:left="0" w:leftChars="0" w:firstLine="420" w:firstLineChars="200"/>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获得国家级公安部门或保安行业协会颁发的保安或安保类荣誉</w:t>
            </w:r>
            <w:r>
              <w:rPr>
                <w:rFonts w:hint="eastAsia" w:asciiTheme="minorEastAsia" w:hAnsiTheme="minorEastAsia"/>
                <w:b w:val="0"/>
                <w:bCs w:val="0"/>
                <w:color w:val="000000" w:themeColor="text1"/>
                <w:highlight w:val="none"/>
                <w:lang w:val="en-US" w:eastAsia="zh-CN"/>
                <w14:textFill>
                  <w14:solidFill>
                    <w14:schemeClr w14:val="tx1"/>
                  </w14:solidFill>
                </w14:textFill>
              </w:rPr>
              <w:t>8</w:t>
            </w:r>
            <w:r>
              <w:rPr>
                <w:rFonts w:hint="eastAsia" w:asciiTheme="minorEastAsia" w:hAnsiTheme="minorEastAsia"/>
                <w:b w:val="0"/>
                <w:bCs w:val="0"/>
                <w:color w:val="000000" w:themeColor="text1"/>
                <w:highlight w:val="none"/>
                <w:lang w:eastAsia="zh-CN"/>
                <w14:textFill>
                  <w14:solidFill>
                    <w14:schemeClr w14:val="tx1"/>
                  </w14:solidFill>
                </w14:textFill>
              </w:rPr>
              <w:t>分；</w:t>
            </w:r>
          </w:p>
          <w:p w14:paraId="2451842A">
            <w:pPr>
              <w:keepNext w:val="0"/>
              <w:keepLines w:val="0"/>
              <w:pageBreakBefore w:val="0"/>
              <w:widowControl w:val="0"/>
              <w:numPr>
                <w:ilvl w:val="0"/>
                <w:numId w:val="6"/>
              </w:numPr>
              <w:kinsoku/>
              <w:wordWrap w:val="0"/>
              <w:overflowPunct/>
              <w:topLinePunct w:val="0"/>
              <w:autoSpaceDE/>
              <w:autoSpaceDN/>
              <w:bidi w:val="0"/>
              <w:adjustRightInd/>
              <w:snapToGrid/>
              <w:spacing w:line="240" w:lineRule="auto"/>
              <w:ind w:left="0" w:leftChars="0" w:firstLine="420" w:firstLineChars="200"/>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获得省级（含副省级）公安部门或保安行业协会颁发的保安或安保类荣誉</w:t>
            </w:r>
            <w:r>
              <w:rPr>
                <w:rFonts w:hint="eastAsia" w:asciiTheme="minorEastAsia" w:hAnsiTheme="minorEastAsia"/>
                <w:b w:val="0"/>
                <w:bCs w:val="0"/>
                <w:color w:val="000000" w:themeColor="text1"/>
                <w:highlight w:val="none"/>
                <w:lang w:val="en-US" w:eastAsia="zh-CN"/>
                <w14:textFill>
                  <w14:solidFill>
                    <w14:schemeClr w14:val="tx1"/>
                  </w14:solidFill>
                </w14:textFill>
              </w:rPr>
              <w:t>6</w:t>
            </w:r>
            <w:r>
              <w:rPr>
                <w:rFonts w:hint="eastAsia" w:asciiTheme="minorEastAsia" w:hAnsiTheme="minorEastAsia"/>
                <w:b w:val="0"/>
                <w:bCs w:val="0"/>
                <w:color w:val="000000" w:themeColor="text1"/>
                <w:highlight w:val="none"/>
                <w:lang w:eastAsia="zh-CN"/>
                <w14:textFill>
                  <w14:solidFill>
                    <w14:schemeClr w14:val="tx1"/>
                  </w14:solidFill>
                </w14:textFill>
              </w:rPr>
              <w:t>分；</w:t>
            </w:r>
          </w:p>
          <w:p w14:paraId="4D70AC6D">
            <w:pPr>
              <w:keepNext w:val="0"/>
              <w:keepLines w:val="0"/>
              <w:pageBreakBefore w:val="0"/>
              <w:widowControl w:val="0"/>
              <w:numPr>
                <w:ilvl w:val="0"/>
                <w:numId w:val="6"/>
              </w:numPr>
              <w:kinsoku/>
              <w:wordWrap w:val="0"/>
              <w:overflowPunct/>
              <w:topLinePunct w:val="0"/>
              <w:autoSpaceDE/>
              <w:autoSpaceDN/>
              <w:bidi w:val="0"/>
              <w:adjustRightInd/>
              <w:snapToGrid/>
              <w:spacing w:line="240" w:lineRule="auto"/>
              <w:ind w:left="0" w:leftChars="0" w:firstLine="420" w:firstLineChars="200"/>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获得市级公安部门或保安行业协会颁发的保安或安保类荣誉的</w:t>
            </w:r>
            <w:r>
              <w:rPr>
                <w:rFonts w:hint="eastAsia" w:asciiTheme="minorEastAsia" w:hAnsiTheme="minorEastAsia"/>
                <w:b w:val="0"/>
                <w:bCs w:val="0"/>
                <w:color w:val="000000" w:themeColor="text1"/>
                <w:highlight w:val="none"/>
                <w:lang w:val="en-US" w:eastAsia="zh-CN"/>
                <w14:textFill>
                  <w14:solidFill>
                    <w14:schemeClr w14:val="tx1"/>
                  </w14:solidFill>
                </w14:textFill>
              </w:rPr>
              <w:t>4</w:t>
            </w:r>
            <w:r>
              <w:rPr>
                <w:rFonts w:hint="eastAsia" w:asciiTheme="minorEastAsia" w:hAnsiTheme="minorEastAsia"/>
                <w:b w:val="0"/>
                <w:bCs w:val="0"/>
                <w:color w:val="000000" w:themeColor="text1"/>
                <w:highlight w:val="none"/>
                <w:lang w:eastAsia="zh-CN"/>
                <w14:textFill>
                  <w14:solidFill>
                    <w14:schemeClr w14:val="tx1"/>
                  </w14:solidFill>
                </w14:textFill>
              </w:rPr>
              <w:t>分；</w:t>
            </w:r>
          </w:p>
          <w:p w14:paraId="0A52608B">
            <w:pPr>
              <w:keepNext w:val="0"/>
              <w:keepLines w:val="0"/>
              <w:pageBreakBefore w:val="0"/>
              <w:widowControl w:val="0"/>
              <w:numPr>
                <w:ilvl w:val="0"/>
                <w:numId w:val="6"/>
              </w:numPr>
              <w:kinsoku/>
              <w:wordWrap w:val="0"/>
              <w:overflowPunct/>
              <w:topLinePunct w:val="0"/>
              <w:autoSpaceDE/>
              <w:autoSpaceDN/>
              <w:bidi w:val="0"/>
              <w:adjustRightInd/>
              <w:snapToGrid/>
              <w:spacing w:line="240" w:lineRule="auto"/>
              <w:ind w:left="0" w:leftChars="0" w:firstLine="420" w:firstLineChars="200"/>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获得县（区）级公安部门或保安行业协会颁发的保安或安保类荣誉得2分</w:t>
            </w:r>
            <w:r>
              <w:rPr>
                <w:rFonts w:hint="eastAsia" w:asciiTheme="minorEastAsia" w:hAnsiTheme="minorEastAsia"/>
                <w:b w:val="0"/>
                <w:bCs w:val="0"/>
                <w:color w:val="000000" w:themeColor="text1"/>
                <w:highlight w:val="none"/>
                <w:lang w:eastAsia="zh-CN"/>
                <w14:textFill>
                  <w14:solidFill>
                    <w14:schemeClr w14:val="tx1"/>
                  </w14:solidFill>
                </w14:textFill>
              </w:rPr>
              <w:t>。</w:t>
            </w:r>
          </w:p>
          <w:p w14:paraId="1ED14861">
            <w:pPr>
              <w:pStyle w:val="2"/>
              <w:keepNext w:val="0"/>
              <w:keepLines w:val="0"/>
              <w:pageBreakBefore w:val="0"/>
              <w:widowControl w:val="0"/>
              <w:kinsoku/>
              <w:overflowPunct/>
              <w:topLinePunct w:val="0"/>
              <w:autoSpaceDE/>
              <w:autoSpaceDN/>
              <w:bidi w:val="0"/>
              <w:adjustRightInd/>
              <w:snapToGrid/>
              <w:ind w:firstLine="420" w:firstLineChars="200"/>
              <w:textAlignment w:val="auto"/>
              <w:rPr>
                <w:rFonts w:hint="eastAsia"/>
                <w:b w:val="0"/>
                <w:bCs w:val="0"/>
                <w:lang w:eastAsia="zh-CN"/>
              </w:rPr>
            </w:pPr>
            <w:r>
              <w:rPr>
                <w:rFonts w:hint="eastAsia"/>
                <w:b w:val="0"/>
                <w:bCs w:val="0"/>
                <w:lang w:eastAsia="zh-CN"/>
              </w:rPr>
              <w:t>其他情况不得分，最高得</w:t>
            </w:r>
            <w:r>
              <w:rPr>
                <w:rFonts w:hint="eastAsia"/>
                <w:b w:val="0"/>
                <w:bCs w:val="0"/>
                <w:lang w:val="en-US" w:eastAsia="zh-CN"/>
              </w:rPr>
              <w:t>8</w:t>
            </w:r>
            <w:r>
              <w:rPr>
                <w:rFonts w:hint="eastAsia"/>
                <w:b w:val="0"/>
                <w:bCs w:val="0"/>
                <w:lang w:eastAsia="zh-CN"/>
              </w:rPr>
              <w:t>分，本项不可累积得分。以得分最优情况计分</w:t>
            </w:r>
          </w:p>
          <w:p w14:paraId="3ED095BE">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（二）评分依据：</w:t>
            </w:r>
          </w:p>
          <w:p w14:paraId="53D3846E">
            <w:pPr>
              <w:ind w:firstLine="420" w:firstLineChars="200"/>
              <w:rPr>
                <w:rFonts w:hint="eastAsia"/>
                <w:b w:val="0"/>
                <w:bCs w:val="0"/>
                <w:lang w:eastAsia="zh-CN"/>
              </w:rPr>
            </w:pPr>
            <w:r>
              <w:rPr>
                <w:rFonts w:hint="eastAsia"/>
                <w:b w:val="0"/>
                <w:bCs w:val="0"/>
                <w:lang w:eastAsia="zh-CN"/>
              </w:rPr>
              <w:t>提供相关荣誉证明扫描件，原件备查。如未按要求提供证明材料，或所提供的证明材料未能体现上述评分内容的，视为该证明材料无效。</w:t>
            </w:r>
          </w:p>
        </w:tc>
      </w:tr>
      <w:tr w14:paraId="65966F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719" w:hRule="atLeast"/>
          <w:jc w:val="center"/>
        </w:trPr>
        <w:tc>
          <w:tcPr>
            <w:tcW w:w="435" w:type="dxa"/>
            <w:vMerge w:val="continue"/>
            <w:tcBorders>
              <w:left w:val="single" w:color="000000" w:sz="8" w:space="0"/>
              <w:right w:val="single" w:color="000000" w:sz="8" w:space="0"/>
            </w:tcBorders>
          </w:tcPr>
          <w:p w14:paraId="1ED55354">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bCs/>
                <w:color w:val="000000" w:themeColor="text1"/>
                <w:highlight w:val="none"/>
                <w:lang w:eastAsia="zh-CN"/>
                <w14:textFill>
                  <w14:solidFill>
                    <w14:schemeClr w14:val="tx1"/>
                  </w14:solidFill>
                </w14:textFill>
              </w:rPr>
            </w:pPr>
          </w:p>
        </w:tc>
        <w:tc>
          <w:tcPr>
            <w:tcW w:w="794" w:type="dxa"/>
            <w:tcBorders>
              <w:top w:val="single" w:color="000000" w:sz="8" w:space="0"/>
              <w:left w:val="single" w:color="000000" w:sz="8" w:space="0"/>
              <w:bottom w:val="single" w:color="000000" w:sz="8" w:space="0"/>
              <w:right w:val="single" w:color="000000" w:sz="8" w:space="0"/>
            </w:tcBorders>
            <w:vAlign w:val="top"/>
          </w:tcPr>
          <w:p w14:paraId="37A33CD4">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42E92F47">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17874C00">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36DD5919">
            <w:pPr>
              <w:keepLines w:val="0"/>
              <w:pageBreakBefore w:val="0"/>
              <w:kinsoku/>
              <w:wordWrap w:val="0"/>
              <w:overflowPunct/>
              <w:topLinePunct w:val="0"/>
              <w:autoSpaceDE/>
              <w:autoSpaceDN/>
              <w:bidi w:val="0"/>
              <w:snapToGrid/>
              <w:spacing w:line="560" w:lineRule="exact"/>
              <w:jc w:val="center"/>
              <w:rPr>
                <w:rFonts w:hint="default" w:asciiTheme="minorEastAsia" w:hAnsi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2</w:t>
            </w:r>
          </w:p>
        </w:tc>
        <w:tc>
          <w:tcPr>
            <w:tcW w:w="1620" w:type="dxa"/>
            <w:tcBorders>
              <w:top w:val="single" w:color="000000" w:sz="8" w:space="0"/>
              <w:left w:val="single" w:color="000000" w:sz="8" w:space="0"/>
              <w:bottom w:val="single" w:color="000000" w:sz="8" w:space="0"/>
              <w:right w:val="single" w:color="000000" w:sz="8" w:space="0"/>
            </w:tcBorders>
            <w:vAlign w:val="top"/>
          </w:tcPr>
          <w:p w14:paraId="3BE8A3ED">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eastAsia="zh-CN"/>
                <w14:textFill>
                  <w14:solidFill>
                    <w14:schemeClr w14:val="tx1"/>
                  </w14:solidFill>
                </w14:textFill>
              </w:rPr>
            </w:pPr>
          </w:p>
          <w:p w14:paraId="76348970">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eastAsia="zh-CN"/>
                <w14:textFill>
                  <w14:solidFill>
                    <w14:schemeClr w14:val="tx1"/>
                  </w14:solidFill>
                </w14:textFill>
              </w:rPr>
            </w:pPr>
          </w:p>
          <w:p w14:paraId="130AC1F5">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eastAsia="zh-CN"/>
                <w14:textFill>
                  <w14:solidFill>
                    <w14:schemeClr w14:val="tx1"/>
                  </w14:solidFill>
                </w14:textFill>
              </w:rPr>
            </w:pPr>
          </w:p>
          <w:p w14:paraId="2B194BB1">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企业认证情况</w:t>
            </w:r>
          </w:p>
        </w:tc>
        <w:tc>
          <w:tcPr>
            <w:tcW w:w="885" w:type="dxa"/>
            <w:tcBorders>
              <w:top w:val="single" w:color="000000" w:sz="8" w:space="0"/>
              <w:left w:val="single" w:color="000000" w:sz="8" w:space="0"/>
              <w:bottom w:val="single" w:color="000000" w:sz="8" w:space="0"/>
              <w:right w:val="single" w:color="000000" w:sz="8" w:space="0"/>
            </w:tcBorders>
            <w:vAlign w:val="top"/>
          </w:tcPr>
          <w:p w14:paraId="7AFB6E6C">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01792F61">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34306673">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20BE40DC">
            <w:pPr>
              <w:keepLines w:val="0"/>
              <w:pageBreakBefore w:val="0"/>
              <w:kinsoku/>
              <w:wordWrap w:val="0"/>
              <w:overflowPunct/>
              <w:topLinePunct w:val="0"/>
              <w:autoSpaceDE/>
              <w:autoSpaceDN/>
              <w:bidi w:val="0"/>
              <w:snapToGrid/>
              <w:spacing w:line="560" w:lineRule="exact"/>
              <w:jc w:val="center"/>
              <w:rPr>
                <w:rFonts w:hint="default" w:asciiTheme="minorEastAsia" w:hAnsi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6</w:t>
            </w:r>
          </w:p>
        </w:tc>
        <w:tc>
          <w:tcPr>
            <w:tcW w:w="5338" w:type="dxa"/>
            <w:tcBorders>
              <w:left w:val="single" w:color="000000" w:sz="8" w:space="0"/>
              <w:right w:val="single" w:color="000000" w:sz="8" w:space="0"/>
            </w:tcBorders>
          </w:tcPr>
          <w:p w14:paraId="0FDBA6C7">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（一）评审内容：</w:t>
            </w:r>
          </w:p>
          <w:p w14:paraId="5552F880">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投标单位通过以下管理体系认证，满足一项得</w:t>
            </w:r>
            <w:r>
              <w:rPr>
                <w:rFonts w:hint="eastAsia" w:asciiTheme="minorEastAsia" w:hAnsiTheme="minorEastAsia"/>
                <w:b w:val="0"/>
                <w:bCs w:val="0"/>
                <w:color w:val="000000" w:themeColor="text1"/>
                <w:highlight w:val="none"/>
                <w:lang w:val="en-US" w:eastAsia="zh-CN"/>
                <w14:textFill>
                  <w14:solidFill>
                    <w14:schemeClr w14:val="tx1"/>
                  </w14:solidFill>
                </w14:textFill>
              </w:rPr>
              <w:t>2</w:t>
            </w:r>
            <w:r>
              <w:rPr>
                <w:rFonts w:hint="eastAsia" w:asciiTheme="minorEastAsia" w:hAnsiTheme="minorEastAsia"/>
                <w:b w:val="0"/>
                <w:bCs w:val="0"/>
                <w:color w:val="000000" w:themeColor="text1"/>
                <w:highlight w:val="none"/>
                <w:lang w:eastAsia="zh-CN"/>
                <w14:textFill>
                  <w14:solidFill>
                    <w14:schemeClr w14:val="tx1"/>
                  </w14:solidFill>
                </w14:textFill>
              </w:rPr>
              <w:t>分，最高得</w:t>
            </w:r>
            <w:r>
              <w:rPr>
                <w:rFonts w:hint="eastAsia" w:asciiTheme="minorEastAsia" w:hAnsiTheme="minorEastAsia"/>
                <w:b w:val="0"/>
                <w:bCs w:val="0"/>
                <w:color w:val="000000" w:themeColor="text1"/>
                <w:highlight w:val="none"/>
                <w:lang w:val="en-US" w:eastAsia="zh-CN"/>
                <w14:textFill>
                  <w14:solidFill>
                    <w14:schemeClr w14:val="tx1"/>
                  </w14:solidFill>
                </w14:textFill>
              </w:rPr>
              <w:t>6</w:t>
            </w:r>
            <w:r>
              <w:rPr>
                <w:rFonts w:hint="eastAsia" w:asciiTheme="minorEastAsia" w:hAnsiTheme="minorEastAsia"/>
                <w:b w:val="0"/>
                <w:bCs w:val="0"/>
                <w:color w:val="000000" w:themeColor="text1"/>
                <w:highlight w:val="none"/>
                <w:lang w:eastAsia="zh-CN"/>
                <w14:textFill>
                  <w14:solidFill>
                    <w14:schemeClr w14:val="tx1"/>
                  </w14:solidFill>
                </w14:textFill>
              </w:rPr>
              <w:t>分：</w:t>
            </w:r>
          </w:p>
          <w:p w14:paraId="37C8DD69">
            <w:pPr>
              <w:keepNext w:val="0"/>
              <w:keepLines w:val="0"/>
              <w:pageBreakBefore w:val="0"/>
              <w:widowControl w:val="0"/>
              <w:numPr>
                <w:ilvl w:val="0"/>
                <w:numId w:val="7"/>
              </w:numPr>
              <w:kinsoku/>
              <w:wordWrap w:val="0"/>
              <w:overflowPunct/>
              <w:topLinePunct w:val="0"/>
              <w:autoSpaceDE/>
              <w:autoSpaceDN/>
              <w:bidi w:val="0"/>
              <w:adjustRightInd/>
              <w:snapToGrid/>
              <w:spacing w:line="240" w:lineRule="auto"/>
              <w:ind w:left="0" w:leftChars="0" w:firstLine="420" w:firstLineChars="200"/>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质量管理体系认证证书；</w:t>
            </w:r>
          </w:p>
          <w:p w14:paraId="58027BF3">
            <w:pPr>
              <w:keepNext w:val="0"/>
              <w:keepLines w:val="0"/>
              <w:pageBreakBefore w:val="0"/>
              <w:widowControl w:val="0"/>
              <w:numPr>
                <w:ilvl w:val="0"/>
                <w:numId w:val="7"/>
              </w:numPr>
              <w:kinsoku/>
              <w:wordWrap w:val="0"/>
              <w:overflowPunct/>
              <w:topLinePunct w:val="0"/>
              <w:autoSpaceDE/>
              <w:autoSpaceDN/>
              <w:bidi w:val="0"/>
              <w:adjustRightInd/>
              <w:snapToGrid/>
              <w:spacing w:line="240" w:lineRule="auto"/>
              <w:ind w:left="0" w:leftChars="0" w:firstLine="420" w:firstLineChars="200"/>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环境管理体系认证证书；</w:t>
            </w:r>
          </w:p>
          <w:p w14:paraId="7F20A511">
            <w:pPr>
              <w:keepNext w:val="0"/>
              <w:keepLines w:val="0"/>
              <w:pageBreakBefore w:val="0"/>
              <w:widowControl w:val="0"/>
              <w:numPr>
                <w:ilvl w:val="0"/>
                <w:numId w:val="7"/>
              </w:numPr>
              <w:kinsoku/>
              <w:wordWrap w:val="0"/>
              <w:overflowPunct/>
              <w:topLinePunct w:val="0"/>
              <w:autoSpaceDE/>
              <w:autoSpaceDN/>
              <w:bidi w:val="0"/>
              <w:adjustRightInd/>
              <w:snapToGrid/>
              <w:spacing w:line="240" w:lineRule="auto"/>
              <w:ind w:left="0" w:leftChars="0" w:firstLine="420" w:firstLineChars="200"/>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职业健康安全管理体系认证证书；</w:t>
            </w:r>
          </w:p>
          <w:p w14:paraId="66F945B5">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（二）评分依据：</w:t>
            </w:r>
          </w:p>
          <w:p w14:paraId="53F90552">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left"/>
              <w:textAlignment w:val="auto"/>
              <w:rPr>
                <w:rFonts w:hint="default" w:asciiTheme="minorEastAsia" w:hAnsi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要求提供所有有效的认证证书扫描件（原件备查）。如未按要求提供证明材料，或所提供的证明材料未能体现上述评分内容的，视为该证明材料无效。</w:t>
            </w:r>
          </w:p>
        </w:tc>
      </w:tr>
      <w:tr w14:paraId="72682F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20" w:hRule="atLeast"/>
          <w:jc w:val="center"/>
        </w:trPr>
        <w:tc>
          <w:tcPr>
            <w:tcW w:w="435" w:type="dxa"/>
            <w:vMerge w:val="continue"/>
            <w:tcBorders>
              <w:left w:val="single" w:color="000000" w:sz="8" w:space="0"/>
              <w:right w:val="single" w:color="000000" w:sz="8" w:space="0"/>
            </w:tcBorders>
          </w:tcPr>
          <w:p w14:paraId="5F912956">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bCs/>
                <w:color w:val="000000" w:themeColor="text1"/>
                <w:highlight w:val="none"/>
                <w:lang w:eastAsia="zh-CN"/>
                <w14:textFill>
                  <w14:solidFill>
                    <w14:schemeClr w14:val="tx1"/>
                  </w14:solidFill>
                </w14:textFill>
              </w:rPr>
            </w:pPr>
          </w:p>
        </w:tc>
        <w:tc>
          <w:tcPr>
            <w:tcW w:w="794" w:type="dxa"/>
            <w:tcBorders>
              <w:top w:val="single" w:color="000000" w:sz="8" w:space="0"/>
              <w:left w:val="single" w:color="000000" w:sz="8" w:space="0"/>
              <w:bottom w:val="single" w:color="000000" w:sz="8" w:space="0"/>
              <w:right w:val="single" w:color="000000" w:sz="8" w:space="0"/>
            </w:tcBorders>
            <w:vAlign w:val="top"/>
          </w:tcPr>
          <w:p w14:paraId="63D42A87">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3C06B40B">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6CCF0F6B">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290DAD32">
            <w:pPr>
              <w:keepLines w:val="0"/>
              <w:pageBreakBefore w:val="0"/>
              <w:kinsoku/>
              <w:wordWrap w:val="0"/>
              <w:overflowPunct/>
              <w:topLinePunct w:val="0"/>
              <w:autoSpaceDE/>
              <w:autoSpaceDN/>
              <w:bidi w:val="0"/>
              <w:snapToGrid/>
              <w:spacing w:line="560" w:lineRule="exact"/>
              <w:jc w:val="center"/>
              <w:rPr>
                <w:rFonts w:hint="default" w:asciiTheme="minorEastAsia" w:hAnsi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3</w:t>
            </w:r>
          </w:p>
        </w:tc>
        <w:tc>
          <w:tcPr>
            <w:tcW w:w="1620" w:type="dxa"/>
            <w:tcBorders>
              <w:top w:val="single" w:color="000000" w:sz="8" w:space="0"/>
              <w:left w:val="single" w:color="000000" w:sz="8" w:space="0"/>
              <w:bottom w:val="single" w:color="000000" w:sz="8" w:space="0"/>
              <w:right w:val="single" w:color="000000" w:sz="8" w:space="0"/>
            </w:tcBorders>
            <w:vAlign w:val="top"/>
          </w:tcPr>
          <w:p w14:paraId="6D3988EF">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eastAsia="zh-CN"/>
                <w14:textFill>
                  <w14:solidFill>
                    <w14:schemeClr w14:val="tx1"/>
                  </w14:solidFill>
                </w14:textFill>
              </w:rPr>
            </w:pPr>
          </w:p>
          <w:p w14:paraId="1F6DAF7B">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eastAsia="zh-CN"/>
                <w14:textFill>
                  <w14:solidFill>
                    <w14:schemeClr w14:val="tx1"/>
                  </w14:solidFill>
                </w14:textFill>
              </w:rPr>
            </w:pPr>
          </w:p>
          <w:p w14:paraId="1E1626D8">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eastAsia="zh-CN"/>
                <w14:textFill>
                  <w14:solidFill>
                    <w14:schemeClr w14:val="tx1"/>
                  </w14:solidFill>
                </w14:textFill>
              </w:rPr>
            </w:pPr>
          </w:p>
          <w:p w14:paraId="4E0C47FD">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同类项目业绩</w:t>
            </w:r>
          </w:p>
        </w:tc>
        <w:tc>
          <w:tcPr>
            <w:tcW w:w="885" w:type="dxa"/>
            <w:tcBorders>
              <w:top w:val="single" w:color="000000" w:sz="8" w:space="0"/>
              <w:left w:val="single" w:color="000000" w:sz="8" w:space="0"/>
              <w:bottom w:val="single" w:color="000000" w:sz="8" w:space="0"/>
              <w:right w:val="single" w:color="000000" w:sz="8" w:space="0"/>
            </w:tcBorders>
            <w:vAlign w:val="top"/>
          </w:tcPr>
          <w:p w14:paraId="2DC3DE31">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1447F1EC">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1241FE98">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5232FC9B">
            <w:pPr>
              <w:keepLines w:val="0"/>
              <w:pageBreakBefore w:val="0"/>
              <w:kinsoku/>
              <w:wordWrap w:val="0"/>
              <w:overflowPunct/>
              <w:topLinePunct w:val="0"/>
              <w:autoSpaceDE/>
              <w:autoSpaceDN/>
              <w:bidi w:val="0"/>
              <w:snapToGrid/>
              <w:spacing w:line="560" w:lineRule="exact"/>
              <w:jc w:val="center"/>
              <w:rPr>
                <w:rFonts w:hint="default" w:asciiTheme="minorEastAsia" w:hAnsi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10</w:t>
            </w:r>
          </w:p>
        </w:tc>
        <w:tc>
          <w:tcPr>
            <w:tcW w:w="5338" w:type="dxa"/>
            <w:tcBorders>
              <w:left w:val="single" w:color="000000" w:sz="8" w:space="0"/>
              <w:right w:val="single" w:color="000000" w:sz="8" w:space="0"/>
            </w:tcBorders>
          </w:tcPr>
          <w:p w14:paraId="3B050988">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（一）评审内容：</w:t>
            </w:r>
          </w:p>
          <w:p w14:paraId="11512380">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202</w:t>
            </w:r>
            <w:r>
              <w:rPr>
                <w:rFonts w:hint="eastAsia" w:asciiTheme="minorEastAsia" w:hAnsiTheme="minorEastAsia"/>
                <w:b w:val="0"/>
                <w:bCs w:val="0"/>
                <w:color w:val="000000" w:themeColor="text1"/>
                <w:highlight w:val="none"/>
                <w:lang w:val="en-US" w:eastAsia="zh-CN"/>
                <w14:textFill>
                  <w14:solidFill>
                    <w14:schemeClr w14:val="tx1"/>
                  </w14:solidFill>
                </w14:textFill>
              </w:rPr>
              <w:t>1</w:t>
            </w:r>
            <w:r>
              <w:rPr>
                <w:rFonts w:hint="eastAsia" w:asciiTheme="minorEastAsia" w:hAnsiTheme="minorEastAsia"/>
                <w:b w:val="0"/>
                <w:bCs w:val="0"/>
                <w:color w:val="000000" w:themeColor="text1"/>
                <w:highlight w:val="none"/>
                <w:lang w:eastAsia="zh-CN"/>
                <w14:textFill>
                  <w14:solidFill>
                    <w14:schemeClr w14:val="tx1"/>
                  </w14:solidFill>
                </w14:textFill>
              </w:rPr>
              <w:t>年1月1日至本项目投标截止之日（以合同或协议签订日期为准）承担过政府单位的交通协管或交通整治或巡防项目，每个项目得</w:t>
            </w:r>
            <w:r>
              <w:rPr>
                <w:rFonts w:hint="eastAsia" w:asciiTheme="minorEastAsia" w:hAnsiTheme="minorEastAsia"/>
                <w:b w:val="0"/>
                <w:bCs w:val="0"/>
                <w:color w:val="000000" w:themeColor="text1"/>
                <w:highlight w:val="none"/>
                <w:lang w:val="en-US" w:eastAsia="zh-CN"/>
                <w14:textFill>
                  <w14:solidFill>
                    <w14:schemeClr w14:val="tx1"/>
                  </w14:solidFill>
                </w14:textFill>
              </w:rPr>
              <w:t>2</w:t>
            </w:r>
            <w:r>
              <w:rPr>
                <w:rFonts w:hint="eastAsia" w:asciiTheme="minorEastAsia" w:hAnsiTheme="minorEastAsia"/>
                <w:b w:val="0"/>
                <w:bCs w:val="0"/>
                <w:color w:val="000000" w:themeColor="text1"/>
                <w:highlight w:val="none"/>
                <w:lang w:eastAsia="zh-CN"/>
                <w14:textFill>
                  <w14:solidFill>
                    <w14:schemeClr w14:val="tx1"/>
                  </w14:solidFill>
                </w14:textFill>
              </w:rPr>
              <w:t>分，最高10分。（一年一签的长期服务续签合同只计算一个业绩）</w:t>
            </w:r>
          </w:p>
          <w:p w14:paraId="01242BB8">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（二）评分依据：</w:t>
            </w:r>
          </w:p>
          <w:p w14:paraId="1B2BCC57">
            <w:pPr>
              <w:pStyle w:val="2"/>
              <w:ind w:firstLine="420" w:firstLineChars="200"/>
              <w:rPr>
                <w:rFonts w:hint="default"/>
                <w:b w:val="0"/>
                <w:bCs w:val="0"/>
                <w:lang w:val="en-US" w:eastAsia="zh-CN"/>
              </w:rPr>
            </w:pPr>
            <w:r>
              <w:rPr>
                <w:rFonts w:hint="eastAsia" w:asciiTheme="minorEastAsia" w:hAnsiTheme="minorEastAsia"/>
                <w:b w:val="0"/>
                <w:bCs w:val="0"/>
                <w:color w:val="000000" w:themeColor="text1"/>
                <w:highlight w:val="none"/>
                <w:lang w:eastAsia="zh-CN"/>
                <w14:textFill>
                  <w14:solidFill>
                    <w14:schemeClr w14:val="tx1"/>
                  </w14:solidFill>
                </w14:textFill>
              </w:rPr>
              <w:t>提供项目合同（或协议）关键页（包括但不限于：合同名称页、合同主要内容页、合同签订日期页、合同双方签字盖章页）扫描件，原件备查。如未按要求提供证明材料，或所提供的证明材料未能体现上述评分内容的，视为该证明材料无效。</w:t>
            </w:r>
          </w:p>
        </w:tc>
      </w:tr>
    </w:tbl>
    <w:p w14:paraId="098AF09F">
      <w:pPr>
        <w:keepNext w:val="0"/>
        <w:keepLines w:val="0"/>
        <w:pageBreakBefore w:val="0"/>
        <w:widowControl w:val="0"/>
        <w:numPr>
          <w:ilvl w:val="0"/>
          <w:numId w:val="1"/>
        </w:numPr>
        <w:kinsoku/>
        <w:wordWrap/>
        <w:overflowPunct/>
        <w:topLinePunct w:val="0"/>
        <w:autoSpaceDE/>
        <w:autoSpaceDN/>
        <w:bidi w:val="0"/>
        <w:adjustRightInd/>
        <w:snapToGrid/>
        <w:spacing w:beforeAutospacing="0" w:line="560" w:lineRule="exact"/>
        <w:ind w:left="210" w:leftChars="0" w:firstLine="420" w:firstLineChars="0"/>
        <w:textAlignment w:val="auto"/>
        <w:rPr>
          <w:rFonts w:hint="eastAsia" w:ascii="黑体" w:hAnsi="黑体" w:eastAsia="黑体" w:cs="宋体"/>
          <w:b w:val="0"/>
          <w:bCs/>
          <w:kern w:val="2"/>
          <w:sz w:val="32"/>
          <w:szCs w:val="32"/>
          <w:lang w:val="en-US" w:eastAsia="zh-CN" w:bidi="ar-SA"/>
        </w:rPr>
      </w:pPr>
      <w:r>
        <w:rPr>
          <w:rFonts w:hint="eastAsia" w:ascii="黑体" w:hAnsi="黑体" w:eastAsia="黑体" w:cs="宋体"/>
          <w:b w:val="0"/>
          <w:bCs/>
          <w:kern w:val="2"/>
          <w:sz w:val="32"/>
          <w:szCs w:val="32"/>
          <w:lang w:val="en-US" w:eastAsia="zh-CN" w:bidi="ar-SA"/>
        </w:rPr>
        <w:t>服务要求</w:t>
      </w:r>
    </w:p>
    <w:p w14:paraId="6A5E06C9">
      <w:pPr>
        <w:keepNext w:val="0"/>
        <w:keepLines w:val="0"/>
        <w:pageBreakBefore w:val="0"/>
        <w:widowControl w:val="0"/>
        <w:numPr>
          <w:ilvl w:val="0"/>
          <w:numId w:val="8"/>
        </w:numPr>
        <w:kinsoku/>
        <w:wordWrap/>
        <w:overflowPunct/>
        <w:topLinePunct w:val="0"/>
        <w:autoSpaceDE/>
        <w:autoSpaceDN/>
        <w:bidi w:val="0"/>
        <w:adjustRightInd/>
        <w:snapToGrid/>
        <w:spacing w:beforeAutospacing="0" w:line="560" w:lineRule="exact"/>
        <w:ind w:left="210" w:leftChars="0" w:firstLine="420" w:firstLineChars="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服务期</w:t>
      </w:r>
    </w:p>
    <w:p w14:paraId="17229B1F">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服务期限为：2024年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日至202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lang w:eastAsia="zh-CN"/>
        </w:rPr>
        <w:t>日。</w:t>
      </w:r>
    </w:p>
    <w:p w14:paraId="4FA2E7E2">
      <w:pPr>
        <w:keepNext w:val="0"/>
        <w:keepLines w:val="0"/>
        <w:pageBreakBefore w:val="0"/>
        <w:widowControl w:val="0"/>
        <w:numPr>
          <w:ilvl w:val="0"/>
          <w:numId w:val="8"/>
        </w:numPr>
        <w:kinsoku/>
        <w:wordWrap/>
        <w:overflowPunct/>
        <w:topLinePunct w:val="0"/>
        <w:autoSpaceDE/>
        <w:autoSpaceDN/>
        <w:bidi w:val="0"/>
        <w:adjustRightInd/>
        <w:snapToGrid/>
        <w:spacing w:beforeAutospacing="0" w:line="560" w:lineRule="exact"/>
        <w:ind w:left="210" w:leftChars="0" w:firstLine="420" w:firstLineChars="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服务地点</w:t>
      </w:r>
    </w:p>
    <w:p w14:paraId="2DA6F8D5">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深圳市南山区粤海街道办事处辖区内</w:t>
      </w:r>
    </w:p>
    <w:p w14:paraId="7C97216E">
      <w:pPr>
        <w:keepNext w:val="0"/>
        <w:keepLines w:val="0"/>
        <w:pageBreakBefore w:val="0"/>
        <w:widowControl w:val="0"/>
        <w:numPr>
          <w:ilvl w:val="0"/>
          <w:numId w:val="8"/>
        </w:numPr>
        <w:kinsoku/>
        <w:wordWrap/>
        <w:overflowPunct/>
        <w:topLinePunct w:val="0"/>
        <w:autoSpaceDE/>
        <w:autoSpaceDN/>
        <w:bidi w:val="0"/>
        <w:adjustRightInd/>
        <w:snapToGrid/>
        <w:spacing w:beforeAutospacing="0" w:line="560" w:lineRule="exact"/>
        <w:ind w:left="210" w:leftChars="0" w:firstLine="420" w:firstLineChars="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服务要求</w:t>
      </w:r>
    </w:p>
    <w:p w14:paraId="168E696F">
      <w:pPr>
        <w:keepNext w:val="0"/>
        <w:keepLines w:val="0"/>
        <w:pageBreakBefore w:val="0"/>
        <w:widowControl w:val="0"/>
        <w:numPr>
          <w:ilvl w:val="0"/>
          <w:numId w:val="9"/>
        </w:numPr>
        <w:kinsoku/>
        <w:wordWrap/>
        <w:overflowPunct/>
        <w:topLinePunct w:val="0"/>
        <w:autoSpaceDE/>
        <w:autoSpaceDN/>
        <w:bidi w:val="0"/>
        <w:adjustRightInd/>
        <w:snapToGrid/>
        <w:spacing w:beforeAutospacing="0" w:line="560" w:lineRule="exact"/>
        <w:ind w:left="1055" w:leftChars="0" w:hanging="425"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每天服务时间不得少于8小时。具体服务地点和服务时间段，中标单位须按照采购单位要求执行。</w:t>
      </w:r>
    </w:p>
    <w:p w14:paraId="7E7E794E">
      <w:pPr>
        <w:keepNext w:val="0"/>
        <w:keepLines w:val="0"/>
        <w:pageBreakBefore w:val="0"/>
        <w:widowControl w:val="0"/>
        <w:numPr>
          <w:ilvl w:val="0"/>
          <w:numId w:val="9"/>
        </w:numPr>
        <w:kinsoku/>
        <w:wordWrap/>
        <w:overflowPunct/>
        <w:topLinePunct w:val="0"/>
        <w:autoSpaceDE/>
        <w:autoSpaceDN/>
        <w:bidi w:val="0"/>
        <w:adjustRightInd/>
        <w:snapToGrid/>
        <w:spacing w:beforeAutospacing="0" w:line="560" w:lineRule="exact"/>
        <w:ind w:left="1055" w:leftChars="0" w:hanging="425"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中标单位须做好服务记录，定期向采购单位汇报服务工作、服务进度、服务成果等内容，并提交服务总结报告。</w:t>
      </w:r>
    </w:p>
    <w:p w14:paraId="2DFEDE41">
      <w:pPr>
        <w:keepNext w:val="0"/>
        <w:keepLines w:val="0"/>
        <w:pageBreakBefore w:val="0"/>
        <w:widowControl w:val="0"/>
        <w:numPr>
          <w:ilvl w:val="0"/>
          <w:numId w:val="9"/>
        </w:numPr>
        <w:kinsoku/>
        <w:wordWrap/>
        <w:overflowPunct/>
        <w:topLinePunct w:val="0"/>
        <w:autoSpaceDE/>
        <w:autoSpaceDN/>
        <w:bidi w:val="0"/>
        <w:adjustRightInd/>
        <w:snapToGrid/>
        <w:spacing w:beforeAutospacing="0" w:line="560" w:lineRule="exact"/>
        <w:ind w:left="1055" w:leftChars="0" w:hanging="425"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标单位须建立人员培训和考核制度，明确培训的目标、内容、培训方式，服务人员经常性培训，包括进驻前培训、过程培训、技术培训、专业演练、法规知识培训等；考核内容设定科学、合理，制定有效且操作性强的奖优罚劣措施。本项目所配置服务人员，均须培训后上岗，保证其能够以高效、专业、文明的方式提供服务。</w:t>
      </w:r>
    </w:p>
    <w:p w14:paraId="73C659AA">
      <w:pPr>
        <w:keepNext w:val="0"/>
        <w:keepLines w:val="0"/>
        <w:pageBreakBefore w:val="0"/>
        <w:widowControl w:val="0"/>
        <w:numPr>
          <w:ilvl w:val="0"/>
          <w:numId w:val="8"/>
        </w:numPr>
        <w:kinsoku/>
        <w:wordWrap/>
        <w:overflowPunct/>
        <w:topLinePunct w:val="0"/>
        <w:autoSpaceDE/>
        <w:autoSpaceDN/>
        <w:bidi w:val="0"/>
        <w:adjustRightInd/>
        <w:snapToGrid/>
        <w:spacing w:beforeAutospacing="0" w:line="560" w:lineRule="exact"/>
        <w:ind w:left="210" w:leftChars="0" w:firstLine="420" w:firstLineChars="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服务团队要求</w:t>
      </w:r>
    </w:p>
    <w:p w14:paraId="35B83C2C">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eastAsia="仿宋_GB2312"/>
          <w:sz w:val="32"/>
          <w:szCs w:val="32"/>
        </w:rPr>
        <w:t>保安人员要求</w:t>
      </w:r>
      <w:r>
        <w:rPr>
          <w:rFonts w:hint="eastAsia" w:ascii="仿宋_GB2312" w:hAnsi="仿宋_GB2312" w:eastAsia="仿宋_GB2312" w:cs="仿宋_GB2312"/>
          <w:sz w:val="32"/>
          <w:szCs w:val="32"/>
          <w:lang w:eastAsia="zh-CN"/>
        </w:rPr>
        <w:t>：年龄18-45周岁，且含体检合格，</w:t>
      </w:r>
      <w:r>
        <w:rPr>
          <w:rFonts w:hint="eastAsia" w:ascii="仿宋_GB2312" w:eastAsia="仿宋_GB2312"/>
          <w:sz w:val="32"/>
          <w:szCs w:val="32"/>
        </w:rPr>
        <w:t>掌握一定的保安专业、消防、交通指挥、医疗救护等知识</w:t>
      </w:r>
      <w:r>
        <w:rPr>
          <w:rFonts w:hint="eastAsia" w:ascii="仿宋_GB2312" w:eastAsia="仿宋_GB2312"/>
          <w:sz w:val="32"/>
          <w:szCs w:val="32"/>
          <w:lang w:eastAsia="zh-CN"/>
        </w:rPr>
        <w:t>，</w:t>
      </w:r>
      <w:r>
        <w:rPr>
          <w:rFonts w:hint="eastAsia" w:ascii="仿宋_GB2312" w:hAnsi="仿宋_GB2312" w:eastAsia="仿宋_GB2312" w:cs="仿宋_GB2312"/>
          <w:sz w:val="32"/>
          <w:szCs w:val="32"/>
          <w:lang w:eastAsia="zh-CN"/>
        </w:rPr>
        <w:t>积极主动，服从安排，具有较强的责任感与服务意识。</w:t>
      </w:r>
    </w:p>
    <w:p w14:paraId="22A16051">
      <w:pPr>
        <w:keepNext w:val="0"/>
        <w:keepLines w:val="0"/>
        <w:pageBreakBefore w:val="0"/>
        <w:widowControl w:val="0"/>
        <w:numPr>
          <w:ilvl w:val="0"/>
          <w:numId w:val="8"/>
        </w:numPr>
        <w:kinsoku/>
        <w:wordWrap/>
        <w:overflowPunct/>
        <w:topLinePunct w:val="0"/>
        <w:autoSpaceDE/>
        <w:autoSpaceDN/>
        <w:bidi w:val="0"/>
        <w:adjustRightInd/>
        <w:snapToGrid/>
        <w:spacing w:beforeAutospacing="0" w:line="560" w:lineRule="exact"/>
        <w:ind w:left="210" w:leftChars="0" w:firstLine="420" w:firstLineChars="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项目的法律责任划分</w:t>
      </w:r>
    </w:p>
    <w:p w14:paraId="7F5707B0">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1055" w:leftChars="0" w:hanging="425" w:firstLineChars="0"/>
        <w:textAlignment w:val="auto"/>
        <w:rPr>
          <w:rFonts w:ascii="仿宋_GB2312" w:eastAsia="仿宋_GB2312"/>
          <w:sz w:val="32"/>
          <w:szCs w:val="32"/>
        </w:rPr>
      </w:pPr>
      <w:r>
        <w:rPr>
          <w:rFonts w:hint="eastAsia" w:ascii="仿宋_GB2312" w:eastAsia="仿宋_GB2312"/>
          <w:sz w:val="32"/>
          <w:szCs w:val="32"/>
        </w:rPr>
        <w:t>中标供应商及其保安员不是行政执法主体，没有执法权，不得实施行政强制、行政处罚等行政行为。否则，由此产生的一切法律责任由中标供应商承担。</w:t>
      </w:r>
    </w:p>
    <w:p w14:paraId="5E202AF7">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1055" w:leftChars="0" w:hanging="425" w:firstLineChars="0"/>
        <w:textAlignment w:val="auto"/>
        <w:rPr>
          <w:rFonts w:ascii="仿宋_GB2312" w:eastAsia="仿宋_GB2312"/>
          <w:sz w:val="32"/>
          <w:szCs w:val="32"/>
        </w:rPr>
      </w:pPr>
      <w:r>
        <w:rPr>
          <w:rFonts w:hint="eastAsia" w:ascii="仿宋_GB2312" w:eastAsia="仿宋_GB2312"/>
          <w:sz w:val="32"/>
          <w:szCs w:val="32"/>
        </w:rPr>
        <w:t>中标供应商与保安员建立劳动关系，保安员与采购单位不存在劳动关系。中标供应商按其规章制度管理保安员，按劳动法规定与保安员签订劳动合同, 依照劳动合同关系保障保安员在社会保险、劳动用工、劳动保护、工资福利、教育培训等方面的合法权益。</w:t>
      </w:r>
    </w:p>
    <w:p w14:paraId="38DEC646">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1055" w:leftChars="0" w:hanging="425" w:firstLineChars="0"/>
        <w:textAlignment w:val="auto"/>
        <w:rPr>
          <w:rFonts w:ascii="仿宋_GB2312" w:eastAsia="仿宋_GB2312"/>
          <w:sz w:val="32"/>
          <w:szCs w:val="32"/>
        </w:rPr>
      </w:pPr>
      <w:r>
        <w:rPr>
          <w:rFonts w:hint="eastAsia" w:ascii="仿宋_GB2312" w:eastAsia="仿宋_GB2312"/>
          <w:sz w:val="32"/>
          <w:szCs w:val="32"/>
        </w:rPr>
        <w:t>中标供应商应按时足额支付保安员的工资、福利以及为保安员购买养老保险、医疗保险、工伤保险、失业保险、意外伤害险等各类保险及住房公积金。中标供应商保安员的人身安全及相关经济、法律责任由中标供应商负责。中标供应商保安员如因劳动报酬、加班费、绩效奖金、福利待遇、工伤处理等产生的所有劳动关系纠纷，由中标供应商完全负责，与采购单位无关。</w:t>
      </w:r>
    </w:p>
    <w:p w14:paraId="37E6488E">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1055" w:leftChars="0" w:hanging="425" w:firstLineChars="0"/>
        <w:textAlignment w:val="auto"/>
        <w:rPr>
          <w:rFonts w:ascii="仿宋_GB2312" w:eastAsia="仿宋_GB2312"/>
          <w:sz w:val="32"/>
          <w:szCs w:val="32"/>
        </w:rPr>
      </w:pPr>
      <w:r>
        <w:rPr>
          <w:rFonts w:hint="eastAsia" w:ascii="仿宋_GB2312" w:eastAsia="仿宋_GB2312"/>
          <w:sz w:val="32"/>
          <w:szCs w:val="32"/>
        </w:rPr>
        <w:t>中标供应商及其从事保安管理工作的保安员禁止有以下行为：</w:t>
      </w:r>
    </w:p>
    <w:p w14:paraId="0D35961C">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1475" w:leftChars="0" w:hanging="425" w:firstLineChars="0"/>
        <w:textAlignment w:val="auto"/>
        <w:rPr>
          <w:rFonts w:ascii="仿宋_GB2312" w:eastAsia="仿宋_GB2312"/>
          <w:sz w:val="32"/>
          <w:szCs w:val="32"/>
        </w:rPr>
      </w:pPr>
      <w:r>
        <w:rPr>
          <w:rFonts w:hint="eastAsia" w:ascii="仿宋_GB2312" w:eastAsia="仿宋_GB2312"/>
          <w:sz w:val="32"/>
          <w:szCs w:val="32"/>
        </w:rPr>
        <w:t>不服从采购单位管理和指挥；</w:t>
      </w:r>
    </w:p>
    <w:p w14:paraId="61F95611">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1475" w:leftChars="0" w:hanging="425" w:firstLineChars="0"/>
        <w:textAlignment w:val="auto"/>
        <w:rPr>
          <w:rFonts w:ascii="仿宋_GB2312" w:eastAsia="仿宋_GB2312"/>
          <w:sz w:val="32"/>
          <w:szCs w:val="32"/>
        </w:rPr>
      </w:pPr>
      <w:r>
        <w:rPr>
          <w:rFonts w:hint="eastAsia" w:ascii="仿宋_GB2312" w:eastAsia="仿宋_GB2312"/>
          <w:sz w:val="32"/>
          <w:szCs w:val="32"/>
        </w:rPr>
        <w:t>擅离岗位；</w:t>
      </w:r>
    </w:p>
    <w:p w14:paraId="2B531771">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1475" w:leftChars="0" w:hanging="425" w:firstLineChars="0"/>
        <w:textAlignment w:val="auto"/>
        <w:rPr>
          <w:rFonts w:ascii="仿宋_GB2312" w:eastAsia="仿宋_GB2312"/>
          <w:sz w:val="32"/>
          <w:szCs w:val="32"/>
        </w:rPr>
      </w:pPr>
      <w:r>
        <w:rPr>
          <w:rFonts w:hint="eastAsia" w:ascii="仿宋_GB2312" w:eastAsia="仿宋_GB2312"/>
          <w:sz w:val="32"/>
          <w:szCs w:val="32"/>
        </w:rPr>
        <w:t>限制他人人身自由、搜查他人身体或侮辱、殴打他人；</w:t>
      </w:r>
    </w:p>
    <w:p w14:paraId="7197434E">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1475" w:leftChars="0" w:hanging="425" w:firstLineChars="0"/>
        <w:textAlignment w:val="auto"/>
        <w:rPr>
          <w:rFonts w:ascii="仿宋_GB2312" w:eastAsia="仿宋_GB2312"/>
          <w:sz w:val="32"/>
          <w:szCs w:val="32"/>
        </w:rPr>
      </w:pPr>
      <w:r>
        <w:rPr>
          <w:rFonts w:hint="eastAsia" w:ascii="仿宋_GB2312" w:eastAsia="仿宋_GB2312"/>
          <w:sz w:val="32"/>
          <w:szCs w:val="32"/>
        </w:rPr>
        <w:t>侵犯个人隐私或泄漏在辅助管理工作中获知的应当保密的信息；</w:t>
      </w:r>
    </w:p>
    <w:p w14:paraId="4498B893">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1475" w:leftChars="0" w:hanging="425" w:firstLineChars="0"/>
        <w:textAlignment w:val="auto"/>
        <w:rPr>
          <w:rFonts w:ascii="仿宋_GB2312" w:eastAsia="仿宋_GB2312"/>
          <w:sz w:val="32"/>
          <w:szCs w:val="32"/>
        </w:rPr>
      </w:pPr>
      <w:r>
        <w:rPr>
          <w:rFonts w:hint="eastAsia" w:ascii="仿宋_GB2312" w:eastAsia="仿宋_GB2312"/>
          <w:sz w:val="32"/>
          <w:szCs w:val="32"/>
        </w:rPr>
        <w:t>法律、法规禁止的其他行为。</w:t>
      </w:r>
    </w:p>
    <w:p w14:paraId="2B517EC7">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1055" w:leftChars="0" w:hanging="425" w:firstLineChars="0"/>
        <w:textAlignment w:val="auto"/>
        <w:rPr>
          <w:rFonts w:ascii="仿宋_GB2312" w:eastAsia="仿宋_GB2312"/>
          <w:sz w:val="32"/>
          <w:szCs w:val="32"/>
        </w:rPr>
      </w:pPr>
      <w:r>
        <w:rPr>
          <w:rFonts w:hint="eastAsia" w:ascii="仿宋_GB2312" w:eastAsia="仿宋_GB2312"/>
          <w:sz w:val="32"/>
          <w:szCs w:val="32"/>
        </w:rPr>
        <w:t>中标供应商在工作中，如发生侵害第三人合法权益或者损害公共利益情况的，由中标供应商承担相应的法律责任和经济责任，对采购单位造成损失的，采购单位依法向中标供应商追偿。</w:t>
      </w:r>
    </w:p>
    <w:p w14:paraId="6F531AB0">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1055" w:leftChars="0" w:hanging="425"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标单位须合法用工，依照劳动法保障本项目服务人员在社会保险、劳动用工、劳动保护、工资福利、教育培训人身安全等方面的合法权益。如本项目出现服务人员劳务纠纷、安全事故等问题，均与采购单位无关，如其影响本项目服务质量，采购单位有权向中标单位进行追责。</w:t>
      </w:r>
    </w:p>
    <w:p w14:paraId="7AF46B53">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1055" w:leftChars="0" w:hanging="425" w:firstLineChars="0"/>
        <w:textAlignment w:val="auto"/>
        <w:rPr>
          <w:rFonts w:hint="eastAsia" w:ascii="仿宋_GB2312" w:hAnsi="仿宋_GB2312" w:eastAsia="仿宋_GB2312" w:cs="仿宋_GB2312"/>
          <w:sz w:val="32"/>
          <w:szCs w:val="32"/>
          <w:lang w:eastAsia="zh-CN"/>
        </w:rPr>
      </w:pPr>
      <w:r>
        <w:rPr>
          <w:rFonts w:hint="eastAsia" w:ascii="仿宋_GB2312" w:eastAsia="仿宋_GB2312"/>
          <w:sz w:val="32"/>
          <w:szCs w:val="32"/>
        </w:rPr>
        <w:t>中标供应商在协助采购单位保安管理服务活动中，合法权益受到第三人侵害的，中标供应商应向侵权人追究法律责任，不得向采购单位要求补偿或赔偿。若中标供应商派出的保安员因暴力抗法、意外事件、自身行为、身体健康等原因受到人身损害的，中标供应商应当按照劳动和社会保障法律法规及有关法律、政策规定承担相应的经济责任和法律责任，采购单位对此不承担任何责任。</w:t>
      </w:r>
    </w:p>
    <w:p w14:paraId="39570FD4">
      <w:pPr>
        <w:pStyle w:val="2"/>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1055" w:leftChars="0" w:hanging="425" w:firstLineChars="0"/>
        <w:textAlignment w:val="auto"/>
        <w:rPr>
          <w:rFonts w:hint="eastAsia"/>
          <w:lang w:eastAsia="zh-CN"/>
        </w:rPr>
      </w:pPr>
      <w:r>
        <w:rPr>
          <w:rFonts w:hint="eastAsia" w:ascii="仿宋_GB2312" w:eastAsia="仿宋_GB2312"/>
          <w:sz w:val="32"/>
          <w:szCs w:val="32"/>
        </w:rPr>
        <w:t>发生安全事故时，如因中标供应商怠慢、处理不当等原因造成事故范围扩大或严重后果的，中标供应商承担事故一切责任，采购单位对此不承担任何责任。</w:t>
      </w:r>
    </w:p>
    <w:p w14:paraId="6C438A11">
      <w:pPr>
        <w:pStyle w:val="2"/>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1055" w:leftChars="0" w:hanging="425" w:firstLineChars="0"/>
        <w:textAlignment w:val="auto"/>
        <w:rPr>
          <w:rFonts w:hint="eastAsia"/>
          <w:lang w:eastAsia="zh-CN"/>
        </w:rPr>
      </w:pPr>
      <w:r>
        <w:rPr>
          <w:rFonts w:hint="eastAsia" w:ascii="仿宋_GB2312" w:hAnsi="仿宋_GB2312" w:eastAsia="仿宋_GB2312" w:cs="仿宋_GB2312"/>
          <w:sz w:val="32"/>
          <w:szCs w:val="32"/>
          <w:lang w:eastAsia="zh-CN"/>
        </w:rPr>
        <w:t>中标单位须遵守保密原则，未经采购单位授权，不得向任何第三方泄露与本项目相关的信息资料。</w:t>
      </w:r>
    </w:p>
    <w:p w14:paraId="0ACACF13">
      <w:pPr>
        <w:keepNext w:val="0"/>
        <w:keepLines w:val="0"/>
        <w:pageBreakBefore w:val="0"/>
        <w:widowControl w:val="0"/>
        <w:numPr>
          <w:ilvl w:val="0"/>
          <w:numId w:val="8"/>
        </w:numPr>
        <w:kinsoku/>
        <w:wordWrap/>
        <w:overflowPunct/>
        <w:topLinePunct w:val="0"/>
        <w:autoSpaceDE/>
        <w:autoSpaceDN/>
        <w:bidi w:val="0"/>
        <w:adjustRightInd/>
        <w:snapToGrid/>
        <w:spacing w:beforeAutospacing="0" w:line="560" w:lineRule="exact"/>
        <w:ind w:left="210" w:leftChars="0" w:firstLine="420" w:firstLineChars="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报价要求</w:t>
      </w:r>
    </w:p>
    <w:p w14:paraId="5A7854CD">
      <w:pPr>
        <w:keepNext w:val="0"/>
        <w:keepLines w:val="0"/>
        <w:pageBreakBefore w:val="0"/>
        <w:widowControl w:val="0"/>
        <w:numPr>
          <w:ilvl w:val="0"/>
          <w:numId w:val="12"/>
        </w:numPr>
        <w:kinsoku/>
        <w:wordWrap/>
        <w:overflowPunct/>
        <w:topLinePunct w:val="0"/>
        <w:autoSpaceDE/>
        <w:autoSpaceDN/>
        <w:bidi w:val="0"/>
        <w:adjustRightInd/>
        <w:snapToGrid/>
        <w:spacing w:beforeAutospacing="0" w:line="560" w:lineRule="exact"/>
        <w:ind w:left="1055" w:leftChars="0" w:hanging="425"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项目服务费采用包干制，应包括服务成本、法定税费和社会组织的利润。由投标供应商根据采购文件所提供的资料自行测算投标报价；一经中标，报价总价作为中标供应商与采购人签定的合同金额，合同期限内不做调整。</w:t>
      </w:r>
    </w:p>
    <w:p w14:paraId="29C8B21E">
      <w:pPr>
        <w:keepNext w:val="0"/>
        <w:keepLines w:val="0"/>
        <w:pageBreakBefore w:val="0"/>
        <w:widowControl w:val="0"/>
        <w:numPr>
          <w:ilvl w:val="0"/>
          <w:numId w:val="12"/>
        </w:numPr>
        <w:kinsoku/>
        <w:wordWrap/>
        <w:overflowPunct/>
        <w:topLinePunct w:val="0"/>
        <w:autoSpaceDE/>
        <w:autoSpaceDN/>
        <w:bidi w:val="0"/>
        <w:adjustRightInd/>
        <w:snapToGrid/>
        <w:spacing w:beforeAutospacing="0" w:line="560" w:lineRule="exact"/>
        <w:ind w:left="1055" w:leftChars="0" w:hanging="425"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投标供应商的报价不得超过项目预算金额。</w:t>
      </w:r>
    </w:p>
    <w:p w14:paraId="29C4ABBA">
      <w:pPr>
        <w:keepNext w:val="0"/>
        <w:keepLines w:val="0"/>
        <w:pageBreakBefore w:val="0"/>
        <w:widowControl w:val="0"/>
        <w:numPr>
          <w:ilvl w:val="0"/>
          <w:numId w:val="12"/>
        </w:numPr>
        <w:kinsoku/>
        <w:wordWrap/>
        <w:overflowPunct/>
        <w:topLinePunct w:val="0"/>
        <w:autoSpaceDE/>
        <w:autoSpaceDN/>
        <w:bidi w:val="0"/>
        <w:adjustRightInd/>
        <w:snapToGrid/>
        <w:spacing w:beforeAutospacing="0" w:line="560" w:lineRule="exact"/>
        <w:ind w:left="1055" w:leftChars="0" w:hanging="425"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投标供应商的报价，应当是本项目采购范围和采购文件及合同条款上所列的各项内容中所述的全部，不得以任何理由予以重复。</w:t>
      </w:r>
    </w:p>
    <w:p w14:paraId="619B3714">
      <w:pPr>
        <w:keepNext w:val="0"/>
        <w:keepLines w:val="0"/>
        <w:pageBreakBefore w:val="0"/>
        <w:widowControl w:val="0"/>
        <w:numPr>
          <w:ilvl w:val="0"/>
          <w:numId w:val="12"/>
        </w:numPr>
        <w:kinsoku/>
        <w:wordWrap/>
        <w:overflowPunct/>
        <w:topLinePunct w:val="0"/>
        <w:autoSpaceDE/>
        <w:autoSpaceDN/>
        <w:bidi w:val="0"/>
        <w:adjustRightInd/>
        <w:snapToGrid/>
        <w:spacing w:beforeAutospacing="0" w:line="560" w:lineRule="exact"/>
        <w:ind w:left="1055" w:leftChars="0" w:hanging="425"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投标供应商应先到项目地点踏勘以充分了解项目的位置、情况及任何其它足以影响投标报价的情况，任何因忽视或误解项目情况而导致的索赔或服务期限延长申请将不获批准。</w:t>
      </w:r>
    </w:p>
    <w:p w14:paraId="760D49F2">
      <w:pPr>
        <w:keepNext w:val="0"/>
        <w:keepLines w:val="0"/>
        <w:pageBreakBefore w:val="0"/>
        <w:widowControl w:val="0"/>
        <w:numPr>
          <w:ilvl w:val="0"/>
          <w:numId w:val="12"/>
        </w:numPr>
        <w:kinsoku/>
        <w:wordWrap/>
        <w:overflowPunct/>
        <w:topLinePunct w:val="0"/>
        <w:autoSpaceDE/>
        <w:autoSpaceDN/>
        <w:bidi w:val="0"/>
        <w:adjustRightInd/>
        <w:snapToGrid/>
        <w:spacing w:beforeAutospacing="0" w:line="560" w:lineRule="exact"/>
        <w:ind w:left="1055" w:leftChars="0" w:hanging="425"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投标供应商不得期望通过索赔等方式获取补偿，否则，除可能遭到拒绝外，还可能将被作为不良行为记录在案，并可能影响其以后参加政府采购的项目投标。各投标供应商在报价时，应充分考虑报价的风险。</w:t>
      </w:r>
    </w:p>
    <w:p w14:paraId="07FDDFA6">
      <w:pPr>
        <w:keepNext w:val="0"/>
        <w:keepLines w:val="0"/>
        <w:pageBreakBefore w:val="0"/>
        <w:widowControl w:val="0"/>
        <w:numPr>
          <w:ilvl w:val="0"/>
          <w:numId w:val="8"/>
        </w:numPr>
        <w:kinsoku/>
        <w:wordWrap/>
        <w:overflowPunct/>
        <w:topLinePunct w:val="0"/>
        <w:autoSpaceDE/>
        <w:autoSpaceDN/>
        <w:bidi w:val="0"/>
        <w:adjustRightInd/>
        <w:snapToGrid/>
        <w:spacing w:beforeAutospacing="0" w:line="560" w:lineRule="exact"/>
        <w:ind w:left="210" w:leftChars="0" w:firstLine="420" w:firstLineChars="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付款方式</w:t>
      </w:r>
    </w:p>
    <w:p w14:paraId="61BF68A2">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ascii="仿宋" w:hAnsi="仿宋" w:eastAsia="仿宋" w:cs="仿宋"/>
          <w:sz w:val="30"/>
          <w:szCs w:val="30"/>
          <w:lang w:eastAsia="zh-CN"/>
        </w:rPr>
      </w:pPr>
      <w:r>
        <w:rPr>
          <w:rFonts w:hint="eastAsia" w:ascii="仿宋_GB2312" w:hAnsi="仿宋_GB2312" w:eastAsia="仿宋_GB2312" w:cs="仿宋_GB2312"/>
          <w:sz w:val="32"/>
          <w:szCs w:val="32"/>
          <w:lang w:eastAsia="zh-CN"/>
        </w:rPr>
        <w:t>按照签订合同约定付款方式。</w:t>
      </w:r>
    </w:p>
    <w:p w14:paraId="27790818">
      <w:pPr>
        <w:keepNext w:val="0"/>
        <w:keepLines w:val="0"/>
        <w:pageBreakBefore w:val="0"/>
        <w:widowControl w:val="0"/>
        <w:numPr>
          <w:ilvl w:val="0"/>
          <w:numId w:val="1"/>
        </w:numPr>
        <w:kinsoku/>
        <w:wordWrap/>
        <w:overflowPunct/>
        <w:topLinePunct w:val="0"/>
        <w:autoSpaceDE/>
        <w:autoSpaceDN/>
        <w:bidi w:val="0"/>
        <w:adjustRightInd/>
        <w:snapToGrid/>
        <w:spacing w:beforeAutospacing="0" w:line="560" w:lineRule="exact"/>
        <w:ind w:left="210" w:leftChars="0" w:firstLine="420" w:firstLineChars="0"/>
        <w:textAlignment w:val="auto"/>
        <w:rPr>
          <w:rFonts w:hint="eastAsia" w:ascii="黑体" w:hAnsi="黑体" w:eastAsia="黑体" w:cs="宋体"/>
          <w:b w:val="0"/>
          <w:bCs/>
          <w:kern w:val="2"/>
          <w:sz w:val="32"/>
          <w:szCs w:val="32"/>
          <w:lang w:val="en-US" w:eastAsia="zh-CN" w:bidi="ar-SA"/>
        </w:rPr>
      </w:pPr>
      <w:r>
        <w:rPr>
          <w:rFonts w:hint="eastAsia" w:ascii="黑体" w:hAnsi="黑体" w:eastAsia="黑体" w:cs="宋体"/>
          <w:b w:val="0"/>
          <w:bCs/>
          <w:kern w:val="2"/>
          <w:sz w:val="32"/>
          <w:szCs w:val="32"/>
          <w:lang w:val="en-US" w:eastAsia="zh-CN" w:bidi="ar-SA"/>
        </w:rPr>
        <w:t>投标文件编制</w:t>
      </w:r>
    </w:p>
    <w:p w14:paraId="3D861E1B">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b/>
          <w:color w:val="000000"/>
          <w:sz w:val="32"/>
          <w:szCs w:val="32"/>
          <w:lang w:eastAsia="zh-CN"/>
        </w:rPr>
      </w:pPr>
      <w:r>
        <w:rPr>
          <w:rFonts w:hint="eastAsia" w:ascii="仿宋_GB2312" w:hAnsi="仿宋_GB2312" w:eastAsia="仿宋_GB2312" w:cs="仿宋_GB2312"/>
          <w:sz w:val="32"/>
          <w:szCs w:val="32"/>
          <w:lang w:eastAsia="zh-CN"/>
        </w:rPr>
        <w:t>投标文件一正四副（副本可采用正本盖章复印件），要求按以下顺序编制，并密封包装：</w:t>
      </w:r>
    </w:p>
    <w:p w14:paraId="66C15841">
      <w:pPr>
        <w:keepNext w:val="0"/>
        <w:keepLines w:val="0"/>
        <w:pageBreakBefore w:val="0"/>
        <w:widowControl w:val="0"/>
        <w:numPr>
          <w:ilvl w:val="0"/>
          <w:numId w:val="13"/>
        </w:numPr>
        <w:kinsoku/>
        <w:wordWrap/>
        <w:overflowPunct/>
        <w:topLinePunct w:val="0"/>
        <w:autoSpaceDE/>
        <w:autoSpaceDN/>
        <w:bidi w:val="0"/>
        <w:adjustRightInd/>
        <w:snapToGrid/>
        <w:spacing w:beforeAutospacing="0" w:line="560" w:lineRule="exact"/>
        <w:ind w:left="1055" w:leftChars="0" w:hanging="425" w:firstLineChars="0"/>
        <w:textAlignment w:val="auto"/>
        <w:rPr>
          <w:rFonts w:hint="eastAsia" w:ascii="仿宋_GB2312" w:hAnsi="仿宋_GB2312" w:eastAsia="仿宋_GB2312" w:cs="仿宋_GB2312"/>
          <w:sz w:val="32"/>
          <w:szCs w:val="32"/>
          <w:lang w:eastAsia="zh-CN"/>
        </w:rPr>
      </w:pPr>
      <w:r>
        <w:rPr>
          <w:rFonts w:hint="eastAsia" w:ascii="仿宋_GB2312" w:eastAsia="仿宋_GB2312"/>
          <w:sz w:val="32"/>
          <w:szCs w:val="32"/>
          <w:lang w:eastAsia="zh-CN"/>
        </w:rPr>
        <w:t>投标报名表</w:t>
      </w:r>
    </w:p>
    <w:p w14:paraId="3BC0ACEF">
      <w:pPr>
        <w:keepNext w:val="0"/>
        <w:keepLines w:val="0"/>
        <w:pageBreakBefore w:val="0"/>
        <w:widowControl w:val="0"/>
        <w:numPr>
          <w:ilvl w:val="0"/>
          <w:numId w:val="13"/>
        </w:numPr>
        <w:kinsoku/>
        <w:wordWrap/>
        <w:overflowPunct/>
        <w:topLinePunct w:val="0"/>
        <w:autoSpaceDE/>
        <w:autoSpaceDN/>
        <w:bidi w:val="0"/>
        <w:adjustRightInd/>
        <w:snapToGrid/>
        <w:spacing w:beforeAutospacing="0" w:line="560" w:lineRule="exact"/>
        <w:ind w:left="1055" w:leftChars="0" w:hanging="425"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报价一览表</w:t>
      </w:r>
    </w:p>
    <w:p w14:paraId="12C2C090">
      <w:pPr>
        <w:keepNext w:val="0"/>
        <w:keepLines w:val="0"/>
        <w:pageBreakBefore w:val="0"/>
        <w:widowControl w:val="0"/>
        <w:numPr>
          <w:ilvl w:val="0"/>
          <w:numId w:val="13"/>
        </w:numPr>
        <w:kinsoku/>
        <w:wordWrap/>
        <w:overflowPunct/>
        <w:topLinePunct w:val="0"/>
        <w:autoSpaceDE/>
        <w:autoSpaceDN/>
        <w:bidi w:val="0"/>
        <w:adjustRightInd/>
        <w:snapToGrid/>
        <w:spacing w:beforeAutospacing="0" w:line="560" w:lineRule="exact"/>
        <w:ind w:left="1055" w:leftChars="0" w:hanging="425" w:firstLineChars="0"/>
        <w:textAlignment w:val="auto"/>
        <w:rPr>
          <w:rFonts w:hint="eastAsia" w:ascii="仿宋_GB2312" w:eastAsia="仿宋_GB2312"/>
          <w:sz w:val="32"/>
          <w:szCs w:val="32"/>
        </w:rPr>
      </w:pPr>
      <w:r>
        <w:rPr>
          <w:rFonts w:hint="eastAsia" w:ascii="仿宋_GB2312" w:eastAsia="仿宋_GB2312"/>
          <w:sz w:val="32"/>
          <w:szCs w:val="32"/>
        </w:rPr>
        <w:t>投标人资质条件</w:t>
      </w:r>
    </w:p>
    <w:p w14:paraId="77042AFE">
      <w:pPr>
        <w:keepNext w:val="0"/>
        <w:keepLines w:val="0"/>
        <w:pageBreakBefore w:val="0"/>
        <w:widowControl w:val="0"/>
        <w:numPr>
          <w:ilvl w:val="0"/>
          <w:numId w:val="13"/>
        </w:numPr>
        <w:kinsoku/>
        <w:wordWrap/>
        <w:overflowPunct/>
        <w:topLinePunct w:val="0"/>
        <w:autoSpaceDE/>
        <w:autoSpaceDN/>
        <w:bidi w:val="0"/>
        <w:adjustRightInd/>
        <w:snapToGrid/>
        <w:spacing w:beforeAutospacing="0" w:line="560" w:lineRule="exact"/>
        <w:ind w:left="1055" w:leftChars="0" w:hanging="425"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针对本项目服务方案</w:t>
      </w:r>
    </w:p>
    <w:p w14:paraId="00D2BFE7">
      <w:pPr>
        <w:keepNext w:val="0"/>
        <w:keepLines w:val="0"/>
        <w:pageBreakBefore w:val="0"/>
        <w:widowControl w:val="0"/>
        <w:numPr>
          <w:ilvl w:val="0"/>
          <w:numId w:val="13"/>
        </w:numPr>
        <w:kinsoku/>
        <w:wordWrap/>
        <w:overflowPunct/>
        <w:topLinePunct w:val="0"/>
        <w:autoSpaceDE/>
        <w:autoSpaceDN/>
        <w:bidi w:val="0"/>
        <w:adjustRightInd/>
        <w:snapToGrid/>
        <w:spacing w:beforeAutospacing="0" w:line="560" w:lineRule="exact"/>
        <w:ind w:left="1055" w:leftChars="0" w:hanging="425"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同类项目业绩</w:t>
      </w:r>
    </w:p>
    <w:p w14:paraId="616C8B82">
      <w:pPr>
        <w:keepNext w:val="0"/>
        <w:keepLines w:val="0"/>
        <w:pageBreakBefore w:val="0"/>
        <w:widowControl w:val="0"/>
        <w:numPr>
          <w:ilvl w:val="0"/>
          <w:numId w:val="13"/>
        </w:numPr>
        <w:kinsoku/>
        <w:wordWrap/>
        <w:overflowPunct/>
        <w:topLinePunct w:val="0"/>
        <w:autoSpaceDE/>
        <w:autoSpaceDN/>
        <w:bidi w:val="0"/>
        <w:adjustRightInd/>
        <w:snapToGrid/>
        <w:spacing w:beforeAutospacing="0" w:line="560" w:lineRule="exact"/>
        <w:ind w:left="1055" w:leftChars="0" w:hanging="425"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技术部分</w:t>
      </w:r>
    </w:p>
    <w:p w14:paraId="48BF0211">
      <w:pPr>
        <w:keepNext w:val="0"/>
        <w:keepLines w:val="0"/>
        <w:pageBreakBefore w:val="0"/>
        <w:widowControl w:val="0"/>
        <w:numPr>
          <w:ilvl w:val="0"/>
          <w:numId w:val="13"/>
        </w:numPr>
        <w:kinsoku/>
        <w:wordWrap/>
        <w:overflowPunct/>
        <w:topLinePunct w:val="0"/>
        <w:autoSpaceDE/>
        <w:autoSpaceDN/>
        <w:bidi w:val="0"/>
        <w:adjustRightInd/>
        <w:snapToGrid/>
        <w:spacing w:beforeAutospacing="0" w:line="560" w:lineRule="exact"/>
        <w:ind w:left="1055" w:leftChars="0" w:hanging="425"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综合实力部分</w:t>
      </w:r>
    </w:p>
    <w:p w14:paraId="43105008">
      <w:pPr>
        <w:pStyle w:val="9"/>
        <w:keepNext w:val="0"/>
        <w:keepLines w:val="0"/>
        <w:pageBreakBefore w:val="0"/>
        <w:widowControl w:val="0"/>
        <w:numPr>
          <w:ilvl w:val="0"/>
          <w:numId w:val="13"/>
        </w:numPr>
        <w:kinsoku/>
        <w:wordWrap/>
        <w:overflowPunct/>
        <w:topLinePunct w:val="0"/>
        <w:autoSpaceDE/>
        <w:autoSpaceDN/>
        <w:bidi w:val="0"/>
        <w:adjustRightInd/>
        <w:snapToGrid/>
        <w:spacing w:beforeAutospacing="0" w:line="560" w:lineRule="exact"/>
        <w:ind w:left="1055" w:leftChars="0" w:hanging="425" w:firstLineChars="0"/>
        <w:textAlignment w:val="auto"/>
        <w:rPr>
          <w:rFonts w:hint="default" w:eastAsia="仿宋"/>
          <w:lang w:eastAsia="zh-CN"/>
        </w:rPr>
      </w:pPr>
      <w:r>
        <w:rPr>
          <w:rFonts w:hint="eastAsia" w:ascii="仿宋_GB2312" w:hAnsi="仿宋_GB2312" w:eastAsia="仿宋_GB2312" w:cs="仿宋_GB2312"/>
          <w:sz w:val="32"/>
          <w:szCs w:val="32"/>
          <w:lang w:eastAsia="zh-CN"/>
        </w:rPr>
        <w:t>投标人认为需要补充的资料（由投标人自定）</w:t>
      </w:r>
    </w:p>
    <w:p w14:paraId="261C4CA2">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黑体" w:hAnsi="黑体" w:eastAsia="黑体" w:cs="宋体"/>
          <w:b w:val="0"/>
          <w:bCs/>
          <w:kern w:val="2"/>
          <w:sz w:val="32"/>
          <w:szCs w:val="32"/>
          <w:lang w:val="en-US" w:eastAsia="zh-CN" w:bidi="ar-SA"/>
        </w:rPr>
      </w:pPr>
    </w:p>
    <w:p w14:paraId="5F5B9B1A">
      <w:pPr>
        <w:keepLines w:val="0"/>
        <w:pageBreakBefore w:val="0"/>
        <w:kinsoku/>
        <w:overflowPunct/>
        <w:topLinePunct w:val="0"/>
        <w:autoSpaceDE/>
        <w:autoSpaceDN/>
        <w:bidi w:val="0"/>
        <w:snapToGrid/>
        <w:spacing w:line="560" w:lineRule="exact"/>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398102"/>
    <w:multiLevelType w:val="singleLevel"/>
    <w:tmpl w:val="89398102"/>
    <w:lvl w:ilvl="0" w:tentative="0">
      <w:start w:val="1"/>
      <w:numFmt w:val="decimal"/>
      <w:lvlText w:val="%1."/>
      <w:lvlJc w:val="left"/>
      <w:pPr>
        <w:ind w:left="1055" w:hanging="425"/>
      </w:pPr>
      <w:rPr>
        <w:rFonts w:hint="default" w:ascii="仿宋_GB2312" w:hAnsi="仿宋_GB2312" w:eastAsia="仿宋_GB2312" w:cs="仿宋_GB2312"/>
        <w:sz w:val="32"/>
        <w:szCs w:val="32"/>
      </w:rPr>
    </w:lvl>
  </w:abstractNum>
  <w:abstractNum w:abstractNumId="1">
    <w:nsid w:val="8EB805BB"/>
    <w:multiLevelType w:val="singleLevel"/>
    <w:tmpl w:val="8EB805BB"/>
    <w:lvl w:ilvl="0" w:tentative="0">
      <w:start w:val="1"/>
      <w:numFmt w:val="chineseCounting"/>
      <w:suff w:val="nothing"/>
      <w:lvlText w:val="（%1）"/>
      <w:lvlJc w:val="left"/>
      <w:pPr>
        <w:ind w:left="0" w:firstLine="420"/>
      </w:pPr>
      <w:rPr>
        <w:rFonts w:hint="eastAsia" w:ascii="楷体_GB2312" w:hAnsi="楷体_GB2312" w:eastAsia="楷体_GB2312" w:cs="楷体_GB2312"/>
        <w:sz w:val="32"/>
        <w:szCs w:val="32"/>
      </w:rPr>
    </w:lvl>
  </w:abstractNum>
  <w:abstractNum w:abstractNumId="2">
    <w:nsid w:val="99D60861"/>
    <w:multiLevelType w:val="singleLevel"/>
    <w:tmpl w:val="99D60861"/>
    <w:lvl w:ilvl="0" w:tentative="0">
      <w:start w:val="1"/>
      <w:numFmt w:val="decimal"/>
      <w:suff w:val="nothing"/>
      <w:lvlText w:val="%1．"/>
      <w:lvlJc w:val="left"/>
      <w:pPr>
        <w:ind w:left="0" w:firstLine="400"/>
      </w:pPr>
      <w:rPr>
        <w:rFonts w:hint="default"/>
      </w:rPr>
    </w:lvl>
  </w:abstractNum>
  <w:abstractNum w:abstractNumId="3">
    <w:nsid w:val="AC9A52BE"/>
    <w:multiLevelType w:val="singleLevel"/>
    <w:tmpl w:val="AC9A52BE"/>
    <w:lvl w:ilvl="0" w:tentative="0">
      <w:start w:val="1"/>
      <w:numFmt w:val="decimal"/>
      <w:suff w:val="nothing"/>
      <w:lvlText w:val="%1．"/>
      <w:lvlJc w:val="left"/>
      <w:pPr>
        <w:ind w:left="0" w:firstLine="400"/>
      </w:pPr>
      <w:rPr>
        <w:rFonts w:hint="default"/>
      </w:rPr>
    </w:lvl>
  </w:abstractNum>
  <w:abstractNum w:abstractNumId="4">
    <w:nsid w:val="D14A52BF"/>
    <w:multiLevelType w:val="singleLevel"/>
    <w:tmpl w:val="D14A52BF"/>
    <w:lvl w:ilvl="0" w:tentative="0">
      <w:start w:val="1"/>
      <w:numFmt w:val="decimal"/>
      <w:lvlText w:val="%1."/>
      <w:lvlJc w:val="left"/>
      <w:pPr>
        <w:ind w:left="1056" w:hanging="425"/>
      </w:pPr>
      <w:rPr>
        <w:rFonts w:hint="default" w:ascii="仿宋_GB2312" w:hAnsi="仿宋_GB2312" w:eastAsia="仿宋_GB2312" w:cs="仿宋_GB2312"/>
        <w:sz w:val="32"/>
        <w:szCs w:val="32"/>
      </w:rPr>
    </w:lvl>
  </w:abstractNum>
  <w:abstractNum w:abstractNumId="5">
    <w:nsid w:val="DA747193"/>
    <w:multiLevelType w:val="singleLevel"/>
    <w:tmpl w:val="DA747193"/>
    <w:lvl w:ilvl="0" w:tentative="0">
      <w:start w:val="1"/>
      <w:numFmt w:val="chineseCounting"/>
      <w:suff w:val="nothing"/>
      <w:lvlText w:val="（%1）"/>
      <w:lvlJc w:val="left"/>
      <w:pPr>
        <w:ind w:left="210" w:firstLine="420"/>
      </w:pPr>
      <w:rPr>
        <w:rFonts w:hint="eastAsia" w:ascii="楷体_GB2312" w:hAnsi="楷体_GB2312" w:eastAsia="楷体_GB2312" w:cs="楷体_GB2312"/>
        <w:sz w:val="32"/>
        <w:szCs w:val="32"/>
      </w:rPr>
    </w:lvl>
  </w:abstractNum>
  <w:abstractNum w:abstractNumId="6">
    <w:nsid w:val="E9CB3D4B"/>
    <w:multiLevelType w:val="singleLevel"/>
    <w:tmpl w:val="E9CB3D4B"/>
    <w:lvl w:ilvl="0" w:tentative="0">
      <w:start w:val="1"/>
      <w:numFmt w:val="decimal"/>
      <w:suff w:val="nothing"/>
      <w:lvlText w:val="%1．"/>
      <w:lvlJc w:val="left"/>
      <w:pPr>
        <w:ind w:left="0" w:firstLine="400"/>
      </w:pPr>
      <w:rPr>
        <w:rFonts w:hint="default"/>
      </w:rPr>
    </w:lvl>
  </w:abstractNum>
  <w:abstractNum w:abstractNumId="7">
    <w:nsid w:val="F07EDED5"/>
    <w:multiLevelType w:val="singleLevel"/>
    <w:tmpl w:val="F07EDED5"/>
    <w:lvl w:ilvl="0" w:tentative="0">
      <w:start w:val="1"/>
      <w:numFmt w:val="decimal"/>
      <w:lvlText w:val="(%1)"/>
      <w:lvlJc w:val="left"/>
      <w:pPr>
        <w:ind w:left="1476" w:hanging="425"/>
      </w:pPr>
      <w:rPr>
        <w:rFonts w:hint="default" w:ascii="仿宋_GB2312" w:hAnsi="仿宋_GB2312" w:eastAsia="仿宋_GB2312" w:cs="仿宋_GB2312"/>
        <w:sz w:val="32"/>
        <w:szCs w:val="32"/>
      </w:rPr>
    </w:lvl>
  </w:abstractNum>
  <w:abstractNum w:abstractNumId="8">
    <w:nsid w:val="0B0BCC30"/>
    <w:multiLevelType w:val="singleLevel"/>
    <w:tmpl w:val="0B0BCC30"/>
    <w:lvl w:ilvl="0" w:tentative="0">
      <w:start w:val="1"/>
      <w:numFmt w:val="decimal"/>
      <w:suff w:val="nothing"/>
      <w:lvlText w:val="%1．"/>
      <w:lvlJc w:val="left"/>
      <w:pPr>
        <w:ind w:left="0" w:firstLine="400"/>
      </w:pPr>
      <w:rPr>
        <w:rFonts w:hint="default" w:ascii="仿宋_GB2312" w:hAnsi="仿宋_GB2312" w:eastAsia="仿宋_GB2312" w:cs="仿宋_GB2312"/>
        <w:sz w:val="32"/>
        <w:szCs w:val="32"/>
      </w:rPr>
    </w:lvl>
  </w:abstractNum>
  <w:abstractNum w:abstractNumId="9">
    <w:nsid w:val="12DB5D90"/>
    <w:multiLevelType w:val="singleLevel"/>
    <w:tmpl w:val="12DB5D90"/>
    <w:lvl w:ilvl="0" w:tentative="0">
      <w:start w:val="1"/>
      <w:numFmt w:val="decimal"/>
      <w:lvlText w:val="%1."/>
      <w:lvlJc w:val="left"/>
      <w:pPr>
        <w:ind w:left="1055" w:hanging="425"/>
      </w:pPr>
      <w:rPr>
        <w:rFonts w:hint="default" w:ascii="仿宋_GB2312" w:hAnsi="仿宋_GB2312" w:eastAsia="仿宋_GB2312" w:cs="仿宋_GB2312"/>
        <w:sz w:val="32"/>
        <w:szCs w:val="32"/>
      </w:rPr>
    </w:lvl>
  </w:abstractNum>
  <w:abstractNum w:abstractNumId="10">
    <w:nsid w:val="3564C61A"/>
    <w:multiLevelType w:val="singleLevel"/>
    <w:tmpl w:val="3564C61A"/>
    <w:lvl w:ilvl="0" w:tentative="0">
      <w:start w:val="1"/>
      <w:numFmt w:val="chineseCounting"/>
      <w:suff w:val="nothing"/>
      <w:lvlText w:val="%1、"/>
      <w:lvlJc w:val="left"/>
      <w:pPr>
        <w:ind w:left="210" w:firstLine="420"/>
      </w:pPr>
      <w:rPr>
        <w:rFonts w:hint="eastAsia" w:ascii="黑体" w:hAnsi="黑体" w:eastAsia="黑体" w:cs="黑体"/>
        <w:sz w:val="32"/>
        <w:szCs w:val="32"/>
      </w:rPr>
    </w:lvl>
  </w:abstractNum>
  <w:abstractNum w:abstractNumId="11">
    <w:nsid w:val="3DB869EE"/>
    <w:multiLevelType w:val="singleLevel"/>
    <w:tmpl w:val="3DB869EE"/>
    <w:lvl w:ilvl="0" w:tentative="0">
      <w:start w:val="1"/>
      <w:numFmt w:val="decimal"/>
      <w:suff w:val="nothing"/>
      <w:lvlText w:val="%1．"/>
      <w:lvlJc w:val="left"/>
      <w:pPr>
        <w:ind w:left="0" w:firstLine="400"/>
      </w:pPr>
      <w:rPr>
        <w:rFonts w:hint="default"/>
      </w:rPr>
    </w:lvl>
  </w:abstractNum>
  <w:abstractNum w:abstractNumId="12">
    <w:nsid w:val="41FE58F4"/>
    <w:multiLevelType w:val="singleLevel"/>
    <w:tmpl w:val="41FE58F4"/>
    <w:lvl w:ilvl="0" w:tentative="0">
      <w:start w:val="1"/>
      <w:numFmt w:val="decimal"/>
      <w:lvlText w:val="%1."/>
      <w:lvlJc w:val="left"/>
      <w:pPr>
        <w:ind w:left="1055" w:hanging="425"/>
      </w:pPr>
      <w:rPr>
        <w:rFonts w:hint="default" w:ascii="仿宋_GB2312" w:hAnsi="仿宋_GB2312" w:eastAsia="仿宋_GB2312" w:cs="仿宋_GB2312"/>
        <w:sz w:val="32"/>
        <w:szCs w:val="32"/>
      </w:rPr>
    </w:lvl>
  </w:abstractNum>
  <w:num w:numId="1">
    <w:abstractNumId w:val="10"/>
  </w:num>
  <w:num w:numId="2">
    <w:abstractNumId w:val="8"/>
  </w:num>
  <w:num w:numId="3">
    <w:abstractNumId w:val="1"/>
  </w:num>
  <w:num w:numId="4">
    <w:abstractNumId w:val="3"/>
  </w:num>
  <w:num w:numId="5">
    <w:abstractNumId w:val="2"/>
  </w:num>
  <w:num w:numId="6">
    <w:abstractNumId w:val="6"/>
  </w:num>
  <w:num w:numId="7">
    <w:abstractNumId w:val="11"/>
  </w:num>
  <w:num w:numId="8">
    <w:abstractNumId w:val="5"/>
  </w:num>
  <w:num w:numId="9">
    <w:abstractNumId w:val="12"/>
  </w:num>
  <w:num w:numId="10">
    <w:abstractNumId w:val="4"/>
  </w:num>
  <w:num w:numId="11">
    <w:abstractNumId w:val="7"/>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mNzRhMDEyNGJlNzM1MDdkYjM4YTMwNmRkMjI5MmMifQ=="/>
  </w:docVars>
  <w:rsids>
    <w:rsidRoot w:val="00000000"/>
    <w:rsid w:val="019978BC"/>
    <w:rsid w:val="04926F71"/>
    <w:rsid w:val="066A5D01"/>
    <w:rsid w:val="096E7EAD"/>
    <w:rsid w:val="0979769A"/>
    <w:rsid w:val="0D162709"/>
    <w:rsid w:val="0E1A0520"/>
    <w:rsid w:val="13250FB0"/>
    <w:rsid w:val="15C40BB9"/>
    <w:rsid w:val="171F4A71"/>
    <w:rsid w:val="17996052"/>
    <w:rsid w:val="1864257A"/>
    <w:rsid w:val="19743619"/>
    <w:rsid w:val="1A301F8A"/>
    <w:rsid w:val="1B6066D3"/>
    <w:rsid w:val="1D0927CD"/>
    <w:rsid w:val="1D0A0FEB"/>
    <w:rsid w:val="1D1A7E0F"/>
    <w:rsid w:val="1D34597E"/>
    <w:rsid w:val="1D4209B0"/>
    <w:rsid w:val="1D8C6208"/>
    <w:rsid w:val="1F705CA9"/>
    <w:rsid w:val="21441C36"/>
    <w:rsid w:val="236771E4"/>
    <w:rsid w:val="25F40203"/>
    <w:rsid w:val="2630659C"/>
    <w:rsid w:val="281726AF"/>
    <w:rsid w:val="28721BF6"/>
    <w:rsid w:val="29EE79BF"/>
    <w:rsid w:val="2D0A773C"/>
    <w:rsid w:val="2E9077CD"/>
    <w:rsid w:val="2FB05EA1"/>
    <w:rsid w:val="312B4CBC"/>
    <w:rsid w:val="34F80C80"/>
    <w:rsid w:val="36770D9A"/>
    <w:rsid w:val="3724456F"/>
    <w:rsid w:val="375A018E"/>
    <w:rsid w:val="37B207B5"/>
    <w:rsid w:val="3A287FFA"/>
    <w:rsid w:val="3A3150E5"/>
    <w:rsid w:val="3AD150C0"/>
    <w:rsid w:val="3BB66D7C"/>
    <w:rsid w:val="3BE058FC"/>
    <w:rsid w:val="3ECD33DA"/>
    <w:rsid w:val="40991FB8"/>
    <w:rsid w:val="428C42F8"/>
    <w:rsid w:val="43665029"/>
    <w:rsid w:val="447A7C06"/>
    <w:rsid w:val="45F57C73"/>
    <w:rsid w:val="45FE68A9"/>
    <w:rsid w:val="46535859"/>
    <w:rsid w:val="46742778"/>
    <w:rsid w:val="46BA18D3"/>
    <w:rsid w:val="46BF1C9A"/>
    <w:rsid w:val="48C77E38"/>
    <w:rsid w:val="4ABF6A7A"/>
    <w:rsid w:val="4B116984"/>
    <w:rsid w:val="4B3766F3"/>
    <w:rsid w:val="4CB8430F"/>
    <w:rsid w:val="4D373B71"/>
    <w:rsid w:val="4DD037F1"/>
    <w:rsid w:val="4EE17CDB"/>
    <w:rsid w:val="519D12B8"/>
    <w:rsid w:val="528A2602"/>
    <w:rsid w:val="52CD6803"/>
    <w:rsid w:val="558925D7"/>
    <w:rsid w:val="57700B76"/>
    <w:rsid w:val="577A33AF"/>
    <w:rsid w:val="597443B3"/>
    <w:rsid w:val="62050225"/>
    <w:rsid w:val="631657EC"/>
    <w:rsid w:val="64202DC6"/>
    <w:rsid w:val="656A0E6E"/>
    <w:rsid w:val="660D4E30"/>
    <w:rsid w:val="67717495"/>
    <w:rsid w:val="6826397D"/>
    <w:rsid w:val="6AE23394"/>
    <w:rsid w:val="6D7D7ACC"/>
    <w:rsid w:val="6ED626C7"/>
    <w:rsid w:val="6F1475C7"/>
    <w:rsid w:val="717C0C66"/>
    <w:rsid w:val="71EB2A4E"/>
    <w:rsid w:val="731A270F"/>
    <w:rsid w:val="743B56C9"/>
    <w:rsid w:val="74DC3A97"/>
    <w:rsid w:val="74E91DFF"/>
    <w:rsid w:val="762657D1"/>
    <w:rsid w:val="78F348EA"/>
    <w:rsid w:val="7B9D48A5"/>
    <w:rsid w:val="7C587624"/>
    <w:rsid w:val="7EFF7151"/>
    <w:rsid w:val="7F4E1508"/>
    <w:rsid w:val="7F686EE7"/>
    <w:rsid w:val="E6FB5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5">
    <w:name w:val="Body Text First Indent"/>
    <w:basedOn w:val="2"/>
    <w:autoRedefine/>
    <w:unhideWhenUsed/>
    <w:qFormat/>
    <w:uiPriority w:val="99"/>
    <w:pPr>
      <w:ind w:firstLine="420" w:firstLineChars="100"/>
    </w:pPr>
  </w:style>
  <w:style w:type="paragraph" w:customStyle="1" w:styleId="8">
    <w:name w:val="图"/>
    <w:basedOn w:val="1"/>
    <w:autoRedefine/>
    <w:qFormat/>
    <w:uiPriority w:val="0"/>
    <w:pPr>
      <w:keepNext/>
      <w:widowControl w:val="0"/>
      <w:adjustRightInd w:val="0"/>
      <w:spacing w:before="60" w:after="60" w:line="300" w:lineRule="auto"/>
      <w:jc w:val="center"/>
      <w:textAlignment w:val="center"/>
    </w:pPr>
    <w:rPr>
      <w:rFonts w:asciiTheme="minorHAnsi" w:hAnsiTheme="minorHAnsi" w:cstheme="minorBidi"/>
      <w:snapToGrid w:val="0"/>
      <w:spacing w:val="20"/>
      <w:szCs w:val="20"/>
    </w:rPr>
  </w:style>
  <w:style w:type="paragraph" w:customStyle="1" w:styleId="9">
    <w:name w:val="_Style 1"/>
    <w:basedOn w:val="1"/>
    <w:next w:val="1"/>
    <w:autoRedefine/>
    <w:unhideWhenUsed/>
    <w:qFormat/>
    <w:uiPriority w:val="99"/>
    <w:pPr>
      <w:ind w:firstLine="420" w:firstLineChars="200"/>
    </w:pPr>
    <w:rPr>
      <w:rFonts w:hint="eastAsia"/>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3774</Words>
  <Characters>3819</Characters>
  <Lines>0</Lines>
  <Paragraphs>0</Paragraphs>
  <TotalTime>3</TotalTime>
  <ScaleCrop>false</ScaleCrop>
  <LinksUpToDate>false</LinksUpToDate>
  <CharactersWithSpaces>3824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2024-05-21T10:13:00Z</dcterms:created>
  <dc:creator>admin</dc:creator>
  <cp:lastModifiedBy>微信用户</cp:lastModifiedBy>
  <cp:lastPrinted>2024-08-12T08:15:00Z</cp:lastPrinted>
  <dcterms:modified xsi:type="dcterms:W3CDTF">2024-08-27T08:24:23Z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5C3D294E172440E699C2717C41AD9D83_13</vt:lpwstr>
  </property>
</Properties>
</file>