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E8AEB">
      <w:pPr>
        <w:jc w:val="center"/>
        <w:rPr>
          <w:b/>
          <w:bCs/>
          <w:lang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采购文件</w:t>
      </w:r>
    </w:p>
    <w:p w14:paraId="6404A456">
      <w:pPr>
        <w:widowControl w:val="0"/>
        <w:spacing w:line="480" w:lineRule="auto"/>
        <w:ind w:firstLine="640" w:firstLineChars="200"/>
        <w:jc w:val="left"/>
        <w:outlineLvl w:val="0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项目名称：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2026年优质中小企业全面摸排及“四上”重点企业服务项目。</w:t>
      </w:r>
    </w:p>
    <w:p w14:paraId="5878CBDE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0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二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、预算金额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叁拾贰万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元整（¥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320000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元）</w:t>
      </w:r>
    </w:p>
    <w:p w14:paraId="3B77B8BA">
      <w:pPr>
        <w:widowControl w:val="0"/>
        <w:spacing w:line="480" w:lineRule="auto"/>
        <w:ind w:firstLine="640" w:firstLineChars="200"/>
        <w:jc w:val="left"/>
        <w:outlineLvl w:val="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三、定标规则：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综合评分法</w:t>
      </w:r>
    </w:p>
    <w:p w14:paraId="5A804434">
      <w:pPr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jc w:val="left"/>
        <w:textAlignment w:val="auto"/>
        <w:outlineLvl w:val="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四、项目背景：</w:t>
      </w:r>
    </w:p>
    <w:p w14:paraId="56ED26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为进一步夯实辖区经济发展基础，现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拟采购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2026年优质中小企业全面摸排及“四上”重点企业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服务，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通过全面摸排走访、经营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动态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监测、惠企政策辅导、达标入库推进、重点企业引进服务等全流程服务，助力辖区企业提质升级，为街道经济高质量发展提供坚实支撑。</w:t>
      </w:r>
    </w:p>
    <w:p w14:paraId="41A45A6D">
      <w:pPr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jc w:val="left"/>
        <w:textAlignment w:val="auto"/>
        <w:outlineLvl w:val="0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五、需求内容：</w:t>
      </w:r>
    </w:p>
    <w:p w14:paraId="3E9BFA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1.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优质中小企业培育服务。全面梳理辖区潜在达标企业底数，建立动态培育台账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，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逐户上门走访核实经营状况，精准掌握营收、税收、从业人员等关键数据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，开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展纳统政策解读、申报流程辅导，协助企业完善申报材料，跟踪推进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月度、年度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达标入库，确保应统尽统。</w:t>
      </w:r>
    </w:p>
    <w:p w14:paraId="217ADF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2.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迁入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企业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辅导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培育。主动对接、摸排梳理从其他地区外迁、落户西丽街道的企业，建立迁入企业信息库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，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上门走访对接企业落户需求，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宣讲产业扶持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政策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，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协助企业快速融入辖区发展体系，壮大辖区优质企业存量。</w:t>
      </w:r>
    </w:p>
    <w:p w14:paraId="7D3F4C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3.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新业态企业摸排监测。对辖区内新零售、直播电商、社区团购、在线外卖、平台化本地生活服务等新业态经营主体，以及传统餐饮、生活服务业中涉及新经营模式的部分，开展拉网式摸排。建立新业态企业信息库，动态监测经营状况、发展趋势与纳统潜力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，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补齐新业态经济统计短板。</w:t>
      </w:r>
    </w:p>
    <w:p w14:paraId="3C803247">
      <w:pPr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jc w:val="left"/>
        <w:textAlignment w:val="auto"/>
        <w:outlineLvl w:val="0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六、服务期限：</w:t>
      </w:r>
    </w:p>
    <w:p w14:paraId="10995A89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0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本项目合同服务期限为自合同签订之日起，至2027年2月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28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日。</w:t>
      </w:r>
    </w:p>
    <w:p w14:paraId="13CB29AB">
      <w:pPr>
        <w:pStyle w:val="3"/>
        <w:bidi w:val="0"/>
        <w:ind w:firstLine="640" w:firstLineChars="200"/>
        <w:jc w:val="left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七、支付方式：</w:t>
      </w:r>
    </w:p>
    <w:p w14:paraId="066E8530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0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自签订合同起，甲方收到乙方所开具的发票30个工作日内支付乙方首期款，首期款为60%的合同金额，中期款为30%的合同金额，剩余10%尾款于服务项目实施完毕并经甲方书面验收合格后，甲方在收到乙方开具的税务发票后30个工作日内向乙方支付剩余的尾款。若服务项目验收不合格，乙方应及时进行纠正，若乙方拒不改正或者在15日内仍无法改正的，甲方有权拒付相应款项。</w:t>
      </w:r>
    </w:p>
    <w:p w14:paraId="1E08A1E2">
      <w:pPr>
        <w:pStyle w:val="3"/>
        <w:bidi w:val="0"/>
        <w:ind w:firstLine="640" w:firstLineChars="200"/>
        <w:jc w:val="left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八、报价要求：</w:t>
      </w:r>
    </w:p>
    <w:p w14:paraId="29499E3A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0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报价形式：总价包干，应包括服务成本、法定税费和利润。由企业根据采购文件所提供的资料自行测算投标报价；一经中标，投标报价总价作为中标单位与采购单位签定的合同金额，合同期限内不做调整。</w:t>
      </w:r>
    </w:p>
    <w:p w14:paraId="37F72E1C">
      <w:pPr>
        <w:pStyle w:val="3"/>
        <w:bidi w:val="0"/>
        <w:ind w:firstLine="640" w:firstLineChars="200"/>
        <w:jc w:val="left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九、其他说明：</w:t>
      </w:r>
    </w:p>
    <w:p w14:paraId="51AFA2CB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0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1.供应商应严格按照采购文件及附件的格式要求编制《报名文件》（附件2）、《应答文件》（附件3）、《供应商基本情况表》（附件4），且每页均加盖供应商的公章，否则该页无效。</w:t>
      </w:r>
    </w:p>
    <w:p w14:paraId="15612D7C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0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2.《报名文件》、《供应商基本情况表》提交一份正本，不得密封。《应答文件》一正一副，封于同一密封袋（加盖供应商公章）一并提交；电子版以附件形式发送至邮箱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xljdcgxz@szns.gov.cn。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未在规定时间提交的、未密封的或未加盖公章的应答文件不予接受。</w:t>
      </w:r>
    </w:p>
    <w:p w14:paraId="767BAB41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0"/>
        <w:rPr>
          <w:rFonts w:hint="eastAsia" w:eastAsia="黑体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十</w:t>
      </w:r>
      <w:r>
        <w:rPr>
          <w:rFonts w:hint="eastAsia" w:ascii="黑体" w:hAnsi="黑体" w:eastAsia="黑体" w:cs="黑体"/>
          <w:sz w:val="32"/>
          <w:szCs w:val="32"/>
        </w:rPr>
        <w:t>、评审因素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tbl>
      <w:tblPr>
        <w:tblStyle w:val="10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1718"/>
        <w:gridCol w:w="818"/>
        <w:gridCol w:w="5042"/>
      </w:tblGrid>
      <w:tr w14:paraId="7E4A1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  <w:jc w:val="center"/>
        </w:trPr>
        <w:tc>
          <w:tcPr>
            <w:tcW w:w="552" w:type="pct"/>
            <w:noWrap w:val="0"/>
            <w:vAlign w:val="center"/>
          </w:tcPr>
          <w:p w14:paraId="6E79D34B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008" w:type="pct"/>
            <w:noWrap w:val="0"/>
            <w:vAlign w:val="center"/>
          </w:tcPr>
          <w:p w14:paraId="60F0DEBB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评分项</w:t>
            </w:r>
          </w:p>
        </w:tc>
        <w:tc>
          <w:tcPr>
            <w:tcW w:w="480" w:type="pct"/>
            <w:noWrap w:val="0"/>
            <w:vAlign w:val="center"/>
          </w:tcPr>
          <w:p w14:paraId="5B7373E8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分值</w:t>
            </w:r>
          </w:p>
        </w:tc>
        <w:tc>
          <w:tcPr>
            <w:tcW w:w="2958" w:type="pct"/>
            <w:noWrap w:val="0"/>
            <w:vAlign w:val="center"/>
          </w:tcPr>
          <w:p w14:paraId="0D2FD782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评分准则</w:t>
            </w:r>
          </w:p>
        </w:tc>
      </w:tr>
      <w:tr w14:paraId="153FB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552" w:type="pct"/>
            <w:noWrap w:val="0"/>
            <w:vAlign w:val="center"/>
          </w:tcPr>
          <w:p w14:paraId="0737959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718" w:type="dxa"/>
            <w:noWrap w:val="0"/>
            <w:vAlign w:val="center"/>
          </w:tcPr>
          <w:p w14:paraId="5B055953"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4"/>
                <w:szCs w:val="24"/>
              </w:rPr>
              <w:t>价格部分</w:t>
            </w:r>
          </w:p>
        </w:tc>
        <w:tc>
          <w:tcPr>
            <w:tcW w:w="818" w:type="dxa"/>
            <w:noWrap w:val="0"/>
            <w:vAlign w:val="center"/>
          </w:tcPr>
          <w:p w14:paraId="0512362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auto"/>
              <w:rPr>
                <w:rFonts w:hint="default" w:ascii="仿宋" w:hAnsi="仿宋" w:eastAsia="仿宋" w:cs="仿宋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5041" w:type="dxa"/>
            <w:noWrap w:val="0"/>
            <w:vAlign w:val="top"/>
          </w:tcPr>
          <w:p w14:paraId="14C1AEA2"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40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4"/>
                <w:szCs w:val="24"/>
              </w:rPr>
              <w:t>采用低价优先法计算，即满足文件要求且投标价格最低的投标报价为评标基准价，其价格分为满分。其他投标人的价格分统一按照下列公式计算：</w:t>
            </w:r>
          </w:p>
          <w:p w14:paraId="04EA6DAE"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40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4"/>
                <w:szCs w:val="24"/>
              </w:rPr>
              <w:t>投标报价得分=（评标基准价/投标报价）×20</w:t>
            </w:r>
          </w:p>
        </w:tc>
      </w:tr>
      <w:tr w14:paraId="39A82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552" w:type="pct"/>
            <w:noWrap w:val="0"/>
            <w:vAlign w:val="center"/>
          </w:tcPr>
          <w:p w14:paraId="4247502D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718" w:type="dxa"/>
            <w:noWrap w:val="0"/>
            <w:vAlign w:val="center"/>
          </w:tcPr>
          <w:p w14:paraId="5443B16D"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4"/>
                <w:szCs w:val="24"/>
              </w:rPr>
              <w:t>业绩经验</w:t>
            </w:r>
          </w:p>
        </w:tc>
        <w:tc>
          <w:tcPr>
            <w:tcW w:w="818" w:type="dxa"/>
            <w:noWrap w:val="0"/>
            <w:vAlign w:val="center"/>
          </w:tcPr>
          <w:p w14:paraId="7B7B248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auto"/>
              <w:rPr>
                <w:rFonts w:hint="default" w:ascii="仿宋" w:hAnsi="仿宋" w:eastAsia="仿宋" w:cs="仿宋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5041" w:type="dxa"/>
            <w:noWrap w:val="0"/>
            <w:vAlign w:val="center"/>
          </w:tcPr>
          <w:p w14:paraId="1443F06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自2023年1月1日至投标截止日，投标人承接过街道级（或以上）行政机关或事业单位委托开展的类似统计项目经验。每提供一份业绩，得4分，最高得12分。</w:t>
            </w:r>
          </w:p>
        </w:tc>
      </w:tr>
      <w:tr w14:paraId="3BA90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552" w:type="pct"/>
            <w:noWrap w:val="0"/>
            <w:vAlign w:val="center"/>
          </w:tcPr>
          <w:p w14:paraId="493A06F7">
            <w:pPr>
              <w:spacing w:line="360" w:lineRule="auto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1718" w:type="dxa"/>
            <w:noWrap w:val="0"/>
            <w:vAlign w:val="center"/>
          </w:tcPr>
          <w:p w14:paraId="56D98260"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4"/>
                <w:szCs w:val="24"/>
                <w:lang w:eastAsia="zh-CN"/>
              </w:rPr>
              <w:t>资质证明</w:t>
            </w:r>
          </w:p>
        </w:tc>
        <w:tc>
          <w:tcPr>
            <w:tcW w:w="818" w:type="dxa"/>
            <w:noWrap w:val="0"/>
            <w:vAlign w:val="center"/>
          </w:tcPr>
          <w:p w14:paraId="7722283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auto"/>
              <w:rPr>
                <w:rFonts w:hint="default" w:ascii="仿宋" w:hAnsi="仿宋" w:eastAsia="仿宋" w:cs="仿宋"/>
                <w:szCs w:val="21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5041" w:type="dxa"/>
            <w:noWrap w:val="0"/>
            <w:vAlign w:val="top"/>
          </w:tcPr>
          <w:p w14:paraId="7595444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1、投标人具备ISO三体系认证（质量管理体系、环境管理体系、职业健康安全管理体系），且认证范围涵盖统计调查、统计分析服务相关类别的，每提供一项有效认证证书得3分，本项最高得9分。证书不在有效期内的视为无效，不予计分。</w:t>
            </w:r>
          </w:p>
          <w:p w14:paraId="0BB50A2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2、投标人具备依托专业系统平台开展数据管控与项目管理能力，拥有信息数据保密管理平台、数据可视化管理系统任一功能平台的，每提供一项有效权属证明得2分，本项最高得4分。相关平台证明材料须真实有效，否则不予计分。</w:t>
            </w:r>
          </w:p>
          <w:p w14:paraId="769C0F4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3、投标人具备信息安全管理体系认证证书，且认证范围涵盖统计调查、统计分析服务相关业务类别，证书在有效期内的得2分。</w:t>
            </w:r>
          </w:p>
        </w:tc>
      </w:tr>
      <w:tr w14:paraId="27FE5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552" w:type="pct"/>
            <w:noWrap w:val="0"/>
            <w:vAlign w:val="center"/>
          </w:tcPr>
          <w:p w14:paraId="5F6E0BFF">
            <w:pPr>
              <w:spacing w:line="360" w:lineRule="auto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</w:p>
        </w:tc>
        <w:tc>
          <w:tcPr>
            <w:tcW w:w="1718" w:type="dxa"/>
            <w:noWrap w:val="0"/>
            <w:vAlign w:val="center"/>
          </w:tcPr>
          <w:p w14:paraId="6CCE96B5"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4"/>
                <w:szCs w:val="24"/>
              </w:rPr>
              <w:t>团队成员</w:t>
            </w:r>
          </w:p>
        </w:tc>
        <w:tc>
          <w:tcPr>
            <w:tcW w:w="818" w:type="dxa"/>
            <w:noWrap w:val="0"/>
            <w:vAlign w:val="center"/>
          </w:tcPr>
          <w:p w14:paraId="6C6354A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5041" w:type="dxa"/>
            <w:noWrap w:val="0"/>
            <w:vAlign w:val="top"/>
          </w:tcPr>
          <w:p w14:paraId="0C28D8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1、拟安排项目负责人情况（仅限1人），须为投标人自有员工（以社保为准），最高得分5分：</w:t>
            </w:r>
          </w:p>
          <w:p w14:paraId="4927C6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（1）具有本科或以上学历的得2分；</w:t>
            </w:r>
          </w:p>
          <w:p w14:paraId="574D4C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（2）具有中级或以上统计师或经济师职称证书的得3分。</w:t>
            </w:r>
          </w:p>
          <w:p w14:paraId="3330F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2、拟派项目团队成员需为投标人自有员工（以社保为准），否则本项不得分，最高得分8分，在此基础上：</w:t>
            </w:r>
          </w:p>
          <w:p w14:paraId="65167F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（1）拟派项目团队成员中：</w:t>
            </w:r>
          </w:p>
          <w:p w14:paraId="2A0A2C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①具有本科学历人员，每1人得1分；</w:t>
            </w:r>
          </w:p>
          <w:p w14:paraId="750253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②具有硕士研究生学历人员，每1人得2分。</w:t>
            </w:r>
          </w:p>
          <w:p w14:paraId="29ADA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本小项最高得4分。</w:t>
            </w:r>
          </w:p>
          <w:p w14:paraId="054E6A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（2）拟派项目团队成员中：</w:t>
            </w:r>
          </w:p>
          <w:p w14:paraId="1C9EF4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①具备统计或经济相关专业的中级（或以上）职称证书的，每1人得2分；</w:t>
            </w:r>
          </w:p>
          <w:p w14:paraId="748AA1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③具备统计或经济相关专业的初级职称证书的，每1人得1分；</w:t>
            </w:r>
          </w:p>
          <w:p w14:paraId="0FCD40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单个人员获得多个职称得不重复计算，本小项累计最高得4分。</w:t>
            </w:r>
          </w:p>
        </w:tc>
      </w:tr>
      <w:tr w14:paraId="6C8B1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7" w:hRule="atLeast"/>
          <w:jc w:val="center"/>
        </w:trPr>
        <w:tc>
          <w:tcPr>
            <w:tcW w:w="552" w:type="pct"/>
            <w:noWrap w:val="0"/>
            <w:vAlign w:val="center"/>
          </w:tcPr>
          <w:p w14:paraId="1E974429">
            <w:pPr>
              <w:spacing w:line="360" w:lineRule="auto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</w:p>
        </w:tc>
        <w:tc>
          <w:tcPr>
            <w:tcW w:w="1718" w:type="dxa"/>
            <w:noWrap w:val="0"/>
            <w:vAlign w:val="center"/>
          </w:tcPr>
          <w:p w14:paraId="63D23B45"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4"/>
                <w:szCs w:val="24"/>
                <w:lang w:eastAsia="zh-CN"/>
              </w:rPr>
              <w:t>项目方案</w:t>
            </w:r>
          </w:p>
        </w:tc>
        <w:tc>
          <w:tcPr>
            <w:tcW w:w="818" w:type="dxa"/>
            <w:noWrap w:val="0"/>
            <w:vAlign w:val="center"/>
          </w:tcPr>
          <w:p w14:paraId="2810A1B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5041" w:type="dxa"/>
            <w:noWrap w:val="0"/>
            <w:vAlign w:val="top"/>
          </w:tcPr>
          <w:p w14:paraId="4E664F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要求供应商能够充分理解项目背景、目标及重点难点，对需求提出具体的方案，综合评价供应商关于本项目实施方案的详细程度、可操作性、合理性、专业性情况，在0-40分区间评分，未提供方案的，得0分。</w:t>
            </w:r>
          </w:p>
        </w:tc>
      </w:tr>
    </w:tbl>
    <w:p w14:paraId="517D72D9">
      <w:pPr>
        <w:widowControl w:val="0"/>
        <w:spacing w:line="480" w:lineRule="auto"/>
        <w:jc w:val="both"/>
        <w:outlineLvl w:val="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AF1A336-230B-497D-A3E5-21CF2A7930C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2" w:fontKey="{66C4AADB-4BE6-41A9-8783-DBC8A1FC6EA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9382BC5A-2DC6-427D-A738-A42F10DB3325}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4" w:fontKey="{F498B8B6-3665-44F9-9F25-1D806F05F49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B8EF4E3A-AE65-4DD2-9E17-1AA32B86FE1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4CAAD5A1-8EA9-48C9-B4DC-AE4018BE63F7}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KSOF557087D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021C5"/>
    <w:rsid w:val="005714C6"/>
    <w:rsid w:val="01C46268"/>
    <w:rsid w:val="02D15600"/>
    <w:rsid w:val="031A5232"/>
    <w:rsid w:val="039225AD"/>
    <w:rsid w:val="05880C75"/>
    <w:rsid w:val="061F37F4"/>
    <w:rsid w:val="0748600C"/>
    <w:rsid w:val="08026C0F"/>
    <w:rsid w:val="085F2A25"/>
    <w:rsid w:val="08644341"/>
    <w:rsid w:val="0CD43EE7"/>
    <w:rsid w:val="0D0021C5"/>
    <w:rsid w:val="0DAF14CD"/>
    <w:rsid w:val="0E6C20CC"/>
    <w:rsid w:val="0EA63619"/>
    <w:rsid w:val="0EDB59B8"/>
    <w:rsid w:val="0F8B208C"/>
    <w:rsid w:val="10897646"/>
    <w:rsid w:val="13241FE2"/>
    <w:rsid w:val="143A6B55"/>
    <w:rsid w:val="14FE110A"/>
    <w:rsid w:val="155C0B62"/>
    <w:rsid w:val="16AC0C28"/>
    <w:rsid w:val="179F76DF"/>
    <w:rsid w:val="17ECDECA"/>
    <w:rsid w:val="18F1645C"/>
    <w:rsid w:val="190C4802"/>
    <w:rsid w:val="1A6B182D"/>
    <w:rsid w:val="1ADD03C2"/>
    <w:rsid w:val="1B4A1757"/>
    <w:rsid w:val="1BC6603C"/>
    <w:rsid w:val="1C704EDA"/>
    <w:rsid w:val="1E1E54FA"/>
    <w:rsid w:val="1F0E3293"/>
    <w:rsid w:val="20376567"/>
    <w:rsid w:val="221B22EA"/>
    <w:rsid w:val="23953F30"/>
    <w:rsid w:val="26FF663E"/>
    <w:rsid w:val="272E51FB"/>
    <w:rsid w:val="27392E24"/>
    <w:rsid w:val="27CE36BA"/>
    <w:rsid w:val="2C596D7B"/>
    <w:rsid w:val="2DAC21B5"/>
    <w:rsid w:val="2F8149B4"/>
    <w:rsid w:val="305E4590"/>
    <w:rsid w:val="318E3F4C"/>
    <w:rsid w:val="35AF2621"/>
    <w:rsid w:val="36F1BDB3"/>
    <w:rsid w:val="3A085004"/>
    <w:rsid w:val="3ACE387D"/>
    <w:rsid w:val="3B675D5A"/>
    <w:rsid w:val="3C543C84"/>
    <w:rsid w:val="3E517286"/>
    <w:rsid w:val="3F6E188B"/>
    <w:rsid w:val="3FBBAB42"/>
    <w:rsid w:val="3FCD5F69"/>
    <w:rsid w:val="472A0F19"/>
    <w:rsid w:val="47F5C2D3"/>
    <w:rsid w:val="480261E6"/>
    <w:rsid w:val="487815A6"/>
    <w:rsid w:val="4992661E"/>
    <w:rsid w:val="4A6016A9"/>
    <w:rsid w:val="4AFC13E2"/>
    <w:rsid w:val="4F22226C"/>
    <w:rsid w:val="4F2272E3"/>
    <w:rsid w:val="4FC178F4"/>
    <w:rsid w:val="51100A1F"/>
    <w:rsid w:val="51634C0A"/>
    <w:rsid w:val="52A122EE"/>
    <w:rsid w:val="54CC4E35"/>
    <w:rsid w:val="54CF3934"/>
    <w:rsid w:val="54EE0367"/>
    <w:rsid w:val="556F527F"/>
    <w:rsid w:val="59116EBF"/>
    <w:rsid w:val="5C3A697E"/>
    <w:rsid w:val="5DDAEA8F"/>
    <w:rsid w:val="5E7F51B0"/>
    <w:rsid w:val="5E9BD569"/>
    <w:rsid w:val="612260FC"/>
    <w:rsid w:val="61A05339"/>
    <w:rsid w:val="632B5740"/>
    <w:rsid w:val="64C67DDE"/>
    <w:rsid w:val="67FD51CC"/>
    <w:rsid w:val="68792AA5"/>
    <w:rsid w:val="6A7DBD39"/>
    <w:rsid w:val="6B086362"/>
    <w:rsid w:val="6BA27FCA"/>
    <w:rsid w:val="6BE75AAA"/>
    <w:rsid w:val="6DB9F968"/>
    <w:rsid w:val="6F2D0C3A"/>
    <w:rsid w:val="6F5173FE"/>
    <w:rsid w:val="73090EE2"/>
    <w:rsid w:val="744F6BF8"/>
    <w:rsid w:val="75F7D8E6"/>
    <w:rsid w:val="768129FA"/>
    <w:rsid w:val="77671095"/>
    <w:rsid w:val="77EF2EC8"/>
    <w:rsid w:val="77FB5B90"/>
    <w:rsid w:val="78102937"/>
    <w:rsid w:val="783A38D3"/>
    <w:rsid w:val="79167E9C"/>
    <w:rsid w:val="79BFDED1"/>
    <w:rsid w:val="7ACB6801"/>
    <w:rsid w:val="7B9559F0"/>
    <w:rsid w:val="7C0C6C04"/>
    <w:rsid w:val="7EFD0F55"/>
    <w:rsid w:val="7F3E4ABB"/>
    <w:rsid w:val="7F9B7910"/>
    <w:rsid w:val="7FFCE906"/>
    <w:rsid w:val="9FF77CE8"/>
    <w:rsid w:val="ADDDF24D"/>
    <w:rsid w:val="AE7FAA88"/>
    <w:rsid w:val="BBBA4A53"/>
    <w:rsid w:val="BCBFECD3"/>
    <w:rsid w:val="BD9E5232"/>
    <w:rsid w:val="CD67C6B1"/>
    <w:rsid w:val="CDF7CB38"/>
    <w:rsid w:val="CEFFA0EF"/>
    <w:rsid w:val="DE335ED0"/>
    <w:rsid w:val="EF2E69C4"/>
    <w:rsid w:val="F32C150C"/>
    <w:rsid w:val="F747026A"/>
    <w:rsid w:val="F85F0575"/>
    <w:rsid w:val="FDDFA670"/>
    <w:rsid w:val="FF7F5AE4"/>
    <w:rsid w:val="FFCB03DE"/>
    <w:rsid w:val="FFF7F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700" w:lineRule="exact"/>
      <w:ind w:firstLine="0" w:firstLineChars="0"/>
      <w:jc w:val="center"/>
      <w:outlineLvl w:val="0"/>
    </w:pPr>
    <w:rPr>
      <w:rFonts w:eastAsia="方正小标宋简体" w:asciiTheme="minorAscii" w:hAnsiTheme="minorAscii"/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outlineLvl w:val="1"/>
    </w:pPr>
    <w:rPr>
      <w:rFonts w:ascii="黑体" w:hAnsi="黑体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outlineLvl w:val="2"/>
    </w:pPr>
    <w:rPr>
      <w:rFonts w:eastAsia="楷体"/>
      <w:b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</w:style>
  <w:style w:type="paragraph" w:styleId="6">
    <w:name w:val="Body Text"/>
    <w:basedOn w:val="1"/>
    <w:next w:val="7"/>
    <w:qFormat/>
    <w:uiPriority w:val="0"/>
    <w:pPr>
      <w:spacing w:line="320" w:lineRule="exact"/>
      <w:jc w:val="center"/>
    </w:pPr>
    <w:rPr>
      <w:rFonts w:hint="eastAsia" w:eastAsia="Times New Roman"/>
      <w:sz w:val="32"/>
    </w:rPr>
  </w:style>
  <w:style w:type="paragraph" w:styleId="7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paragraph" w:styleId="8">
    <w:name w:val="Body Text 2"/>
    <w:basedOn w:val="1"/>
    <w:qFormat/>
    <w:uiPriority w:val="0"/>
    <w:pPr>
      <w:spacing w:line="360" w:lineRule="auto"/>
    </w:pPr>
    <w:rPr>
      <w:sz w:val="24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Emphasis"/>
    <w:basedOn w:val="12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1888</Words>
  <Characters>1952</Characters>
  <Lines>0</Lines>
  <Paragraphs>0</Paragraphs>
  <TotalTime>117</TotalTime>
  <ScaleCrop>false</ScaleCrop>
  <LinksUpToDate>false</LinksUpToDate>
  <CharactersWithSpaces>1952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2024-09-24T00:05:00Z</dcterms:created>
  <dc:creator>Administrator</dc:creator>
  <cp:lastModifiedBy>余宏毅</cp:lastModifiedBy>
  <cp:lastPrinted>2026-05-21T22:53:00Z</cp:lastPrinted>
  <dcterms:modified xsi:type="dcterms:W3CDTF">2026-05-21T09:24:01Z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D1B2D50B3F47445D93E16C9B264175B0_13</vt:lpwstr>
  </property>
  <property fmtid="{D5CDD505-2E9C-101B-9397-08002B2CF9AE}" pid="4" name="KSOTemplateDocerSaveRecord">
    <vt:lpwstr>eyJoZGlkIjoiOTVhMTFkOTY2OGMxZmUyMTM1YjU4NjQxY2QwZGM4ODQiLCJ1c2VySWQiOiI4OTE1ODk3NDAifQ==</vt:lpwstr>
  </property>
</Properties>
</file>