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F0836">
      <w:pPr>
        <w:spacing w:line="480" w:lineRule="auto"/>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采购文件</w:t>
      </w:r>
    </w:p>
    <w:p w14:paraId="2A51420A">
      <w:pPr>
        <w:spacing w:line="480" w:lineRule="auto"/>
        <w:jc w:val="center"/>
        <w:rPr>
          <w:rFonts w:ascii="宋体" w:hAnsi="宋体" w:cs="宋体"/>
          <w:sz w:val="44"/>
          <w:szCs w:val="44"/>
        </w:rPr>
      </w:pPr>
    </w:p>
    <w:p w14:paraId="5860F88E">
      <w:pPr>
        <w:numPr>
          <w:ilvl w:val="0"/>
          <w:numId w:val="1"/>
        </w:numPr>
        <w:spacing w:line="480" w:lineRule="auto"/>
        <w:ind w:left="2878" w:leftChars="304" w:hanging="2240" w:hangingChars="700"/>
        <w:outlineLvl w:val="0"/>
        <w:rPr>
          <w:rFonts w:ascii="仿宋_GB2312" w:hAnsi="仿宋_GB2312" w:eastAsia="仿宋_GB2312" w:cs="仿宋_GB2312"/>
          <w:sz w:val="32"/>
          <w:szCs w:val="32"/>
        </w:rPr>
      </w:pPr>
      <w:r>
        <w:rPr>
          <w:rFonts w:hint="eastAsia" w:ascii="黑体" w:hAnsi="黑体" w:eastAsia="黑体" w:cs="黑体"/>
          <w:sz w:val="32"/>
          <w:szCs w:val="32"/>
        </w:rPr>
        <w:t>项目名称：</w:t>
      </w:r>
      <w:r>
        <w:rPr>
          <w:rFonts w:hint="eastAsia" w:ascii="仿宋_GB2312" w:hAnsi="仿宋_GB2312" w:eastAsia="仿宋_GB2312" w:cs="仿宋_GB2312"/>
          <w:sz w:val="32"/>
          <w:szCs w:val="32"/>
        </w:rPr>
        <w:t>西丽街道2025年房屋安全技术服务项目</w:t>
      </w:r>
      <w:bookmarkStart w:id="1" w:name="_GoBack"/>
      <w:bookmarkEnd w:id="1"/>
    </w:p>
    <w:p w14:paraId="1C5F2175">
      <w:pPr>
        <w:spacing w:line="480" w:lineRule="auto"/>
        <w:ind w:left="3198" w:leftChars="304" w:hanging="2560" w:hangingChars="800"/>
        <w:jc w:val="left"/>
        <w:outlineLvl w:val="0"/>
        <w:rPr>
          <w:rFonts w:ascii="仿宋_GB2312" w:hAnsi="仿宋_GB2312" w:eastAsia="仿宋_GB2312" w:cs="仿宋_GB2312"/>
          <w:sz w:val="32"/>
          <w:szCs w:val="32"/>
        </w:rPr>
      </w:pPr>
      <w:r>
        <w:rPr>
          <w:rFonts w:hint="eastAsia" w:ascii="黑体" w:hAnsi="黑体" w:eastAsia="黑体" w:cs="黑体"/>
          <w:sz w:val="32"/>
          <w:szCs w:val="32"/>
        </w:rPr>
        <w:t>二、预算金额：</w:t>
      </w:r>
      <w:r>
        <w:rPr>
          <w:rFonts w:hint="eastAsia" w:ascii="仿宋_GB2312" w:hAnsi="仿宋_GB2312" w:eastAsia="仿宋_GB2312" w:cs="仿宋_GB2312"/>
          <w:sz w:val="32"/>
          <w:szCs w:val="32"/>
        </w:rPr>
        <w:t>人民币肆拾捌万</w:t>
      </w:r>
      <w:r>
        <w:rPr>
          <w:rFonts w:hint="eastAsia" w:ascii="仿宋_GB2312" w:hAnsi="仿宋_GB2312" w:eastAsia="仿宋_GB2312" w:cs="仿宋_GB2312"/>
          <w:sz w:val="32"/>
          <w:szCs w:val="32"/>
          <w:lang w:val="en-US" w:eastAsia="zh-CN"/>
        </w:rPr>
        <w:t>玖</w:t>
      </w:r>
      <w:r>
        <w:rPr>
          <w:rFonts w:hint="eastAsia" w:ascii="仿宋_GB2312" w:hAnsi="仿宋_GB2312" w:eastAsia="仿宋_GB2312" w:cs="仿宋_GB2312"/>
          <w:sz w:val="32"/>
          <w:szCs w:val="32"/>
        </w:rPr>
        <w:t>仟</w:t>
      </w:r>
      <w:r>
        <w:rPr>
          <w:rFonts w:hint="eastAsia" w:ascii="仿宋_GB2312" w:hAnsi="仿宋_GB2312" w:eastAsia="仿宋_GB2312" w:cs="仿宋_GB2312"/>
          <w:sz w:val="32"/>
          <w:szCs w:val="32"/>
          <w:lang w:val="en-US" w:eastAsia="zh-CN"/>
        </w:rPr>
        <w:t>玖佰</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整</w:t>
      </w:r>
      <w:r>
        <w:rPr>
          <w:rFonts w:hint="eastAsia" w:ascii="仿宋_GB2312" w:hAnsi="仿宋_GB2312" w:eastAsia="仿宋_GB2312" w:cs="仿宋_GB2312"/>
          <w:sz w:val="32"/>
          <w:szCs w:val="32"/>
        </w:rPr>
        <w:t>（</w:t>
      </w:r>
      <w:r>
        <w:rPr>
          <w:rFonts w:hint="eastAsia" w:eastAsia="仿宋_GB2312" w:cs="Calibri"/>
          <w:sz w:val="32"/>
          <w:szCs w:val="32"/>
        </w:rPr>
        <w:t>¥</w:t>
      </w:r>
      <w:r>
        <w:rPr>
          <w:rFonts w:hint="eastAsia" w:ascii="仿宋_GB2312" w:hAnsi="仿宋_GB2312" w:eastAsia="仿宋_GB2312" w:cs="仿宋_GB2312"/>
          <w:sz w:val="32"/>
          <w:szCs w:val="32"/>
          <w:u w:val="single"/>
        </w:rPr>
        <w:t>48</w:t>
      </w:r>
      <w:r>
        <w:rPr>
          <w:rFonts w:hint="eastAsia" w:ascii="仿宋_GB2312" w:hAnsi="仿宋_GB2312" w:eastAsia="仿宋_GB2312" w:cs="仿宋_GB2312"/>
          <w:sz w:val="32"/>
          <w:szCs w:val="32"/>
          <w:u w:val="single"/>
          <w:lang w:val="en-US" w:eastAsia="zh-CN"/>
        </w:rPr>
        <w:t>99</w:t>
      </w:r>
      <w:r>
        <w:rPr>
          <w:rFonts w:hint="eastAsia" w:ascii="仿宋_GB2312" w:hAnsi="仿宋_GB2312" w:eastAsia="仿宋_GB2312"/>
          <w:sz w:val="32"/>
          <w:szCs w:val="32"/>
          <w:u w:val="single"/>
        </w:rPr>
        <w:t>00</w:t>
      </w:r>
      <w:r>
        <w:rPr>
          <w:rFonts w:ascii="仿宋_GB2312" w:hAnsi="仿宋_GB2312" w:eastAsia="仿宋_GB2312"/>
          <w:sz w:val="32"/>
          <w:szCs w:val="32"/>
          <w:u w:val="single"/>
        </w:rPr>
        <w:t>.00</w:t>
      </w:r>
      <w:r>
        <w:rPr>
          <w:rFonts w:ascii="仿宋_GB2312" w:hAnsi="仿宋_GB2312" w:eastAsia="仿宋_GB2312" w:cs="仿宋_GB2312"/>
          <w:sz w:val="32"/>
          <w:szCs w:val="32"/>
        </w:rPr>
        <w:t>）</w:t>
      </w:r>
    </w:p>
    <w:p w14:paraId="7DEE2AC8">
      <w:pPr>
        <w:spacing w:line="480" w:lineRule="auto"/>
        <w:ind w:firstLine="640" w:firstLineChars="200"/>
        <w:outlineLvl w:val="0"/>
        <w:rPr>
          <w:rFonts w:ascii="黑体" w:hAnsi="黑体" w:eastAsia="黑体" w:cs="黑体"/>
          <w:sz w:val="32"/>
          <w:szCs w:val="32"/>
        </w:rPr>
      </w:pPr>
      <w:r>
        <w:rPr>
          <w:rFonts w:hint="eastAsia" w:ascii="黑体" w:hAnsi="黑体" w:eastAsia="黑体" w:cs="黑体"/>
          <w:sz w:val="32"/>
          <w:szCs w:val="32"/>
        </w:rPr>
        <w:t>三、评审办法：</w:t>
      </w:r>
      <w:r>
        <w:rPr>
          <w:rFonts w:hint="eastAsia" w:ascii="仿宋_GB2312" w:hAnsi="仿宋_GB2312" w:eastAsia="仿宋_GB2312" w:cs="仿宋_GB2312"/>
          <w:sz w:val="32"/>
          <w:szCs w:val="32"/>
        </w:rPr>
        <w:t>综合评分法</w:t>
      </w:r>
    </w:p>
    <w:p w14:paraId="2F0800EC">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四、需求内容：</w:t>
      </w:r>
    </w:p>
    <w:p w14:paraId="3944025C">
      <w:pPr>
        <w:spacing w:line="560" w:lineRule="exact"/>
        <w:ind w:firstLine="640" w:firstLineChars="200"/>
        <w:rPr>
          <w:rFonts w:hint="eastAsia" w:ascii="仿宋" w:hAnsi="仿宋" w:eastAsia="仿宋"/>
          <w:sz w:val="32"/>
          <w:lang w:eastAsia="zh-CN"/>
        </w:rPr>
      </w:pPr>
      <w:r>
        <w:rPr>
          <w:rFonts w:hint="eastAsia" w:ascii="仿宋" w:hAnsi="仿宋" w:eastAsia="仿宋"/>
          <w:sz w:val="32"/>
          <w:lang w:val="en-US" w:eastAsia="zh-CN"/>
        </w:rPr>
        <w:t>1</w:t>
      </w:r>
      <w:r>
        <w:rPr>
          <w:rFonts w:hint="eastAsia" w:ascii="仿宋" w:hAnsi="仿宋" w:eastAsia="仿宋"/>
          <w:sz w:val="32"/>
          <w:lang w:eastAsia="zh-CN"/>
        </w:rPr>
        <w:t>.日常巡查: 对辖区内全部C</w:t>
      </w:r>
      <w:r>
        <w:rPr>
          <w:rFonts w:hint="eastAsia" w:ascii="仿宋" w:hAnsi="仿宋" w:eastAsia="仿宋"/>
          <w:sz w:val="32"/>
          <w:lang w:val="en-US" w:eastAsia="zh-CN"/>
        </w:rPr>
        <w:t>3</w:t>
      </w:r>
      <w:r>
        <w:rPr>
          <w:rFonts w:hint="eastAsia" w:ascii="仿宋" w:hAnsi="仿宋" w:eastAsia="仿宋"/>
          <w:sz w:val="32"/>
          <w:lang w:eastAsia="zh-CN"/>
        </w:rPr>
        <w:t>类</w:t>
      </w:r>
      <w:r>
        <w:rPr>
          <w:rFonts w:hint="eastAsia" w:ascii="仿宋" w:hAnsi="仿宋" w:eastAsia="仿宋"/>
          <w:sz w:val="32"/>
          <w:lang w:val="en-US" w:eastAsia="zh-CN"/>
        </w:rPr>
        <w:t>及C、D级房屋</w:t>
      </w:r>
      <w:r>
        <w:rPr>
          <w:rFonts w:hint="eastAsia" w:ascii="仿宋" w:hAnsi="仿宋" w:eastAsia="仿宋"/>
          <w:sz w:val="32"/>
          <w:lang w:eastAsia="zh-CN"/>
        </w:rPr>
        <w:t>开展</w:t>
      </w:r>
      <w:r>
        <w:rPr>
          <w:rFonts w:hint="eastAsia" w:ascii="仿宋" w:hAnsi="仿宋" w:eastAsia="仿宋"/>
          <w:sz w:val="32"/>
          <w:lang w:val="en-US" w:eastAsia="zh-CN"/>
        </w:rPr>
        <w:t>日常</w:t>
      </w:r>
      <w:r>
        <w:rPr>
          <w:rFonts w:hint="eastAsia" w:ascii="仿宋" w:hAnsi="仿宋" w:eastAsia="仿宋"/>
          <w:sz w:val="32"/>
          <w:lang w:eastAsia="zh-CN"/>
        </w:rPr>
        <w:t>巡查工作；</w:t>
      </w:r>
    </w:p>
    <w:p w14:paraId="29D123FE">
      <w:pPr>
        <w:spacing w:line="560" w:lineRule="exact"/>
        <w:ind w:firstLine="640" w:firstLineChars="200"/>
        <w:rPr>
          <w:rFonts w:hint="eastAsia" w:ascii="仿宋" w:hAnsi="仿宋" w:eastAsia="仿宋"/>
          <w:sz w:val="32"/>
          <w:lang w:eastAsia="zh-CN"/>
        </w:rPr>
      </w:pPr>
      <w:r>
        <w:rPr>
          <w:rFonts w:hint="eastAsia" w:ascii="仿宋" w:hAnsi="仿宋" w:eastAsia="仿宋"/>
          <w:sz w:val="32"/>
          <w:lang w:val="en-US" w:eastAsia="zh-CN"/>
        </w:rPr>
        <w:t>2</w:t>
      </w:r>
      <w:r>
        <w:rPr>
          <w:rFonts w:hint="eastAsia" w:ascii="仿宋" w:hAnsi="仿宋" w:eastAsia="仿宋"/>
          <w:sz w:val="32"/>
          <w:lang w:eastAsia="zh-CN"/>
        </w:rPr>
        <w:t>.房屋安全投诉处理: 针对辖区内涉及到房屋安全投诉的处理件，派专业工程师现场查勘，并出具查勘意见；</w:t>
      </w:r>
    </w:p>
    <w:p w14:paraId="371B1194">
      <w:pPr>
        <w:spacing w:line="560" w:lineRule="exact"/>
        <w:ind w:firstLine="640" w:firstLineChars="200"/>
        <w:rPr>
          <w:rFonts w:hint="eastAsia" w:ascii="仿宋" w:hAnsi="仿宋" w:eastAsia="仿宋"/>
          <w:sz w:val="32"/>
          <w:lang w:eastAsia="zh-CN"/>
        </w:rPr>
      </w:pPr>
      <w:r>
        <w:rPr>
          <w:rFonts w:hint="eastAsia" w:ascii="仿宋" w:hAnsi="仿宋" w:eastAsia="仿宋"/>
          <w:sz w:val="32"/>
          <w:lang w:val="en-US" w:eastAsia="zh-CN"/>
        </w:rPr>
        <w:t>3</w:t>
      </w:r>
      <w:r>
        <w:rPr>
          <w:rFonts w:hint="eastAsia" w:ascii="仿宋" w:hAnsi="仿宋" w:eastAsia="仿宋"/>
          <w:sz w:val="32"/>
          <w:lang w:eastAsia="zh-CN"/>
        </w:rPr>
        <w:t>.应急</w:t>
      </w:r>
      <w:r>
        <w:rPr>
          <w:rFonts w:hint="eastAsia" w:ascii="仿宋" w:hAnsi="仿宋" w:eastAsia="仿宋"/>
          <w:sz w:val="32"/>
          <w:lang w:val="en-US" w:eastAsia="zh-CN"/>
        </w:rPr>
        <w:t>响应</w:t>
      </w:r>
      <w:r>
        <w:rPr>
          <w:rFonts w:hint="eastAsia" w:ascii="仿宋" w:hAnsi="仿宋" w:eastAsia="仿宋"/>
          <w:sz w:val="32"/>
          <w:lang w:eastAsia="zh-CN"/>
        </w:rPr>
        <w:t>:台风、暴雨等自然灾害天气发布或突发事件发生后的应急技术服务；</w:t>
      </w:r>
    </w:p>
    <w:p w14:paraId="2A365FA8">
      <w:pPr>
        <w:spacing w:line="560" w:lineRule="exact"/>
        <w:ind w:firstLine="640" w:firstLineChars="200"/>
        <w:rPr>
          <w:rFonts w:hint="eastAsia" w:ascii="仿宋" w:hAnsi="仿宋" w:eastAsia="仿宋"/>
          <w:sz w:val="32"/>
          <w:lang w:val="en-US" w:eastAsia="zh-CN"/>
        </w:rPr>
      </w:pPr>
      <w:r>
        <w:rPr>
          <w:rFonts w:hint="eastAsia" w:ascii="仿宋" w:hAnsi="仿宋" w:eastAsia="仿宋"/>
          <w:sz w:val="32"/>
          <w:lang w:val="en-US" w:eastAsia="zh-CN"/>
        </w:rPr>
        <w:t>4</w:t>
      </w:r>
      <w:r>
        <w:rPr>
          <w:rFonts w:hint="eastAsia" w:ascii="仿宋" w:hAnsi="仿宋" w:eastAsia="仿宋"/>
          <w:sz w:val="32"/>
          <w:lang w:eastAsia="zh-CN"/>
        </w:rPr>
        <w:t>.协助街道完成上级部门现场检查及考核相关资料。</w:t>
      </w:r>
    </w:p>
    <w:p w14:paraId="7FFA8E36">
      <w:pPr>
        <w:numPr>
          <w:ilvl w:val="0"/>
          <w:numId w:val="2"/>
        </w:numPr>
        <w:spacing w:line="480" w:lineRule="auto"/>
        <w:ind w:firstLine="640" w:firstLineChars="200"/>
        <w:rPr>
          <w:rFonts w:ascii="黑体" w:hAnsi="黑体" w:eastAsia="黑体" w:cs="黑体"/>
          <w:sz w:val="32"/>
          <w:szCs w:val="32"/>
        </w:rPr>
      </w:pPr>
      <w:r>
        <w:rPr>
          <w:rFonts w:hint="eastAsia" w:ascii="黑体" w:hAnsi="黑体" w:eastAsia="黑体" w:cs="黑体"/>
          <w:sz w:val="32"/>
          <w:szCs w:val="32"/>
        </w:rPr>
        <w:t>支付方式：</w:t>
      </w:r>
    </w:p>
    <w:p w14:paraId="5DE8CA7B">
      <w:pPr>
        <w:spacing w:line="480" w:lineRule="auto"/>
        <w:ind w:firstLine="640" w:firstLineChars="200"/>
        <w:rPr>
          <w:rFonts w:ascii="仿宋_GB2312" w:hAnsi="仿宋_GB2312" w:eastAsia="仿宋_GB2312"/>
          <w:color w:val="000000"/>
          <w:sz w:val="32"/>
          <w:szCs w:val="32"/>
        </w:rPr>
      </w:pPr>
      <w:r>
        <w:rPr>
          <w:rFonts w:hint="eastAsia" w:ascii="仿宋_GB2312" w:hAnsi="仿宋_GB2312" w:eastAsia="仿宋_GB2312"/>
          <w:color w:val="000000"/>
          <w:sz w:val="32"/>
          <w:szCs w:val="32"/>
        </w:rPr>
        <w:t>（1）双方签订合同后15个工作日内，甲方支付乙方合同价</w:t>
      </w:r>
      <w:r>
        <w:rPr>
          <w:rFonts w:hint="eastAsia" w:ascii="仿宋_GB2312" w:hAnsi="仿宋_GB2312" w:eastAsia="仿宋_GB2312"/>
          <w:color w:val="000000"/>
          <w:sz w:val="32"/>
          <w:szCs w:val="32"/>
          <w:lang w:val="en-US" w:eastAsia="zh-CN"/>
        </w:rPr>
        <w:t>7</w:t>
      </w:r>
      <w:r>
        <w:rPr>
          <w:rFonts w:hint="eastAsia" w:ascii="仿宋_GB2312" w:hAnsi="仿宋_GB2312" w:eastAsia="仿宋_GB2312"/>
          <w:color w:val="000000"/>
          <w:sz w:val="32"/>
          <w:szCs w:val="32"/>
        </w:rPr>
        <w:t>0%作为预付款；</w:t>
      </w:r>
    </w:p>
    <w:p w14:paraId="243DF0D3">
      <w:pPr>
        <w:spacing w:line="480" w:lineRule="auto"/>
        <w:ind w:firstLine="640" w:firstLineChars="200"/>
        <w:rPr>
          <w:rFonts w:hint="eastAsia" w:ascii="仿宋_GB2312" w:hAnsi="仿宋_GB2312" w:eastAsia="仿宋_GB2312"/>
          <w:color w:val="000000"/>
          <w:sz w:val="32"/>
          <w:szCs w:val="32"/>
          <w:lang w:eastAsia="zh-CN"/>
        </w:rPr>
      </w:pPr>
      <w:r>
        <w:rPr>
          <w:rFonts w:hint="eastAsia" w:ascii="仿宋_GB2312" w:hAnsi="仿宋_GB2312" w:eastAsia="仿宋_GB2312"/>
          <w:color w:val="000000"/>
          <w:sz w:val="32"/>
          <w:szCs w:val="32"/>
        </w:rPr>
        <w:t>（2）</w:t>
      </w:r>
      <w:r>
        <w:rPr>
          <w:rFonts w:hint="eastAsia" w:ascii="仿宋_GB2312" w:hAnsi="仿宋_GB2312" w:eastAsia="仿宋_GB2312"/>
          <w:color w:val="000000"/>
          <w:sz w:val="32"/>
          <w:szCs w:val="32"/>
          <w:lang w:val="en-US" w:eastAsia="zh-CN"/>
        </w:rPr>
        <w:t>2025年6月1日</w:t>
      </w:r>
      <w:r>
        <w:rPr>
          <w:rFonts w:hint="eastAsia" w:ascii="仿宋_GB2312" w:hAnsi="仿宋_GB2312" w:eastAsia="仿宋_GB2312"/>
          <w:color w:val="000000"/>
          <w:sz w:val="32"/>
          <w:szCs w:val="32"/>
        </w:rPr>
        <w:t>，甲方支付乙方合同价</w:t>
      </w:r>
      <w:r>
        <w:rPr>
          <w:rFonts w:hint="eastAsia" w:ascii="仿宋_GB2312" w:hAnsi="仿宋_GB2312" w:eastAsia="仿宋_GB2312"/>
          <w:color w:val="000000"/>
          <w:sz w:val="32"/>
          <w:szCs w:val="32"/>
          <w:lang w:val="en-US" w:eastAsia="zh-CN"/>
        </w:rPr>
        <w:t>20</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lang w:eastAsia="zh-CN"/>
        </w:rPr>
        <w:t>；</w:t>
      </w:r>
    </w:p>
    <w:p w14:paraId="00A65924">
      <w:pPr>
        <w:spacing w:line="480" w:lineRule="auto"/>
        <w:ind w:firstLine="640" w:firstLineChars="200"/>
        <w:rPr>
          <w:rFonts w:ascii="黑体" w:hAnsi="黑体" w:eastAsia="黑体" w:cs="黑体"/>
          <w:sz w:val="32"/>
          <w:szCs w:val="32"/>
        </w:rPr>
      </w:pPr>
      <w:r>
        <w:rPr>
          <w:rFonts w:hint="eastAsia" w:ascii="仿宋_GB2312" w:hAnsi="仿宋_GB2312" w:eastAsia="仿宋_GB2312"/>
          <w:color w:val="000000"/>
          <w:sz w:val="32"/>
          <w:szCs w:val="32"/>
          <w:lang w:eastAsia="zh-CN"/>
        </w:rPr>
        <w:t>（</w:t>
      </w:r>
      <w:r>
        <w:rPr>
          <w:rFonts w:hint="eastAsia" w:ascii="仿宋_GB2312" w:hAnsi="仿宋_GB2312" w:eastAsia="仿宋_GB2312"/>
          <w:color w:val="000000"/>
          <w:sz w:val="32"/>
          <w:szCs w:val="32"/>
          <w:lang w:val="en-US" w:eastAsia="zh-CN"/>
        </w:rPr>
        <w:t>3）2025年12月20日</w:t>
      </w:r>
      <w:r>
        <w:rPr>
          <w:rFonts w:hint="eastAsia" w:ascii="仿宋_GB2312" w:hAnsi="仿宋_GB2312" w:eastAsia="仿宋_GB2312"/>
          <w:color w:val="000000"/>
          <w:sz w:val="32"/>
          <w:szCs w:val="32"/>
        </w:rPr>
        <w:t>，乙方向甲方提供盖章版报告（纸质版+电子版），经甲方确认无误后支付乙方合同价</w:t>
      </w:r>
      <w:r>
        <w:rPr>
          <w:rFonts w:hint="eastAsia" w:ascii="仿宋_GB2312" w:hAnsi="仿宋_GB2312" w:eastAsia="仿宋_GB2312"/>
          <w:color w:val="000000"/>
          <w:sz w:val="32"/>
          <w:szCs w:val="32"/>
          <w:lang w:val="en-US" w:eastAsia="zh-CN"/>
        </w:rPr>
        <w:t>10</w:t>
      </w:r>
      <w:r>
        <w:rPr>
          <w:rFonts w:hint="eastAsia" w:ascii="仿宋_GB2312" w:hAnsi="仿宋_GB2312" w:eastAsia="仿宋_GB2312"/>
          <w:color w:val="000000"/>
          <w:sz w:val="32"/>
          <w:szCs w:val="32"/>
        </w:rPr>
        <w:t>%。</w:t>
      </w:r>
    </w:p>
    <w:p w14:paraId="7B3E4CC0">
      <w:pPr>
        <w:spacing w:line="480" w:lineRule="auto"/>
        <w:ind w:firstLine="640" w:firstLineChars="200"/>
        <w:outlineLvl w:val="0"/>
        <w:rPr>
          <w:rFonts w:hint="eastAsia" w:ascii="黑体" w:hAnsi="黑体" w:eastAsia="黑体" w:cs="黑体"/>
          <w:sz w:val="32"/>
          <w:szCs w:val="32"/>
        </w:rPr>
      </w:pPr>
    </w:p>
    <w:p w14:paraId="20823BF9">
      <w:pPr>
        <w:spacing w:line="480" w:lineRule="auto"/>
        <w:ind w:firstLine="640" w:firstLineChars="200"/>
        <w:outlineLvl w:val="0"/>
        <w:rPr>
          <w:rFonts w:ascii="黑体" w:hAnsi="黑体" w:eastAsia="黑体" w:cs="黑体"/>
          <w:sz w:val="32"/>
          <w:szCs w:val="32"/>
        </w:rPr>
      </w:pPr>
      <w:r>
        <w:rPr>
          <w:rFonts w:hint="eastAsia" w:ascii="黑体" w:hAnsi="黑体" w:eastAsia="黑体" w:cs="黑体"/>
          <w:sz w:val="32"/>
          <w:szCs w:val="32"/>
        </w:rPr>
        <w:t>六、报价要求</w:t>
      </w:r>
    </w:p>
    <w:p w14:paraId="71024251">
      <w:pPr>
        <w:spacing w:line="480" w:lineRule="auto"/>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报价形式：</w:t>
      </w:r>
    </w:p>
    <w:p w14:paraId="5A999A14">
      <w:pPr>
        <w:spacing w:line="480" w:lineRule="auto"/>
        <w:ind w:firstLine="640" w:firstLineChars="200"/>
        <w:outlineLvl w:val="0"/>
        <w:rPr>
          <w:highlight w:val="none"/>
        </w:rPr>
      </w:pPr>
      <w:r>
        <w:rPr>
          <w:rFonts w:hint="eastAsia" w:ascii="仿宋_GB2312" w:hAnsi="仿宋_GB2312" w:eastAsia="仿宋_GB2312" w:cs="仿宋_GB2312"/>
          <w:sz w:val="32"/>
          <w:szCs w:val="32"/>
          <w:highlight w:val="none"/>
        </w:rPr>
        <w:t>总价包干，应包括服务成本、法定税费和利润。由企业根据采购文件所提供的资料自行测算投标报价；一经中标，投标报价总价作为中标单位与采购单位签定的合同金额，合同期限内不做调整。</w:t>
      </w:r>
    </w:p>
    <w:p w14:paraId="2E7B9078">
      <w:pPr>
        <w:spacing w:line="480" w:lineRule="auto"/>
        <w:ind w:firstLine="640" w:firstLineChars="200"/>
        <w:outlineLvl w:val="0"/>
        <w:rPr>
          <w:rFonts w:ascii="黑体" w:hAnsi="黑体" w:eastAsia="黑体" w:cs="黑体"/>
          <w:sz w:val="32"/>
          <w:szCs w:val="32"/>
        </w:rPr>
      </w:pPr>
      <w:r>
        <w:rPr>
          <w:rFonts w:hint="eastAsia" w:ascii="黑体" w:hAnsi="黑体" w:eastAsia="黑体" w:cs="黑体"/>
          <w:sz w:val="32"/>
          <w:szCs w:val="32"/>
        </w:rPr>
        <w:t>七、其他说明</w:t>
      </w:r>
    </w:p>
    <w:p w14:paraId="43DDDA15">
      <w:pPr>
        <w:spacing w:line="48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1.供应商应严格按照采购文件及附件的格式要求编制《应答文件》。</w:t>
      </w:r>
    </w:p>
    <w:p w14:paraId="7EA5C7C3">
      <w:pPr>
        <w:spacing w:line="48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2.《应答文件》一正一副</w:t>
      </w:r>
      <w:r>
        <w:rPr>
          <w:rFonts w:hint="eastAsia" w:ascii="仿宋_GB2312" w:hAnsi="仿宋_GB2312" w:eastAsia="仿宋_GB2312"/>
          <w:color w:val="000000"/>
          <w:sz w:val="32"/>
          <w:szCs w:val="32"/>
        </w:rPr>
        <w:t>（纸质版+电子版）</w:t>
      </w:r>
      <w:r>
        <w:rPr>
          <w:rFonts w:hint="eastAsia" w:ascii="仿宋_GB2312" w:hAnsi="仿宋_GB2312" w:eastAsia="仿宋_GB2312" w:cs="仿宋_GB2312"/>
          <w:sz w:val="32"/>
          <w:szCs w:val="32"/>
        </w:rPr>
        <w:t>，封于同一密封袋（加盖供应商公章），现场一并提交。</w:t>
      </w:r>
    </w:p>
    <w:p w14:paraId="5F4262F8">
      <w:pPr>
        <w:spacing w:line="48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3.《应答文件》的每页均加盖供应商的公章，否则该页无效。</w:t>
      </w:r>
    </w:p>
    <w:p w14:paraId="7D797E3F">
      <w:pPr>
        <w:spacing w:line="480" w:lineRule="auto"/>
        <w:ind w:firstLine="640" w:firstLineChars="200"/>
        <w:outlineLvl w:val="0"/>
        <w:rPr>
          <w:rFonts w:hint="eastAsia" w:ascii="黑体" w:hAnsi="黑体" w:eastAsia="黑体" w:cs="黑体"/>
          <w:sz w:val="32"/>
          <w:szCs w:val="32"/>
        </w:rPr>
      </w:pPr>
    </w:p>
    <w:p w14:paraId="31AA526A">
      <w:pPr>
        <w:spacing w:line="480" w:lineRule="auto"/>
        <w:ind w:firstLine="640" w:firstLineChars="200"/>
        <w:outlineLvl w:val="0"/>
        <w:rPr>
          <w:rFonts w:hint="eastAsia" w:ascii="黑体" w:hAnsi="黑体" w:eastAsia="黑体" w:cs="黑体"/>
          <w:sz w:val="32"/>
          <w:szCs w:val="32"/>
        </w:rPr>
      </w:pPr>
    </w:p>
    <w:p w14:paraId="5461B086">
      <w:pPr>
        <w:spacing w:line="480" w:lineRule="auto"/>
        <w:ind w:firstLine="640" w:firstLineChars="200"/>
        <w:outlineLvl w:val="0"/>
        <w:rPr>
          <w:rFonts w:hint="eastAsia" w:ascii="黑体" w:hAnsi="黑体" w:eastAsia="黑体" w:cs="黑体"/>
          <w:sz w:val="32"/>
          <w:szCs w:val="32"/>
        </w:rPr>
      </w:pPr>
    </w:p>
    <w:p w14:paraId="39596C8D">
      <w:pPr>
        <w:spacing w:line="480" w:lineRule="auto"/>
        <w:ind w:firstLine="640" w:firstLineChars="200"/>
        <w:outlineLvl w:val="0"/>
        <w:rPr>
          <w:rFonts w:hint="eastAsia" w:ascii="黑体" w:hAnsi="黑体" w:eastAsia="黑体" w:cs="黑体"/>
          <w:sz w:val="32"/>
          <w:szCs w:val="32"/>
        </w:rPr>
      </w:pPr>
    </w:p>
    <w:p w14:paraId="132697C2">
      <w:pPr>
        <w:pStyle w:val="2"/>
        <w:rPr>
          <w:rFonts w:hint="eastAsia" w:ascii="黑体" w:hAnsi="黑体" w:eastAsia="黑体" w:cs="黑体"/>
          <w:sz w:val="32"/>
          <w:szCs w:val="32"/>
        </w:rPr>
      </w:pPr>
    </w:p>
    <w:p w14:paraId="5489C86A">
      <w:pPr>
        <w:rPr>
          <w:rFonts w:hint="eastAsia"/>
        </w:rPr>
      </w:pPr>
    </w:p>
    <w:p w14:paraId="600C0EC4">
      <w:pPr>
        <w:spacing w:line="480" w:lineRule="auto"/>
        <w:ind w:firstLine="640" w:firstLineChars="200"/>
        <w:outlineLvl w:val="0"/>
        <w:rPr>
          <w:rFonts w:hint="eastAsia" w:ascii="黑体" w:hAnsi="黑体" w:eastAsia="黑体" w:cs="黑体"/>
          <w:sz w:val="32"/>
          <w:szCs w:val="32"/>
        </w:rPr>
      </w:pPr>
    </w:p>
    <w:p w14:paraId="6D4E2ACA">
      <w:pPr>
        <w:spacing w:line="480" w:lineRule="auto"/>
        <w:ind w:firstLine="640" w:firstLineChars="200"/>
        <w:outlineLvl w:val="0"/>
        <w:rPr>
          <w:rFonts w:hint="eastAsia" w:ascii="黑体" w:hAnsi="黑体" w:eastAsia="黑体" w:cs="黑体"/>
          <w:sz w:val="32"/>
          <w:szCs w:val="32"/>
        </w:rPr>
      </w:pPr>
    </w:p>
    <w:p w14:paraId="638A7AD6">
      <w:pPr>
        <w:spacing w:line="480" w:lineRule="auto"/>
        <w:ind w:firstLine="640" w:firstLineChars="200"/>
        <w:outlineLvl w:val="0"/>
        <w:rPr>
          <w:rFonts w:ascii="黑体" w:hAnsi="黑体" w:eastAsia="黑体" w:cs="黑体"/>
          <w:sz w:val="32"/>
          <w:szCs w:val="32"/>
          <w:highlight w:val="none"/>
        </w:rPr>
      </w:pPr>
      <w:r>
        <w:rPr>
          <w:rFonts w:hint="eastAsia" w:ascii="黑体" w:hAnsi="黑体" w:eastAsia="黑体" w:cs="黑体"/>
          <w:sz w:val="32"/>
          <w:szCs w:val="32"/>
          <w:highlight w:val="none"/>
        </w:rPr>
        <w:t>八、评审因素</w:t>
      </w:r>
    </w:p>
    <w:tbl>
      <w:tblPr>
        <w:tblStyle w:val="10"/>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93"/>
        <w:gridCol w:w="771"/>
        <w:gridCol w:w="6710"/>
      </w:tblGrid>
      <w:tr w14:paraId="7F20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BF9D8FB">
            <w:pPr>
              <w:jc w:val="center"/>
              <w:rPr>
                <w:rFonts w:hint="eastAsia" w:ascii="仿宋" w:hAnsi="仿宋" w:eastAsia="仿宋" w:cs="仿宋"/>
                <w:b/>
                <w:bCs/>
                <w:sz w:val="24"/>
                <w:szCs w:val="24"/>
              </w:rPr>
            </w:pPr>
            <w:bookmarkStart w:id="0" w:name="_Hlk170839047"/>
            <w:r>
              <w:rPr>
                <w:rFonts w:hint="eastAsia" w:ascii="仿宋" w:hAnsi="仿宋" w:eastAsia="仿宋" w:cs="仿宋"/>
                <w:b/>
                <w:bCs/>
                <w:sz w:val="24"/>
                <w:szCs w:val="24"/>
              </w:rPr>
              <w:t>序号</w:t>
            </w:r>
          </w:p>
        </w:tc>
        <w:tc>
          <w:tcPr>
            <w:tcW w:w="1093" w:type="dxa"/>
            <w:tcBorders>
              <w:top w:val="single" w:color="auto" w:sz="4" w:space="0"/>
              <w:left w:val="single" w:color="auto" w:sz="4" w:space="0"/>
              <w:bottom w:val="single" w:color="auto" w:sz="4" w:space="0"/>
              <w:right w:val="single" w:color="auto" w:sz="4" w:space="0"/>
            </w:tcBorders>
            <w:vAlign w:val="center"/>
          </w:tcPr>
          <w:p w14:paraId="37A074A8">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评分项</w:t>
            </w:r>
          </w:p>
        </w:tc>
        <w:tc>
          <w:tcPr>
            <w:tcW w:w="771" w:type="dxa"/>
            <w:tcBorders>
              <w:top w:val="single" w:color="auto" w:sz="4" w:space="0"/>
              <w:left w:val="single" w:color="auto" w:sz="4" w:space="0"/>
              <w:bottom w:val="single" w:color="auto" w:sz="4" w:space="0"/>
              <w:right w:val="single" w:color="auto" w:sz="4" w:space="0"/>
            </w:tcBorders>
            <w:vAlign w:val="center"/>
          </w:tcPr>
          <w:p w14:paraId="1730B382">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分值</w:t>
            </w:r>
          </w:p>
        </w:tc>
        <w:tc>
          <w:tcPr>
            <w:tcW w:w="6710" w:type="dxa"/>
            <w:tcBorders>
              <w:top w:val="single" w:color="auto" w:sz="4" w:space="0"/>
              <w:left w:val="single" w:color="auto" w:sz="4" w:space="0"/>
              <w:bottom w:val="single" w:color="auto" w:sz="4" w:space="0"/>
              <w:right w:val="single" w:color="auto" w:sz="4" w:space="0"/>
            </w:tcBorders>
            <w:vAlign w:val="center"/>
          </w:tcPr>
          <w:p w14:paraId="627B641C">
            <w:pPr>
              <w:jc w:val="center"/>
              <w:rPr>
                <w:rFonts w:hint="eastAsia" w:ascii="仿宋" w:hAnsi="仿宋" w:eastAsia="仿宋" w:cs="仿宋"/>
                <w:b/>
                <w:bCs/>
                <w:sz w:val="24"/>
                <w:szCs w:val="24"/>
              </w:rPr>
            </w:pPr>
            <w:r>
              <w:rPr>
                <w:rFonts w:hint="eastAsia" w:ascii="仿宋" w:hAnsi="仿宋" w:eastAsia="仿宋" w:cs="仿宋"/>
                <w:b/>
                <w:bCs/>
                <w:sz w:val="24"/>
                <w:szCs w:val="24"/>
              </w:rPr>
              <w:t>评分准则</w:t>
            </w:r>
          </w:p>
        </w:tc>
      </w:tr>
      <w:tr w14:paraId="6339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55CF2416">
            <w:pPr>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w:t>
            </w:r>
          </w:p>
        </w:tc>
        <w:tc>
          <w:tcPr>
            <w:tcW w:w="1093" w:type="dxa"/>
            <w:tcBorders>
              <w:top w:val="single" w:color="auto" w:sz="4" w:space="0"/>
              <w:left w:val="single" w:color="auto" w:sz="4" w:space="0"/>
              <w:bottom w:val="single" w:color="auto" w:sz="4" w:space="0"/>
              <w:right w:val="single" w:color="auto" w:sz="4" w:space="0"/>
            </w:tcBorders>
            <w:vAlign w:val="center"/>
          </w:tcPr>
          <w:p w14:paraId="7BC39595">
            <w:pPr>
              <w:jc w:val="center"/>
              <w:rPr>
                <w:rFonts w:hint="eastAsia" w:ascii="仿宋" w:hAnsi="仿宋" w:eastAsia="仿宋" w:cs="仿宋"/>
                <w:sz w:val="24"/>
                <w:szCs w:val="24"/>
              </w:rPr>
            </w:pPr>
            <w:r>
              <w:rPr>
                <w:rFonts w:hint="eastAsia" w:ascii="仿宋" w:hAnsi="仿宋" w:eastAsia="仿宋" w:cs="仿宋"/>
                <w:sz w:val="24"/>
                <w:szCs w:val="24"/>
              </w:rPr>
              <w:t>价格部分</w:t>
            </w:r>
          </w:p>
        </w:tc>
        <w:tc>
          <w:tcPr>
            <w:tcW w:w="771" w:type="dxa"/>
            <w:tcBorders>
              <w:top w:val="single" w:color="auto" w:sz="4" w:space="0"/>
              <w:left w:val="single" w:color="auto" w:sz="4" w:space="0"/>
              <w:bottom w:val="single" w:color="auto" w:sz="4" w:space="0"/>
              <w:right w:val="single" w:color="auto" w:sz="4" w:space="0"/>
            </w:tcBorders>
            <w:vAlign w:val="center"/>
          </w:tcPr>
          <w:p w14:paraId="06E433F3">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c>
          <w:tcPr>
            <w:tcW w:w="6710" w:type="dxa"/>
            <w:tcBorders>
              <w:top w:val="single" w:color="auto" w:sz="4" w:space="0"/>
              <w:left w:val="single" w:color="auto" w:sz="4" w:space="0"/>
              <w:bottom w:val="single" w:color="auto" w:sz="4" w:space="0"/>
              <w:right w:val="single" w:color="auto" w:sz="4" w:space="0"/>
            </w:tcBorders>
          </w:tcPr>
          <w:p w14:paraId="68A6379E">
            <w:pPr>
              <w:jc w:val="left"/>
              <w:rPr>
                <w:rFonts w:hint="eastAsia" w:ascii="仿宋" w:hAnsi="仿宋" w:eastAsia="仿宋" w:cs="仿宋"/>
                <w:sz w:val="24"/>
                <w:szCs w:val="24"/>
              </w:rPr>
            </w:pPr>
            <w:r>
              <w:rPr>
                <w:rFonts w:hint="eastAsia" w:ascii="仿宋" w:hAnsi="仿宋" w:eastAsia="仿宋" w:cs="仿宋"/>
                <w:sz w:val="24"/>
                <w:szCs w:val="24"/>
              </w:rPr>
              <w:t xml:space="preserve">采用低价优先法计算，即满足文件要求且投标价格最低的投标报价为评标基准价，其价格分为满分。其他投标人的价格分统一按照下列公式计算： </w:t>
            </w:r>
          </w:p>
          <w:p w14:paraId="6A5B5846">
            <w:pPr>
              <w:adjustRightInd w:val="0"/>
              <w:snapToGrid w:val="0"/>
              <w:rPr>
                <w:rFonts w:hint="eastAsia" w:ascii="仿宋" w:hAnsi="仿宋" w:eastAsia="仿宋" w:cs="仿宋"/>
                <w:sz w:val="24"/>
                <w:szCs w:val="24"/>
              </w:rPr>
            </w:pPr>
            <w:r>
              <w:rPr>
                <w:rFonts w:hint="eastAsia" w:ascii="仿宋" w:hAnsi="仿宋" w:eastAsia="仿宋" w:cs="仿宋"/>
                <w:sz w:val="24"/>
                <w:szCs w:val="24"/>
              </w:rPr>
              <w:t>投标报价得分=(评标基准价／投标报价)×</w:t>
            </w:r>
            <w:r>
              <w:rPr>
                <w:rFonts w:hint="eastAsia" w:ascii="仿宋" w:hAnsi="仿宋" w:eastAsia="仿宋" w:cs="仿宋"/>
                <w:sz w:val="24"/>
                <w:szCs w:val="24"/>
                <w:lang w:val="en-US" w:eastAsia="zh-CN"/>
              </w:rPr>
              <w:t>2</w:t>
            </w:r>
            <w:r>
              <w:rPr>
                <w:rFonts w:hint="eastAsia" w:ascii="仿宋" w:hAnsi="仿宋" w:eastAsia="仿宋" w:cs="仿宋"/>
                <w:sz w:val="24"/>
                <w:szCs w:val="24"/>
              </w:rPr>
              <w:t>0</w:t>
            </w:r>
          </w:p>
        </w:tc>
      </w:tr>
      <w:tr w14:paraId="7AC9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A57CCE8">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2</w:t>
            </w:r>
          </w:p>
        </w:tc>
        <w:tc>
          <w:tcPr>
            <w:tcW w:w="1093" w:type="dxa"/>
            <w:tcBorders>
              <w:top w:val="single" w:color="auto" w:sz="4" w:space="0"/>
              <w:left w:val="single" w:color="auto" w:sz="4" w:space="0"/>
              <w:bottom w:val="single" w:color="auto" w:sz="4" w:space="0"/>
              <w:right w:val="single" w:color="auto" w:sz="4" w:space="0"/>
            </w:tcBorders>
            <w:vAlign w:val="center"/>
          </w:tcPr>
          <w:p w14:paraId="69314E7F">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业绩经验</w:t>
            </w:r>
          </w:p>
        </w:tc>
        <w:tc>
          <w:tcPr>
            <w:tcW w:w="771" w:type="dxa"/>
            <w:tcBorders>
              <w:top w:val="single" w:color="auto" w:sz="4" w:space="0"/>
              <w:left w:val="single" w:color="auto" w:sz="4" w:space="0"/>
              <w:bottom w:val="single" w:color="auto" w:sz="4" w:space="0"/>
              <w:right w:val="single" w:color="auto" w:sz="4" w:space="0"/>
            </w:tcBorders>
            <w:vAlign w:val="center"/>
          </w:tcPr>
          <w:p w14:paraId="5D943D63">
            <w:pPr>
              <w:adjustRightInd w:val="0"/>
              <w:snapToGrid w:val="0"/>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30</w:t>
            </w:r>
          </w:p>
        </w:tc>
        <w:tc>
          <w:tcPr>
            <w:tcW w:w="6710" w:type="dxa"/>
            <w:tcBorders>
              <w:top w:val="single" w:color="auto" w:sz="4" w:space="0"/>
              <w:left w:val="single" w:color="auto" w:sz="4" w:space="0"/>
              <w:bottom w:val="single" w:color="auto" w:sz="4" w:space="0"/>
              <w:right w:val="single" w:color="auto" w:sz="4" w:space="0"/>
            </w:tcBorders>
            <w:vAlign w:val="top"/>
          </w:tcPr>
          <w:p w14:paraId="0B3649EE">
            <w:pPr>
              <w:widowControl/>
              <w:jc w:val="left"/>
              <w:rPr>
                <w:rFonts w:hint="eastAsia" w:ascii="仿宋" w:hAnsi="仿宋" w:eastAsia="仿宋" w:cs="仿宋"/>
                <w:sz w:val="24"/>
                <w:szCs w:val="24"/>
              </w:rPr>
            </w:pPr>
            <w:r>
              <w:rPr>
                <w:rFonts w:hint="eastAsia" w:ascii="仿宋" w:hAnsi="仿宋" w:eastAsia="仿宋" w:cs="仿宋"/>
                <w:sz w:val="24"/>
                <w:szCs w:val="24"/>
              </w:rPr>
              <w:t>提供递交投标文件截止之日止（以合同签订时间为准）供应商承接过</w:t>
            </w:r>
            <w:r>
              <w:rPr>
                <w:rFonts w:hint="eastAsia" w:ascii="仿宋" w:hAnsi="仿宋" w:eastAsia="仿宋" w:cs="仿宋"/>
                <w:sz w:val="24"/>
                <w:szCs w:val="24"/>
                <w:lang w:val="en-US" w:eastAsia="zh-CN"/>
              </w:rPr>
              <w:t>房屋结构安全检测鉴定、排查</w:t>
            </w:r>
            <w:r>
              <w:rPr>
                <w:rFonts w:hint="eastAsia" w:ascii="仿宋" w:hAnsi="仿宋" w:eastAsia="仿宋" w:cs="仿宋"/>
                <w:sz w:val="24"/>
                <w:szCs w:val="24"/>
              </w:rPr>
              <w:t>等类似业绩，提供合同关键页（能清晰体现合同首页、合同签订时间、合同金额、合同签字页等关键信息）。每提供1份业绩资料得</w:t>
            </w:r>
            <w:r>
              <w:rPr>
                <w:rFonts w:hint="eastAsia" w:ascii="仿宋" w:hAnsi="仿宋" w:eastAsia="仿宋" w:cs="仿宋"/>
                <w:sz w:val="24"/>
                <w:szCs w:val="24"/>
                <w:lang w:val="en-US" w:eastAsia="zh-CN"/>
              </w:rPr>
              <w:t>6</w:t>
            </w:r>
            <w:r>
              <w:rPr>
                <w:rFonts w:hint="eastAsia" w:ascii="仿宋" w:hAnsi="仿宋" w:eastAsia="仿宋" w:cs="仿宋"/>
                <w:sz w:val="24"/>
                <w:szCs w:val="24"/>
              </w:rPr>
              <w:t>分，累计最高得</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14:paraId="31C1498B">
            <w:pPr>
              <w:widowControl/>
              <w:jc w:val="left"/>
              <w:rPr>
                <w:rFonts w:hint="eastAsia" w:ascii="仿宋" w:hAnsi="仿宋" w:eastAsia="仿宋" w:cs="仿宋"/>
                <w:sz w:val="24"/>
                <w:szCs w:val="24"/>
              </w:rPr>
            </w:pPr>
            <w:r>
              <w:rPr>
                <w:rFonts w:hint="eastAsia" w:ascii="仿宋" w:hAnsi="仿宋" w:eastAsia="仿宋" w:cs="仿宋"/>
                <w:sz w:val="24"/>
                <w:szCs w:val="24"/>
              </w:rPr>
              <w:t>评分中出现无证明资料或专家无法凭所提供资料判断是否得分的情况，一律作不得分处理。</w:t>
            </w:r>
          </w:p>
          <w:p w14:paraId="1770CA39">
            <w:pPr>
              <w:pStyle w:val="2"/>
              <w:widowControl/>
              <w:spacing w:before="0" w:after="0" w:line="240" w:lineRule="auto"/>
              <w:jc w:val="left"/>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rPr>
              <w:t>评审材料：《应答文件》-业绩经验</w:t>
            </w:r>
          </w:p>
        </w:tc>
      </w:tr>
      <w:tr w14:paraId="31B76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F49C83A">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3</w:t>
            </w:r>
          </w:p>
        </w:tc>
        <w:tc>
          <w:tcPr>
            <w:tcW w:w="1093" w:type="dxa"/>
            <w:tcBorders>
              <w:top w:val="single" w:color="auto" w:sz="4" w:space="0"/>
              <w:left w:val="single" w:color="auto" w:sz="4" w:space="0"/>
              <w:bottom w:val="single" w:color="auto" w:sz="4" w:space="0"/>
              <w:right w:val="single" w:color="auto" w:sz="4" w:space="0"/>
            </w:tcBorders>
            <w:vAlign w:val="center"/>
          </w:tcPr>
          <w:p w14:paraId="7842B0D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拟安排的项目负责人情况</w:t>
            </w:r>
          </w:p>
        </w:tc>
        <w:tc>
          <w:tcPr>
            <w:tcW w:w="771" w:type="dxa"/>
            <w:tcBorders>
              <w:top w:val="single" w:color="auto" w:sz="4" w:space="0"/>
              <w:left w:val="single" w:color="auto" w:sz="4" w:space="0"/>
              <w:bottom w:val="single" w:color="auto" w:sz="4" w:space="0"/>
              <w:right w:val="single" w:color="auto" w:sz="4" w:space="0"/>
            </w:tcBorders>
            <w:vAlign w:val="center"/>
          </w:tcPr>
          <w:p w14:paraId="75A8771B">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10</w:t>
            </w:r>
          </w:p>
        </w:tc>
        <w:tc>
          <w:tcPr>
            <w:tcW w:w="6710" w:type="dxa"/>
            <w:tcBorders>
              <w:top w:val="single" w:color="auto" w:sz="4" w:space="0"/>
              <w:left w:val="single" w:color="auto" w:sz="4" w:space="0"/>
              <w:bottom w:val="single" w:color="auto" w:sz="4" w:space="0"/>
              <w:right w:val="single" w:color="auto" w:sz="4" w:space="0"/>
            </w:tcBorders>
            <w:vAlign w:val="top"/>
          </w:tcPr>
          <w:p w14:paraId="7627401B">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考察拟派项目负责人情况，要求项目负责人为供应商的自有员工：</w:t>
            </w:r>
          </w:p>
          <w:p w14:paraId="069F8490">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1、项目负责人具有本科或以上学历，得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22C23CC9">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2、具有高级职称的，得</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3610BA7B">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以上得分累计，满分</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14:paraId="32F6EA81">
            <w:pPr>
              <w:adjustRightInd w:val="0"/>
              <w:snapToGrid w:val="0"/>
              <w:jc w:val="left"/>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评审材料：</w:t>
            </w:r>
            <w:r>
              <w:rPr>
                <w:rFonts w:hint="eastAsia" w:ascii="仿宋" w:hAnsi="仿宋" w:eastAsia="仿宋" w:cs="仿宋"/>
                <w:sz w:val="24"/>
                <w:szCs w:val="24"/>
              </w:rPr>
              <w:t>《应答文件》-拟派项目负责人情况</w:t>
            </w:r>
          </w:p>
        </w:tc>
      </w:tr>
      <w:tr w14:paraId="2A23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721619F">
            <w:pPr>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rPr>
              <w:t>4</w:t>
            </w:r>
          </w:p>
        </w:tc>
        <w:tc>
          <w:tcPr>
            <w:tcW w:w="1093" w:type="dxa"/>
            <w:tcBorders>
              <w:top w:val="single" w:color="auto" w:sz="4" w:space="0"/>
              <w:left w:val="single" w:color="auto" w:sz="4" w:space="0"/>
              <w:bottom w:val="single" w:color="auto" w:sz="4" w:space="0"/>
              <w:right w:val="single" w:color="auto" w:sz="4" w:space="0"/>
            </w:tcBorders>
            <w:vAlign w:val="center"/>
          </w:tcPr>
          <w:p w14:paraId="7BB8347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项目服务方案</w:t>
            </w:r>
          </w:p>
        </w:tc>
        <w:tc>
          <w:tcPr>
            <w:tcW w:w="771" w:type="dxa"/>
            <w:tcBorders>
              <w:top w:val="single" w:color="auto" w:sz="4" w:space="0"/>
              <w:left w:val="single" w:color="auto" w:sz="4" w:space="0"/>
              <w:bottom w:val="single" w:color="auto" w:sz="4" w:space="0"/>
              <w:right w:val="single" w:color="auto" w:sz="4" w:space="0"/>
            </w:tcBorders>
            <w:vAlign w:val="center"/>
          </w:tcPr>
          <w:p w14:paraId="082CEF8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40</w:t>
            </w:r>
          </w:p>
        </w:tc>
        <w:tc>
          <w:tcPr>
            <w:tcW w:w="6710" w:type="dxa"/>
            <w:tcBorders>
              <w:top w:val="single" w:color="auto" w:sz="4" w:space="0"/>
              <w:left w:val="single" w:color="auto" w:sz="4" w:space="0"/>
              <w:bottom w:val="single" w:color="auto" w:sz="4" w:space="0"/>
              <w:right w:val="single" w:color="auto" w:sz="4" w:space="0"/>
            </w:tcBorders>
            <w:vAlign w:val="top"/>
          </w:tcPr>
          <w:p w14:paraId="3E9BDE5A">
            <w:pPr>
              <w:adjustRightInd w:val="0"/>
              <w:snapToGrid w:val="0"/>
              <w:rPr>
                <w:rFonts w:hint="eastAsia" w:ascii="仿宋" w:hAnsi="仿宋" w:eastAsia="仿宋" w:cs="仿宋"/>
                <w:sz w:val="24"/>
                <w:szCs w:val="24"/>
              </w:rPr>
            </w:pPr>
            <w:r>
              <w:rPr>
                <w:rFonts w:hint="eastAsia" w:ascii="仿宋" w:hAnsi="仿宋" w:eastAsia="仿宋" w:cs="仿宋"/>
                <w:sz w:val="24"/>
                <w:szCs w:val="24"/>
              </w:rPr>
              <w:t>要求供应商能够充分理解项目背景和目标，对本项目需求的理解分析、工作措施、项目管理及拟派人员安排，提出应对措施及相关的合理化建议，综合评价供应商提供的以上内容</w:t>
            </w:r>
          </w:p>
          <w:p w14:paraId="470F7E22">
            <w:pPr>
              <w:adjustRightInd w:val="0"/>
              <w:snapToGrid w:val="0"/>
              <w:rPr>
                <w:rFonts w:hint="eastAsia" w:ascii="仿宋" w:hAnsi="仿宋" w:eastAsia="仿宋" w:cs="仿宋"/>
                <w:sz w:val="24"/>
                <w:szCs w:val="24"/>
              </w:rPr>
            </w:pPr>
            <w:r>
              <w:rPr>
                <w:rFonts w:hint="eastAsia" w:ascii="仿宋" w:hAnsi="仿宋" w:eastAsia="仿宋" w:cs="仿宋"/>
                <w:sz w:val="24"/>
                <w:szCs w:val="24"/>
              </w:rPr>
              <w:t>优秀，得31-40分；</w:t>
            </w:r>
          </w:p>
          <w:p w14:paraId="2C822F2C">
            <w:pPr>
              <w:adjustRightInd w:val="0"/>
              <w:snapToGrid w:val="0"/>
              <w:rPr>
                <w:rFonts w:hint="eastAsia" w:ascii="仿宋" w:hAnsi="仿宋" w:eastAsia="仿宋" w:cs="仿宋"/>
                <w:sz w:val="24"/>
                <w:szCs w:val="24"/>
              </w:rPr>
            </w:pPr>
            <w:r>
              <w:rPr>
                <w:rFonts w:hint="eastAsia" w:ascii="仿宋" w:hAnsi="仿宋" w:eastAsia="仿宋" w:cs="仿宋"/>
                <w:sz w:val="24"/>
                <w:szCs w:val="24"/>
              </w:rPr>
              <w:t>较好，得21-30分；</w:t>
            </w:r>
          </w:p>
          <w:p w14:paraId="0E7E7FB0">
            <w:pPr>
              <w:adjustRightInd w:val="0"/>
              <w:snapToGrid w:val="0"/>
              <w:rPr>
                <w:rFonts w:hint="eastAsia" w:ascii="仿宋" w:hAnsi="仿宋" w:eastAsia="仿宋" w:cs="仿宋"/>
                <w:sz w:val="24"/>
                <w:szCs w:val="24"/>
              </w:rPr>
            </w:pPr>
            <w:r>
              <w:rPr>
                <w:rFonts w:hint="eastAsia" w:ascii="仿宋" w:hAnsi="仿宋" w:eastAsia="仿宋" w:cs="仿宋"/>
                <w:sz w:val="24"/>
                <w:szCs w:val="24"/>
              </w:rPr>
              <w:t>良好，得11-20分；</w:t>
            </w:r>
          </w:p>
          <w:p w14:paraId="2B385D91">
            <w:pPr>
              <w:adjustRightInd w:val="0"/>
              <w:snapToGrid w:val="0"/>
              <w:rPr>
                <w:rFonts w:hint="eastAsia" w:ascii="仿宋" w:hAnsi="仿宋" w:eastAsia="仿宋" w:cs="仿宋"/>
                <w:sz w:val="24"/>
                <w:szCs w:val="24"/>
              </w:rPr>
            </w:pPr>
            <w:r>
              <w:rPr>
                <w:rFonts w:hint="eastAsia" w:ascii="仿宋" w:hAnsi="仿宋" w:eastAsia="仿宋" w:cs="仿宋"/>
                <w:sz w:val="24"/>
                <w:szCs w:val="24"/>
              </w:rPr>
              <w:t>一般，得1-10分；</w:t>
            </w:r>
          </w:p>
          <w:p w14:paraId="4F0688C7">
            <w:pPr>
              <w:adjustRightInd w:val="0"/>
              <w:snapToGrid w:val="0"/>
              <w:rPr>
                <w:rFonts w:hint="eastAsia" w:ascii="仿宋" w:hAnsi="仿宋" w:eastAsia="仿宋" w:cs="仿宋"/>
                <w:sz w:val="24"/>
                <w:szCs w:val="24"/>
              </w:rPr>
            </w:pPr>
            <w:r>
              <w:rPr>
                <w:rFonts w:hint="eastAsia" w:ascii="仿宋" w:hAnsi="仿宋" w:eastAsia="仿宋" w:cs="仿宋"/>
                <w:sz w:val="24"/>
                <w:szCs w:val="24"/>
              </w:rPr>
              <w:t>未提供或较差，得0分。</w:t>
            </w:r>
          </w:p>
          <w:p w14:paraId="034FD8BE">
            <w:pPr>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b/>
                <w:bCs/>
                <w:sz w:val="24"/>
                <w:szCs w:val="24"/>
              </w:rPr>
              <w:t>评审材料：</w:t>
            </w:r>
            <w:r>
              <w:rPr>
                <w:rFonts w:hint="eastAsia" w:ascii="仿宋" w:hAnsi="仿宋" w:eastAsia="仿宋" w:cs="仿宋"/>
                <w:sz w:val="24"/>
                <w:szCs w:val="24"/>
              </w:rPr>
              <w:t>《应答文件》-服务方案</w:t>
            </w:r>
          </w:p>
        </w:tc>
      </w:tr>
      <w:bookmarkEnd w:id="0"/>
    </w:tbl>
    <w:p w14:paraId="3F339293">
      <w:pPr>
        <w:spacing w:line="480" w:lineRule="auto"/>
        <w:rPr>
          <w:rFonts w:hint="eastAsia" w:ascii="仿宋" w:hAnsi="仿宋" w:eastAsia="仿宋" w:cs="仿宋"/>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4687C"/>
    <w:multiLevelType w:val="singleLevel"/>
    <w:tmpl w:val="1094687C"/>
    <w:lvl w:ilvl="0" w:tentative="0">
      <w:start w:val="5"/>
      <w:numFmt w:val="chineseCounting"/>
      <w:suff w:val="nothing"/>
      <w:lvlText w:val="%1、"/>
      <w:lvlJc w:val="left"/>
      <w:rPr>
        <w:rFonts w:hint="eastAsia"/>
      </w:rPr>
    </w:lvl>
  </w:abstractNum>
  <w:abstractNum w:abstractNumId="1">
    <w:nsid w:val="73E4A1C0"/>
    <w:multiLevelType w:val="singleLevel"/>
    <w:tmpl w:val="73E4A1C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jE3NTA0NjJhMGE3NWI0NzllN2NiYzM4MjRkZGMifQ=="/>
  </w:docVars>
  <w:rsids>
    <w:rsidRoot w:val="00683020"/>
    <w:rsid w:val="00111210"/>
    <w:rsid w:val="001407E8"/>
    <w:rsid w:val="001F2ED0"/>
    <w:rsid w:val="00263E13"/>
    <w:rsid w:val="003367B8"/>
    <w:rsid w:val="00345CA7"/>
    <w:rsid w:val="003504A0"/>
    <w:rsid w:val="003A4985"/>
    <w:rsid w:val="00431401"/>
    <w:rsid w:val="004A02DB"/>
    <w:rsid w:val="00577AEB"/>
    <w:rsid w:val="005A745E"/>
    <w:rsid w:val="00683020"/>
    <w:rsid w:val="006B2626"/>
    <w:rsid w:val="00702C23"/>
    <w:rsid w:val="00976EF3"/>
    <w:rsid w:val="00AA404C"/>
    <w:rsid w:val="00AE3F6C"/>
    <w:rsid w:val="00AE4D52"/>
    <w:rsid w:val="00AF692F"/>
    <w:rsid w:val="00D10644"/>
    <w:rsid w:val="00D129F1"/>
    <w:rsid w:val="00E02D76"/>
    <w:rsid w:val="00F84579"/>
    <w:rsid w:val="00FA3FAA"/>
    <w:rsid w:val="014F7F33"/>
    <w:rsid w:val="03FE3C60"/>
    <w:rsid w:val="04DE3F3B"/>
    <w:rsid w:val="050765DC"/>
    <w:rsid w:val="0536505F"/>
    <w:rsid w:val="084942D5"/>
    <w:rsid w:val="095A683E"/>
    <w:rsid w:val="0B7E3F5D"/>
    <w:rsid w:val="0DCF1AEF"/>
    <w:rsid w:val="0F2E1C91"/>
    <w:rsid w:val="0F80629E"/>
    <w:rsid w:val="0FFBDB4E"/>
    <w:rsid w:val="10F0155C"/>
    <w:rsid w:val="1A3D0921"/>
    <w:rsid w:val="1AFF3DB9"/>
    <w:rsid w:val="1BFE6B5C"/>
    <w:rsid w:val="1CA0390F"/>
    <w:rsid w:val="1D321E32"/>
    <w:rsid w:val="1DAC69CD"/>
    <w:rsid w:val="1DD74C49"/>
    <w:rsid w:val="1F7B5B41"/>
    <w:rsid w:val="20B41591"/>
    <w:rsid w:val="21614A39"/>
    <w:rsid w:val="22647184"/>
    <w:rsid w:val="22A38FCF"/>
    <w:rsid w:val="2502476E"/>
    <w:rsid w:val="25E747F1"/>
    <w:rsid w:val="27BB5E4F"/>
    <w:rsid w:val="27F70065"/>
    <w:rsid w:val="28CE5D59"/>
    <w:rsid w:val="2A501FAD"/>
    <w:rsid w:val="2AC2553D"/>
    <w:rsid w:val="2B3A3CDB"/>
    <w:rsid w:val="2CEF0F4E"/>
    <w:rsid w:val="2FFC395E"/>
    <w:rsid w:val="33FFA638"/>
    <w:rsid w:val="35315A0B"/>
    <w:rsid w:val="35B48A0C"/>
    <w:rsid w:val="35CFE812"/>
    <w:rsid w:val="35F570C3"/>
    <w:rsid w:val="37D95CB7"/>
    <w:rsid w:val="390A2F54"/>
    <w:rsid w:val="3AD78883"/>
    <w:rsid w:val="3B71D549"/>
    <w:rsid w:val="3BDB7D34"/>
    <w:rsid w:val="3BF0A45F"/>
    <w:rsid w:val="3C70C71E"/>
    <w:rsid w:val="3D956F6D"/>
    <w:rsid w:val="3DBFF08A"/>
    <w:rsid w:val="3DDC2B34"/>
    <w:rsid w:val="3DFEBB17"/>
    <w:rsid w:val="3EB83CF6"/>
    <w:rsid w:val="46A32024"/>
    <w:rsid w:val="474F0F57"/>
    <w:rsid w:val="47AB4E9E"/>
    <w:rsid w:val="48EB0843"/>
    <w:rsid w:val="4B625643"/>
    <w:rsid w:val="4DE79926"/>
    <w:rsid w:val="4E7C7D06"/>
    <w:rsid w:val="4F7E657D"/>
    <w:rsid w:val="4FA40D12"/>
    <w:rsid w:val="4FEB8225"/>
    <w:rsid w:val="4FEBF625"/>
    <w:rsid w:val="53FD7B1B"/>
    <w:rsid w:val="549F0DA2"/>
    <w:rsid w:val="54DF63DB"/>
    <w:rsid w:val="55551423"/>
    <w:rsid w:val="55FE7581"/>
    <w:rsid w:val="56E61621"/>
    <w:rsid w:val="56EB83CD"/>
    <w:rsid w:val="575124E3"/>
    <w:rsid w:val="57E7E87A"/>
    <w:rsid w:val="5B1946E4"/>
    <w:rsid w:val="5B2B5D50"/>
    <w:rsid w:val="5BCF6349"/>
    <w:rsid w:val="5BF34B52"/>
    <w:rsid w:val="5BFEE506"/>
    <w:rsid w:val="5D784C9D"/>
    <w:rsid w:val="5E344F25"/>
    <w:rsid w:val="5EF562DE"/>
    <w:rsid w:val="5EFBBBF2"/>
    <w:rsid w:val="5EFF3D20"/>
    <w:rsid w:val="5F3F03AD"/>
    <w:rsid w:val="5F9F5E62"/>
    <w:rsid w:val="5FD516D1"/>
    <w:rsid w:val="5FDA17FD"/>
    <w:rsid w:val="5FDB7B87"/>
    <w:rsid w:val="5FEF93B3"/>
    <w:rsid w:val="5FFE3940"/>
    <w:rsid w:val="6498149A"/>
    <w:rsid w:val="655E58F6"/>
    <w:rsid w:val="664E7AA0"/>
    <w:rsid w:val="66FF1FC8"/>
    <w:rsid w:val="677F0B14"/>
    <w:rsid w:val="679FE8CA"/>
    <w:rsid w:val="684D210F"/>
    <w:rsid w:val="68BF6A13"/>
    <w:rsid w:val="6A2037EC"/>
    <w:rsid w:val="6ABF663C"/>
    <w:rsid w:val="6AFFBD42"/>
    <w:rsid w:val="6BBF6040"/>
    <w:rsid w:val="6CC931F9"/>
    <w:rsid w:val="6E797751"/>
    <w:rsid w:val="6EF6FA7A"/>
    <w:rsid w:val="6F7B4DAD"/>
    <w:rsid w:val="6FB7B390"/>
    <w:rsid w:val="6FBFC87F"/>
    <w:rsid w:val="6FDF0A26"/>
    <w:rsid w:val="6FDFB02F"/>
    <w:rsid w:val="6FDFF3A0"/>
    <w:rsid w:val="6FF48B2D"/>
    <w:rsid w:val="70454B52"/>
    <w:rsid w:val="70972D3E"/>
    <w:rsid w:val="72EE42DB"/>
    <w:rsid w:val="73B7DC86"/>
    <w:rsid w:val="73F50B97"/>
    <w:rsid w:val="73F75F7D"/>
    <w:rsid w:val="73FE9CEA"/>
    <w:rsid w:val="747F77CB"/>
    <w:rsid w:val="74CC0965"/>
    <w:rsid w:val="74FA46DF"/>
    <w:rsid w:val="75EEFA61"/>
    <w:rsid w:val="777E6F9A"/>
    <w:rsid w:val="779F80B5"/>
    <w:rsid w:val="77B57EBB"/>
    <w:rsid w:val="77DB19D6"/>
    <w:rsid w:val="77DDC04E"/>
    <w:rsid w:val="77DF3CC8"/>
    <w:rsid w:val="77F78BFF"/>
    <w:rsid w:val="793F44F4"/>
    <w:rsid w:val="798F9F27"/>
    <w:rsid w:val="79DDA191"/>
    <w:rsid w:val="79FD0771"/>
    <w:rsid w:val="7A8F644D"/>
    <w:rsid w:val="7AFB3A7A"/>
    <w:rsid w:val="7AFB6966"/>
    <w:rsid w:val="7B0B2A9F"/>
    <w:rsid w:val="7BD731C4"/>
    <w:rsid w:val="7BD79335"/>
    <w:rsid w:val="7BDF0514"/>
    <w:rsid w:val="7BF12D9E"/>
    <w:rsid w:val="7BF36B68"/>
    <w:rsid w:val="7C2D532E"/>
    <w:rsid w:val="7C7F5CF6"/>
    <w:rsid w:val="7C9FD4B7"/>
    <w:rsid w:val="7CBE3CFD"/>
    <w:rsid w:val="7CFC038B"/>
    <w:rsid w:val="7D4FF0BF"/>
    <w:rsid w:val="7D572F2A"/>
    <w:rsid w:val="7DAF174F"/>
    <w:rsid w:val="7DE7658F"/>
    <w:rsid w:val="7DF55056"/>
    <w:rsid w:val="7DFEF9AA"/>
    <w:rsid w:val="7DFF211F"/>
    <w:rsid w:val="7DFF361D"/>
    <w:rsid w:val="7DFFAB96"/>
    <w:rsid w:val="7E7F0761"/>
    <w:rsid w:val="7EEDF5F3"/>
    <w:rsid w:val="7EFF2095"/>
    <w:rsid w:val="7EFFCF27"/>
    <w:rsid w:val="7F3D5235"/>
    <w:rsid w:val="7F672F2B"/>
    <w:rsid w:val="7FAFFD18"/>
    <w:rsid w:val="7FBB6FA9"/>
    <w:rsid w:val="7FBC2B21"/>
    <w:rsid w:val="7FBDAD50"/>
    <w:rsid w:val="7FBE7976"/>
    <w:rsid w:val="7FBFB6D2"/>
    <w:rsid w:val="7FD48FF0"/>
    <w:rsid w:val="7FDBF6E3"/>
    <w:rsid w:val="7FDF26FC"/>
    <w:rsid w:val="7FDF84FA"/>
    <w:rsid w:val="7FE1FAC2"/>
    <w:rsid w:val="7FED1B18"/>
    <w:rsid w:val="7FF3C1C5"/>
    <w:rsid w:val="7FF603DB"/>
    <w:rsid w:val="7FF77BE2"/>
    <w:rsid w:val="7FFD254C"/>
    <w:rsid w:val="7FFF5F01"/>
    <w:rsid w:val="7FFF89BD"/>
    <w:rsid w:val="8E27B675"/>
    <w:rsid w:val="8FECD63A"/>
    <w:rsid w:val="957F07CA"/>
    <w:rsid w:val="9B7AF3CF"/>
    <w:rsid w:val="9B7E40FF"/>
    <w:rsid w:val="9EDEFCBB"/>
    <w:rsid w:val="9FDD54AC"/>
    <w:rsid w:val="A35C31DD"/>
    <w:rsid w:val="A3E4F8B0"/>
    <w:rsid w:val="A58EAE77"/>
    <w:rsid w:val="A6F66617"/>
    <w:rsid w:val="A7F6154B"/>
    <w:rsid w:val="AA57956F"/>
    <w:rsid w:val="AB8FA9B6"/>
    <w:rsid w:val="AFBF654B"/>
    <w:rsid w:val="B5BAF310"/>
    <w:rsid w:val="B5BB9C88"/>
    <w:rsid w:val="B7BF4153"/>
    <w:rsid w:val="B7E8BA1C"/>
    <w:rsid w:val="BA9FA69A"/>
    <w:rsid w:val="BB4F26E5"/>
    <w:rsid w:val="BBB79CEA"/>
    <w:rsid w:val="BBFB36C2"/>
    <w:rsid w:val="BC6FC06D"/>
    <w:rsid w:val="BCDDE035"/>
    <w:rsid w:val="BDEFF6A9"/>
    <w:rsid w:val="BE9F6281"/>
    <w:rsid w:val="BF62C985"/>
    <w:rsid w:val="BF7D6038"/>
    <w:rsid w:val="BFBBC968"/>
    <w:rsid w:val="BFEFC222"/>
    <w:rsid w:val="BFEFE27B"/>
    <w:rsid w:val="BFF7F292"/>
    <w:rsid w:val="BFFBA97B"/>
    <w:rsid w:val="BFFC6CB1"/>
    <w:rsid w:val="BFFE3733"/>
    <w:rsid w:val="BFFFA520"/>
    <w:rsid w:val="C3F4CE1B"/>
    <w:rsid w:val="CEFF9A23"/>
    <w:rsid w:val="D27F293E"/>
    <w:rsid w:val="D2EE69BF"/>
    <w:rsid w:val="D2FD074E"/>
    <w:rsid w:val="D54F6E1A"/>
    <w:rsid w:val="D59A9370"/>
    <w:rsid w:val="D5F57C3E"/>
    <w:rsid w:val="D6B326FD"/>
    <w:rsid w:val="D6E9F013"/>
    <w:rsid w:val="D7FD7697"/>
    <w:rsid w:val="D7FF5ABA"/>
    <w:rsid w:val="D8DFAE08"/>
    <w:rsid w:val="DAE375D0"/>
    <w:rsid w:val="DBEDAFE1"/>
    <w:rsid w:val="DBFEA1C3"/>
    <w:rsid w:val="DCE08E92"/>
    <w:rsid w:val="DCFB68EB"/>
    <w:rsid w:val="DD7F0765"/>
    <w:rsid w:val="DD7FF16B"/>
    <w:rsid w:val="DDB5B60A"/>
    <w:rsid w:val="DDFD5662"/>
    <w:rsid w:val="DEDFD4D5"/>
    <w:rsid w:val="DF3B7A81"/>
    <w:rsid w:val="DF75E2FC"/>
    <w:rsid w:val="DF7F6FFD"/>
    <w:rsid w:val="DF7FEA22"/>
    <w:rsid w:val="DFAC9D2D"/>
    <w:rsid w:val="DFCD74A5"/>
    <w:rsid w:val="DFED12DE"/>
    <w:rsid w:val="DFF6C21E"/>
    <w:rsid w:val="E5ADDDE4"/>
    <w:rsid w:val="E6BB0156"/>
    <w:rsid w:val="E7BE4770"/>
    <w:rsid w:val="E7DF4D2D"/>
    <w:rsid w:val="E7FDFE94"/>
    <w:rsid w:val="E8E7603B"/>
    <w:rsid w:val="EAEFF153"/>
    <w:rsid w:val="EBFD4EFE"/>
    <w:rsid w:val="ECE79133"/>
    <w:rsid w:val="ECFBCD10"/>
    <w:rsid w:val="EDC231D3"/>
    <w:rsid w:val="EDFDCE3F"/>
    <w:rsid w:val="EDFF33E0"/>
    <w:rsid w:val="EDFF72DC"/>
    <w:rsid w:val="EE7F7154"/>
    <w:rsid w:val="EEBAA24D"/>
    <w:rsid w:val="EFAF0169"/>
    <w:rsid w:val="EFBE64A8"/>
    <w:rsid w:val="EFBFBBE4"/>
    <w:rsid w:val="EFFA132B"/>
    <w:rsid w:val="EFFBE6A0"/>
    <w:rsid w:val="EFFF0CB0"/>
    <w:rsid w:val="F2FEC7FF"/>
    <w:rsid w:val="F39F2B37"/>
    <w:rsid w:val="F39F7E07"/>
    <w:rsid w:val="F3B7C77F"/>
    <w:rsid w:val="F3DFE417"/>
    <w:rsid w:val="F5EF83EC"/>
    <w:rsid w:val="F70F66C7"/>
    <w:rsid w:val="F73F8965"/>
    <w:rsid w:val="F7BFEFAF"/>
    <w:rsid w:val="F837EF8B"/>
    <w:rsid w:val="F94ECB11"/>
    <w:rsid w:val="FAFBD06F"/>
    <w:rsid w:val="FAFF5EF1"/>
    <w:rsid w:val="FAFFE485"/>
    <w:rsid w:val="FAFFE7F0"/>
    <w:rsid w:val="FBB9D79E"/>
    <w:rsid w:val="FBEE6109"/>
    <w:rsid w:val="FBFBAA3A"/>
    <w:rsid w:val="FBFC8D84"/>
    <w:rsid w:val="FBFD2BA5"/>
    <w:rsid w:val="FCFF22DA"/>
    <w:rsid w:val="FD6AC818"/>
    <w:rsid w:val="FDBBA776"/>
    <w:rsid w:val="FDBBE3F6"/>
    <w:rsid w:val="FDBF2AF3"/>
    <w:rsid w:val="FDBF3031"/>
    <w:rsid w:val="FDBF57DE"/>
    <w:rsid w:val="FDF3E63D"/>
    <w:rsid w:val="FE7D2910"/>
    <w:rsid w:val="FE9FAF2D"/>
    <w:rsid w:val="FECBA5F3"/>
    <w:rsid w:val="FEE29471"/>
    <w:rsid w:val="FEE5BF09"/>
    <w:rsid w:val="FEEB35D7"/>
    <w:rsid w:val="FEEE1462"/>
    <w:rsid w:val="FEFFBB0E"/>
    <w:rsid w:val="FF49729F"/>
    <w:rsid w:val="FF5E13D8"/>
    <w:rsid w:val="FF7912CF"/>
    <w:rsid w:val="FF79D33B"/>
    <w:rsid w:val="FF9C70BA"/>
    <w:rsid w:val="FF9FC309"/>
    <w:rsid w:val="FFABB4FA"/>
    <w:rsid w:val="FFB94A15"/>
    <w:rsid w:val="FFBC19A1"/>
    <w:rsid w:val="FFBE0901"/>
    <w:rsid w:val="FFD7597E"/>
    <w:rsid w:val="FFD7FFC6"/>
    <w:rsid w:val="FFDF34E5"/>
    <w:rsid w:val="FFEF959E"/>
    <w:rsid w:val="FFEFF2ED"/>
    <w:rsid w:val="FFF72F14"/>
    <w:rsid w:val="FFF96B9D"/>
    <w:rsid w:val="FFFDBA56"/>
    <w:rsid w:val="FFFF547C"/>
    <w:rsid w:val="FFFF89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9"/>
    <w:pPr>
      <w:keepNext/>
      <w:keepLines/>
      <w:spacing w:line="360" w:lineRule="auto"/>
      <w:outlineLvl w:val="1"/>
    </w:pPr>
    <w:rPr>
      <w:rFonts w:ascii="Times New Roman" w:hAnsi="Times New Roman"/>
      <w:b/>
      <w:bCs/>
      <w:sz w:val="3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qFormat/>
    <w:uiPriority w:val="0"/>
    <w:pPr>
      <w:jc w:val="left"/>
    </w:pPr>
  </w:style>
  <w:style w:type="paragraph" w:styleId="5">
    <w:name w:val="Body Text"/>
    <w:basedOn w:val="1"/>
    <w:next w:val="1"/>
    <w:qFormat/>
    <w:uiPriority w:val="0"/>
    <w:pPr>
      <w:spacing w:after="120"/>
    </w:pPr>
  </w:style>
  <w:style w:type="paragraph" w:styleId="6">
    <w:name w:val="footer"/>
    <w:basedOn w:val="1"/>
    <w:link w:val="23"/>
    <w:qFormat/>
    <w:uiPriority w:val="0"/>
    <w:pPr>
      <w:tabs>
        <w:tab w:val="center" w:pos="4153"/>
        <w:tab w:val="right" w:pos="8306"/>
      </w:tabs>
      <w:snapToGrid w:val="0"/>
      <w:jc w:val="left"/>
    </w:pPr>
    <w:rPr>
      <w:sz w:val="18"/>
      <w:szCs w:val="18"/>
    </w:rPr>
  </w:style>
  <w:style w:type="paragraph" w:styleId="7">
    <w:name w:val="header"/>
    <w:basedOn w:val="1"/>
    <w:link w:val="22"/>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style>
  <w:style w:type="paragraph" w:styleId="9">
    <w:name w:val="annotation subject"/>
    <w:basedOn w:val="4"/>
    <w:next w:val="4"/>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样式 宋体 行距: 1.5 倍行距"/>
    <w:basedOn w:val="1"/>
    <w:qFormat/>
    <w:uiPriority w:val="99"/>
    <w:pPr>
      <w:jc w:val="center"/>
    </w:pPr>
    <w:rPr>
      <w:b/>
      <w:bCs/>
    </w:rPr>
  </w:style>
  <w:style w:type="paragraph" w:customStyle="1" w:styleId="15">
    <w:name w:val="List Paragraph1"/>
    <w:basedOn w:val="1"/>
    <w:qFormat/>
    <w:uiPriority w:val="99"/>
    <w:pPr>
      <w:ind w:firstLine="420" w:firstLineChars="200"/>
    </w:pPr>
  </w:style>
  <w:style w:type="paragraph" w:customStyle="1" w:styleId="16">
    <w:name w:val="列出段落1"/>
    <w:basedOn w:val="1"/>
    <w:qFormat/>
    <w:uiPriority w:val="0"/>
    <w:pPr>
      <w:ind w:firstLine="420" w:firstLineChars="200"/>
    </w:pPr>
  </w:style>
  <w:style w:type="table" w:customStyle="1" w:styleId="17">
    <w:name w:val="Table Normal"/>
    <w:unhideWhenUsed/>
    <w:qFormat/>
    <w:uiPriority w:val="0"/>
    <w:tblPr>
      <w:tblCellMar>
        <w:top w:w="0" w:type="dxa"/>
        <w:left w:w="0" w:type="dxa"/>
        <w:bottom w:w="0" w:type="dxa"/>
        <w:right w:w="0" w:type="dxa"/>
      </w:tblCellMar>
    </w:tblPr>
  </w:style>
  <w:style w:type="character" w:customStyle="1" w:styleId="18">
    <w:name w:val="fontstyle01"/>
    <w:basedOn w:val="12"/>
    <w:qFormat/>
    <w:uiPriority w:val="0"/>
    <w:rPr>
      <w:rFonts w:ascii="仿宋_GB2312" w:hAnsi="仿宋_GB2312" w:eastAsia="仿宋_GB2312" w:cs="仿宋_GB2312"/>
      <w:color w:val="000000"/>
      <w:sz w:val="32"/>
      <w:szCs w:val="32"/>
    </w:rPr>
  </w:style>
  <w:style w:type="paragraph" w:customStyle="1" w:styleId="19">
    <w:name w:val="正文文本1"/>
    <w:basedOn w:val="1"/>
    <w:qFormat/>
    <w:uiPriority w:val="0"/>
    <w:pPr>
      <w:spacing w:after="120"/>
    </w:pPr>
  </w:style>
  <w:style w:type="character" w:customStyle="1" w:styleId="20">
    <w:name w:val="批注文字 字符"/>
    <w:basedOn w:val="12"/>
    <w:link w:val="4"/>
    <w:qFormat/>
    <w:uiPriority w:val="0"/>
    <w:rPr>
      <w:rFonts w:ascii="Calibri" w:hAnsi="Calibri"/>
      <w:kern w:val="2"/>
      <w:sz w:val="21"/>
      <w:szCs w:val="24"/>
    </w:rPr>
  </w:style>
  <w:style w:type="character" w:customStyle="1" w:styleId="21">
    <w:name w:val="批注主题 字符"/>
    <w:basedOn w:val="20"/>
    <w:link w:val="9"/>
    <w:qFormat/>
    <w:uiPriority w:val="0"/>
    <w:rPr>
      <w:rFonts w:ascii="Calibri" w:hAnsi="Calibri"/>
      <w:b/>
      <w:bCs/>
      <w:kern w:val="2"/>
      <w:sz w:val="21"/>
      <w:szCs w:val="24"/>
    </w:rPr>
  </w:style>
  <w:style w:type="character" w:customStyle="1" w:styleId="22">
    <w:name w:val="页眉 字符"/>
    <w:basedOn w:val="12"/>
    <w:link w:val="7"/>
    <w:qFormat/>
    <w:uiPriority w:val="0"/>
    <w:rPr>
      <w:rFonts w:ascii="Calibri" w:hAnsi="Calibri"/>
      <w:kern w:val="2"/>
      <w:sz w:val="18"/>
      <w:szCs w:val="18"/>
    </w:rPr>
  </w:style>
  <w:style w:type="character" w:customStyle="1" w:styleId="23">
    <w:name w:val="页脚 字符"/>
    <w:basedOn w:val="12"/>
    <w:link w:val="6"/>
    <w:qFormat/>
    <w:uiPriority w:val="0"/>
    <w:rPr>
      <w:rFonts w:ascii="Calibri" w:hAnsi="Calibri"/>
      <w:kern w:val="2"/>
      <w:sz w:val="18"/>
      <w:szCs w:val="18"/>
    </w:rPr>
  </w:style>
  <w:style w:type="paragraph" w:customStyle="1" w:styleId="24">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1048</Words>
  <Characters>1106</Characters>
  <Lines>10</Lines>
  <Paragraphs>2</Paragraphs>
  <TotalTime>13</TotalTime>
  <ScaleCrop>false</ScaleCrop>
  <LinksUpToDate>false</LinksUpToDate>
  <CharactersWithSpaces>1109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2023-02-22T14:53:00Z</dcterms:created>
  <dc:creator>huawei004</dc:creator>
  <cp:lastModifiedBy>毅</cp:lastModifiedBy>
  <cp:lastPrinted>2024-12-31T02:23:00Z</cp:lastPrinted>
  <dcterms:modified xsi:type="dcterms:W3CDTF">2025-01-02T05:03:01Z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799806B3B1B54CE79CD68E686E60CE50_13</vt:lpwstr>
  </property>
  <property fmtid="{D5CDD505-2E9C-101B-9397-08002B2CF9AE}" pid="4" name="KSOTemplateDocerSaveRecord">
    <vt:lpwstr>eyJoZGlkIjoiM2JhNmMyNTg1MzJhYWZkOTI0MzMzZGE0MzVmNjNhZmIiLCJ1c2VySWQiOiIzODA4OTk2ODAifQ==</vt:lpwstr>
  </property>
</Properties>
</file>