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8800B">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color w:val="auto"/>
          <w:spacing w:val="-14"/>
          <w:sz w:val="44"/>
          <w:szCs w:val="44"/>
          <w:highlight w:val="none"/>
        </w:rPr>
      </w:pPr>
      <w:bookmarkStart w:id="1" w:name="_GoBack"/>
      <w:bookmarkEnd w:id="1"/>
      <w:r>
        <w:rPr>
          <w:rFonts w:hint="eastAsia" w:ascii="方正小标宋_GBK" w:hAnsi="方正小标宋_GBK" w:eastAsia="方正小标宋_GBK" w:cs="方正小标宋_GBK"/>
          <w:color w:val="auto"/>
          <w:spacing w:val="-14"/>
          <w:sz w:val="44"/>
          <w:szCs w:val="44"/>
          <w:highlight w:val="none"/>
        </w:rPr>
        <w:t>南山区促进产业高质量发展专项资金——</w:t>
      </w:r>
    </w:p>
    <w:p w14:paraId="18D4849A">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color w:val="auto"/>
          <w:spacing w:val="-14"/>
          <w:sz w:val="44"/>
          <w:szCs w:val="44"/>
          <w:highlight w:val="none"/>
        </w:rPr>
      </w:pPr>
      <w:r>
        <w:rPr>
          <w:rFonts w:hint="eastAsia" w:ascii="方正小标宋_GBK" w:hAnsi="方正小标宋_GBK" w:eastAsia="方正小标宋_GBK" w:cs="方正小标宋_GBK"/>
          <w:color w:val="auto"/>
          <w:spacing w:val="-14"/>
          <w:sz w:val="44"/>
          <w:szCs w:val="44"/>
          <w:highlight w:val="none"/>
        </w:rPr>
        <w:t>区文化广电旅游体育局分项资金</w:t>
      </w:r>
    </w:p>
    <w:p w14:paraId="3DA50C6D">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color w:val="auto"/>
          <w:spacing w:val="-14"/>
          <w:sz w:val="44"/>
          <w:szCs w:val="44"/>
          <w:highlight w:val="none"/>
        </w:rPr>
      </w:pPr>
      <w:r>
        <w:rPr>
          <w:rFonts w:hint="eastAsia" w:ascii="方正小标宋_GBK" w:hAnsi="方正小标宋_GBK" w:eastAsia="方正小标宋_GBK" w:cs="方正小标宋_GBK"/>
          <w:color w:val="auto"/>
          <w:spacing w:val="-14"/>
          <w:sz w:val="44"/>
          <w:szCs w:val="44"/>
          <w:highlight w:val="none"/>
        </w:rPr>
        <w:t>支持研发电竞游戏及衍生内容</w:t>
      </w:r>
    </w:p>
    <w:p w14:paraId="7CC8D37D">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pacing w:val="-14"/>
          <w:sz w:val="44"/>
          <w:szCs w:val="44"/>
          <w:highlight w:val="none"/>
          <w:lang w:val="en-US" w:eastAsia="zh-CN"/>
        </w:rPr>
        <w:t>-电竞衍生内容项目操作规程</w:t>
      </w:r>
    </w:p>
    <w:p w14:paraId="2218E1DB">
      <w:pPr>
        <w:adjustRightInd w:val="0"/>
        <w:snapToGrid w:val="0"/>
        <w:spacing w:line="560" w:lineRule="exact"/>
        <w:jc w:val="center"/>
        <w:rPr>
          <w:rFonts w:eastAsia="黑体"/>
          <w:color w:val="auto"/>
          <w:sz w:val="32"/>
          <w:szCs w:val="32"/>
          <w:highlight w:val="none"/>
        </w:rPr>
      </w:pPr>
      <w:r>
        <w:rPr>
          <w:rFonts w:hint="eastAsia" w:eastAsia="黑体"/>
          <w:b/>
          <w:bCs/>
          <w:color w:val="auto"/>
          <w:sz w:val="32"/>
          <w:szCs w:val="32"/>
          <w:highlight w:val="none"/>
        </w:rPr>
        <w:t>（</w:t>
      </w:r>
      <w:r>
        <w:rPr>
          <w:rFonts w:eastAsia="黑体"/>
          <w:b/>
          <w:bCs/>
          <w:color w:val="auto"/>
          <w:sz w:val="32"/>
          <w:szCs w:val="32"/>
          <w:highlight w:val="none"/>
        </w:rPr>
        <w:t>20</w:t>
      </w:r>
      <w:r>
        <w:rPr>
          <w:rFonts w:hint="eastAsia" w:eastAsia="黑体"/>
          <w:b/>
          <w:bCs/>
          <w:color w:val="auto"/>
          <w:sz w:val="32"/>
          <w:szCs w:val="32"/>
          <w:highlight w:val="none"/>
        </w:rPr>
        <w:t>2</w:t>
      </w:r>
      <w:r>
        <w:rPr>
          <w:rFonts w:hint="eastAsia" w:eastAsia="黑体"/>
          <w:b/>
          <w:bCs/>
          <w:color w:val="auto"/>
          <w:sz w:val="32"/>
          <w:szCs w:val="32"/>
          <w:highlight w:val="none"/>
          <w:lang w:val="en-US" w:eastAsia="zh-CN"/>
        </w:rPr>
        <w:t>6</w:t>
      </w:r>
      <w:r>
        <w:rPr>
          <w:rFonts w:hint="eastAsia" w:eastAsia="黑体"/>
          <w:b/>
          <w:bCs/>
          <w:color w:val="auto"/>
          <w:sz w:val="32"/>
          <w:szCs w:val="32"/>
          <w:highlight w:val="none"/>
        </w:rPr>
        <w:t>年）</w:t>
      </w:r>
    </w:p>
    <w:p w14:paraId="5DE1C38B">
      <w:pPr>
        <w:adjustRightInd w:val="0"/>
        <w:snapToGrid w:val="0"/>
        <w:spacing w:line="560" w:lineRule="exact"/>
        <w:rPr>
          <w:rFonts w:hAnsi="仿宋" w:eastAsia="仿宋"/>
          <w:color w:val="auto"/>
          <w:sz w:val="32"/>
          <w:szCs w:val="32"/>
          <w:highlight w:val="none"/>
        </w:rPr>
      </w:pPr>
    </w:p>
    <w:p w14:paraId="611C1DCC">
      <w:pPr>
        <w:widowControl/>
        <w:adjustRightInd w:val="0"/>
        <w:snapToGrid w:val="0"/>
        <w:spacing w:line="560" w:lineRule="exact"/>
        <w:ind w:firstLine="537" w:firstLineChars="168"/>
        <w:rPr>
          <w:rFonts w:eastAsia="黑体"/>
          <w:color w:val="auto"/>
          <w:sz w:val="32"/>
          <w:szCs w:val="32"/>
          <w:highlight w:val="none"/>
        </w:rPr>
      </w:pPr>
      <w:r>
        <w:rPr>
          <w:rFonts w:hint="eastAsia" w:hAnsi="黑体" w:eastAsia="黑体"/>
          <w:color w:val="auto"/>
          <w:sz w:val="32"/>
          <w:szCs w:val="32"/>
          <w:highlight w:val="none"/>
        </w:rPr>
        <w:t>一、政策内容</w:t>
      </w:r>
    </w:p>
    <w:p w14:paraId="51DB60CC">
      <w:pPr>
        <w:adjustRightInd w:val="0"/>
        <w:snapToGrid w:val="0"/>
        <w:spacing w:line="560" w:lineRule="exact"/>
        <w:ind w:firstLine="640" w:firstLineChars="200"/>
        <w:rPr>
          <w:rFonts w:hAnsi="仿宋" w:eastAsia="仿宋"/>
          <w:color w:val="auto"/>
          <w:kern w:val="0"/>
          <w:sz w:val="32"/>
          <w:szCs w:val="32"/>
          <w:highlight w:val="none"/>
        </w:rPr>
      </w:pPr>
      <w:r>
        <w:rPr>
          <w:rFonts w:hint="eastAsia" w:ascii="仿宋_GB2312" w:hAnsi="仿宋" w:eastAsia="仿宋_GB2312" w:cs="仿宋"/>
          <w:bCs/>
          <w:color w:val="auto"/>
          <w:sz w:val="32"/>
          <w:highlight w:val="none"/>
        </w:rPr>
        <w:t>支持动漫和影视企业创作以电竞为主题的动漫、电影、电视剧、网络剧等，在</w:t>
      </w:r>
      <w:r>
        <w:rPr>
          <w:rFonts w:hint="eastAsia" w:ascii="仿宋_GB2312" w:hAnsi="宋体" w:eastAsia="仿宋_GB2312" w:cs="仿宋"/>
          <w:color w:val="auto"/>
          <w:sz w:val="32"/>
          <w:szCs w:val="32"/>
          <w:highlight w:val="none"/>
        </w:rPr>
        <w:t>院线、省级以上电视台或重点网络视频平台播出的，</w:t>
      </w:r>
      <w:r>
        <w:rPr>
          <w:rFonts w:hint="eastAsia" w:ascii="仿宋_GB2312" w:hAnsi="宋体" w:eastAsia="仿宋_GB2312"/>
          <w:color w:val="auto"/>
          <w:sz w:val="32"/>
          <w:szCs w:val="32"/>
          <w:highlight w:val="none"/>
        </w:rPr>
        <w:t>按照播出首年度营收的15%给予奖励，</w:t>
      </w:r>
      <w:r>
        <w:rPr>
          <w:rFonts w:hint="eastAsia" w:ascii="仿宋_GB2312" w:hAnsi="宋体" w:eastAsia="仿宋_GB2312" w:cs="仿宋"/>
          <w:color w:val="auto"/>
          <w:sz w:val="32"/>
          <w:szCs w:val="32"/>
          <w:highlight w:val="none"/>
        </w:rPr>
        <w:t>每家单位每年不超过100万元。</w:t>
      </w:r>
    </w:p>
    <w:p w14:paraId="488EFACB">
      <w:pPr>
        <w:widowControl/>
        <w:numPr>
          <w:ilvl w:val="0"/>
          <w:numId w:val="0"/>
        </w:numPr>
        <w:adjustRightInd w:val="0"/>
        <w:snapToGrid w:val="0"/>
        <w:spacing w:line="560" w:lineRule="exact"/>
        <w:ind w:firstLine="537" w:firstLineChars="168"/>
        <w:rPr>
          <w:rFonts w:hint="eastAsia" w:ascii="黑体" w:hAnsi="黑体" w:eastAsia="黑体"/>
          <w:bCs/>
          <w:kern w:val="2"/>
          <w:sz w:val="32"/>
          <w:szCs w:val="32"/>
          <w:lang w:eastAsia="zh-CN" w:bidi="ar-SA"/>
        </w:rPr>
      </w:pPr>
      <w:r>
        <w:rPr>
          <w:rFonts w:hint="eastAsia" w:ascii="黑体" w:hAnsi="黑体" w:eastAsia="黑体" w:cs="Times New Roman"/>
          <w:bCs/>
          <w:kern w:val="2"/>
          <w:sz w:val="32"/>
          <w:szCs w:val="32"/>
          <w:lang w:val="en-US" w:eastAsia="zh-CN" w:bidi="ar-SA"/>
        </w:rPr>
        <w:t>二、</w:t>
      </w:r>
      <w:r>
        <w:rPr>
          <w:rFonts w:hint="eastAsia" w:ascii="黑体" w:hAnsi="黑体" w:eastAsia="黑体"/>
          <w:bCs/>
          <w:kern w:val="2"/>
          <w:sz w:val="32"/>
          <w:szCs w:val="32"/>
          <w:lang w:eastAsia="zh-CN" w:bidi="ar-SA"/>
        </w:rPr>
        <w:t>设定依据</w:t>
      </w:r>
    </w:p>
    <w:p w14:paraId="6C5566D7">
      <w:pPr>
        <w:adjustRightInd w:val="0"/>
        <w:snapToGrid w:val="0"/>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kern w:val="0"/>
          <w:sz w:val="32"/>
          <w:szCs w:val="32"/>
          <w:highlight w:val="none"/>
        </w:rPr>
        <w:t>为鼓励电竞游戏衍生品开发，支持以电竞为主题的数字内容在电影院线、省级以上电视台和重点网络平台上播出，根据《南山区促进现代产业高质量发展专项资金管理办法》和《</w:t>
      </w:r>
      <w:r>
        <w:rPr>
          <w:rFonts w:hint="eastAsia" w:ascii="仿宋_GB2312" w:hAnsi="仿宋" w:eastAsia="仿宋_GB2312"/>
          <w:color w:val="auto"/>
          <w:sz w:val="32"/>
          <w:szCs w:val="32"/>
          <w:highlight w:val="none"/>
        </w:rPr>
        <w:t>南山区</w:t>
      </w:r>
      <w:r>
        <w:rPr>
          <w:rFonts w:hint="eastAsia" w:ascii="仿宋_GB2312" w:hAnsi="仿宋" w:eastAsia="仿宋_GB2312"/>
          <w:color w:val="auto"/>
          <w:sz w:val="32"/>
          <w:szCs w:val="32"/>
          <w:highlight w:val="none"/>
          <w:lang w:val="en-US" w:eastAsia="zh-CN"/>
        </w:rPr>
        <w:t>促进</w:t>
      </w:r>
      <w:r>
        <w:rPr>
          <w:rFonts w:hint="eastAsia" w:ascii="仿宋_GB2312" w:hAnsi="仿宋" w:eastAsia="仿宋_GB2312"/>
          <w:color w:val="auto"/>
          <w:sz w:val="32"/>
          <w:szCs w:val="32"/>
          <w:highlight w:val="none"/>
        </w:rPr>
        <w:t>电竞产业发展专项扶持措施</w:t>
      </w:r>
      <w:r>
        <w:rPr>
          <w:rFonts w:hint="eastAsia" w:ascii="仿宋_GB2312" w:hAnsi="仿宋" w:eastAsia="仿宋_GB2312"/>
          <w:color w:val="auto"/>
          <w:kern w:val="0"/>
          <w:sz w:val="32"/>
          <w:szCs w:val="32"/>
          <w:highlight w:val="none"/>
        </w:rPr>
        <w:t>》，</w:t>
      </w:r>
      <w:r>
        <w:rPr>
          <w:rFonts w:hint="eastAsia" w:ascii="仿宋_GB2312" w:hAnsi="仿宋" w:eastAsia="仿宋_GB2312"/>
          <w:color w:val="auto"/>
          <w:sz w:val="32"/>
          <w:szCs w:val="32"/>
          <w:highlight w:val="none"/>
        </w:rPr>
        <w:t>制定本操作规程。</w:t>
      </w:r>
    </w:p>
    <w:p w14:paraId="153814FD">
      <w:pPr>
        <w:widowControl/>
        <w:adjustRightInd w:val="0"/>
        <w:snapToGrid w:val="0"/>
        <w:spacing w:line="560" w:lineRule="exact"/>
        <w:ind w:firstLine="640" w:firstLineChars="200"/>
        <w:rPr>
          <w:rFonts w:eastAsia="黑体"/>
          <w:color w:val="000000" w:themeColor="text1"/>
          <w:sz w:val="32"/>
          <w:szCs w:val="32"/>
          <w14:textFill>
            <w14:solidFill>
              <w14:schemeClr w14:val="tx1"/>
            </w14:solidFill>
          </w14:textFill>
        </w:rPr>
      </w:pPr>
      <w:r>
        <w:rPr>
          <w:rFonts w:hint="eastAsia" w:hAnsi="黑体" w:eastAsia="黑体"/>
          <w:color w:val="000000" w:themeColor="text1"/>
          <w:sz w:val="32"/>
          <w:szCs w:val="32"/>
          <w14:textFill>
            <w14:solidFill>
              <w14:schemeClr w14:val="tx1"/>
            </w14:solidFill>
          </w14:textFill>
        </w:rPr>
        <w:t>三、申请条件</w:t>
      </w:r>
    </w:p>
    <w:p w14:paraId="39FF707C">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（一）</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基本条件</w:t>
      </w:r>
      <w:r>
        <w:rPr>
          <w:rFonts w:hint="eastAsia" w:ascii="仿宋_GB2312" w:hAnsi="仿宋" w:eastAsia="仿宋_GB2312" w:cs="仿宋"/>
          <w:color w:val="000000" w:themeColor="text1"/>
          <w:sz w:val="32"/>
          <w:szCs w:val="32"/>
          <w:highlight w:val="none"/>
          <w14:textFill>
            <w14:solidFill>
              <w14:schemeClr w14:val="tx1"/>
            </w14:solidFill>
          </w14:textFill>
        </w:rPr>
        <w:t>：</w:t>
      </w:r>
    </w:p>
    <w:p w14:paraId="1E3F6711">
      <w:pPr>
        <w:widowControl/>
        <w:shd w:val="clear"/>
        <w:spacing w:line="560" w:lineRule="exact"/>
        <w:ind w:firstLine="640" w:firstLineChars="200"/>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1.</w:t>
      </w:r>
      <w:r>
        <w:rPr>
          <w:rFonts w:hint="eastAsia" w:ascii="仿宋_GB2312" w:hAnsi="仿宋" w:eastAsia="仿宋_GB2312" w:cs="仿宋"/>
          <w:color w:val="000000" w:themeColor="text1"/>
          <w:sz w:val="32"/>
          <w:szCs w:val="32"/>
          <w:highlight w:val="none"/>
          <w14:textFill>
            <w14:solidFill>
              <w14:schemeClr w14:val="tx1"/>
            </w14:solidFill>
          </w14:textFill>
        </w:rPr>
        <w:t>在南山辖区依法从事实际经营</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w:t>
      </w:r>
      <w:r>
        <w:rPr>
          <w:rFonts w:hint="eastAsia" w:ascii="仿宋_GB2312" w:hAnsi="仿宋" w:eastAsia="仿宋_GB2312" w:cs="仿宋"/>
          <w:color w:val="000000" w:themeColor="text1"/>
          <w:sz w:val="32"/>
          <w:szCs w:val="32"/>
          <w:highlight w:val="none"/>
          <w14:textFill>
            <w14:solidFill>
              <w14:schemeClr w14:val="tx1"/>
            </w14:solidFill>
          </w14:textFill>
        </w:rPr>
        <w:t>履行相关数据申报义务、守法经营、诚实守信、有规范的财务管理制度；</w:t>
      </w:r>
    </w:p>
    <w:p w14:paraId="0C4B1F4D">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sz w:val="32"/>
          <w:szCs w:val="32"/>
          <w:highlight w:val="none"/>
          <w:lang w:eastAsia="zh-CN"/>
          <w14:textFill>
            <w14:solidFill>
              <w14:schemeClr w14:val="tx1"/>
            </w14:solidFill>
          </w14:textFill>
        </w:rPr>
      </w:pPr>
      <w:r>
        <w:rPr>
          <w:rFonts w:hint="eastAsia" w:ascii="仿宋_GB2312" w:hAnsi="仿宋" w:eastAsia="仿宋_GB2312" w:cs="仿宋"/>
          <w:color w:val="000000" w:themeColor="text1"/>
          <w:sz w:val="32"/>
          <w:szCs w:val="32"/>
          <w:highlight w:val="none"/>
          <w:lang w:val="en-US" w:eastAsia="zh-CN"/>
          <w14:textFill>
            <w14:solidFill>
              <w14:schemeClr w14:val="tx1"/>
            </w14:solidFill>
          </w14:textFill>
        </w:rPr>
        <w:t>2</w:t>
      </w:r>
      <w:r>
        <w:rPr>
          <w:rFonts w:hint="eastAsia" w:ascii="仿宋_GB2312" w:hAnsi="仿宋" w:eastAsia="仿宋_GB2312" w:cs="仿宋"/>
          <w:color w:val="000000" w:themeColor="text1"/>
          <w:sz w:val="32"/>
          <w:szCs w:val="32"/>
          <w:highlight w:val="none"/>
          <w14:textFill>
            <w14:solidFill>
              <w14:schemeClr w14:val="tx1"/>
            </w14:solidFill>
          </w14:textFill>
        </w:rPr>
        <w:t>.应积极配合区委、区政府相关工作</w:t>
      </w:r>
      <w:r>
        <w:rPr>
          <w:rFonts w:hint="eastAsia" w:ascii="仿宋_GB2312" w:hAnsi="仿宋" w:eastAsia="仿宋_GB2312" w:cs="仿宋"/>
          <w:color w:val="000000" w:themeColor="text1"/>
          <w:sz w:val="32"/>
          <w:szCs w:val="32"/>
          <w:highlight w:val="none"/>
          <w:lang w:eastAsia="zh-CN"/>
          <w14:textFill>
            <w14:solidFill>
              <w14:schemeClr w14:val="tx1"/>
            </w14:solidFill>
          </w14:textFill>
        </w:rPr>
        <w:t>；</w:t>
      </w:r>
    </w:p>
    <w:p w14:paraId="39D7A685">
      <w:pPr>
        <w:widowControl/>
        <w:adjustRightInd/>
        <w:snapToGrid/>
        <w:spacing w:line="560" w:lineRule="exact"/>
        <w:ind w:firstLine="640" w:firstLineChars="200"/>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14:textFill>
            <w14:solidFill>
              <w14:schemeClr w14:val="tx1"/>
            </w14:solidFill>
          </w14:textFill>
        </w:rPr>
        <w:t>（二）有下列情况之一的，本项资金不予资助：</w:t>
      </w:r>
    </w:p>
    <w:p w14:paraId="382F0EFC">
      <w:pPr>
        <w:widowControl/>
        <w:adjustRightInd/>
        <w:snapToGrid/>
        <w:spacing w:line="560" w:lineRule="exact"/>
        <w:ind w:firstLine="640" w:firstLineChars="200"/>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1.</w:t>
      </w:r>
      <w:r>
        <w:rPr>
          <w:rFonts w:hint="eastAsia" w:ascii="仿宋_GB2312" w:hAnsi="仿宋" w:eastAsia="仿宋_GB2312" w:cs="仿宋"/>
          <w:color w:val="000000" w:themeColor="text1"/>
          <w:sz w:val="32"/>
          <w:szCs w:val="32"/>
          <w:highlight w:val="none"/>
          <w14:textFill>
            <w14:solidFill>
              <w14:schemeClr w14:val="tx1"/>
            </w14:solidFill>
          </w14:textFill>
        </w:rPr>
        <w:t>被依法依规纳入严重失信主体名单或失信惩戒措施清单的；</w:t>
      </w:r>
    </w:p>
    <w:p w14:paraId="7B475A23">
      <w:pPr>
        <w:widowControl/>
        <w:adjustRightInd w:val="0"/>
        <w:snapToGrid w:val="0"/>
        <w:spacing w:line="560" w:lineRule="exact"/>
        <w:ind w:firstLine="640" w:firstLineChars="200"/>
        <w:rPr>
          <w:rFonts w:hint="eastAsia" w:ascii="仿宋_GB2312" w:hAnsi="仿宋" w:eastAsia="仿宋_GB2312" w:cs="仿宋"/>
          <w:color w:val="000000" w:themeColor="text1"/>
          <w:sz w:val="32"/>
          <w:szCs w:val="32"/>
          <w:highlight w:val="none"/>
          <w14:textFill>
            <w14:solidFill>
              <w14:schemeClr w14:val="tx1"/>
            </w14:solidFill>
          </w14:textFill>
        </w:rPr>
      </w:pPr>
      <w:r>
        <w:rPr>
          <w:rFonts w:hint="eastAsia" w:ascii="仿宋_GB2312" w:hAnsi="仿宋" w:eastAsia="仿宋_GB2312" w:cs="仿宋"/>
          <w:color w:val="000000" w:themeColor="text1"/>
          <w:sz w:val="32"/>
          <w:szCs w:val="32"/>
          <w:highlight w:val="none"/>
          <w:lang w:eastAsia="zh-CN"/>
          <w14:textFill>
            <w14:solidFill>
              <w14:schemeClr w14:val="tx1"/>
            </w14:solidFill>
          </w14:textFill>
        </w:rPr>
        <w:t>2.</w:t>
      </w:r>
      <w:r>
        <w:rPr>
          <w:rFonts w:hint="eastAsia" w:ascii="仿宋_GB2312" w:hAnsi="仿宋" w:eastAsia="仿宋_GB2312" w:cs="仿宋"/>
          <w:color w:val="000000" w:themeColor="text1"/>
          <w:sz w:val="32"/>
          <w:szCs w:val="32"/>
          <w:highlight w:val="none"/>
          <w14:textFill>
            <w14:solidFill>
              <w14:schemeClr w14:val="tx1"/>
            </w14:solidFill>
          </w14:textFill>
        </w:rPr>
        <w:t>提出资助申请后，申报主体项目实施地或数据申报地发生变化，不再符合申报条件的。</w:t>
      </w:r>
    </w:p>
    <w:p w14:paraId="7F2D7F41">
      <w:pPr>
        <w:widowControl/>
        <w:adjustRightInd w:val="0"/>
        <w:snapToGrid w:val="0"/>
        <w:spacing w:line="560" w:lineRule="exact"/>
        <w:ind w:firstLine="640" w:firstLineChars="200"/>
        <w:rPr>
          <w:rFonts w:hint="default" w:eastAsia="黑体"/>
          <w:color w:val="000000" w:themeColor="text1"/>
          <w:sz w:val="32"/>
          <w:szCs w:val="32"/>
          <w:highlight w:val="none"/>
          <w:lang w:val="en-US" w:eastAsia="zh-CN"/>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四</w:t>
      </w:r>
      <w:r>
        <w:rPr>
          <w:rFonts w:hint="eastAsia" w:hAnsi="黑体" w:eastAsia="黑体"/>
          <w:color w:val="000000" w:themeColor="text1"/>
          <w:sz w:val="32"/>
          <w:szCs w:val="32"/>
          <w:highlight w:val="none"/>
          <w14:textFill>
            <w14:solidFill>
              <w14:schemeClr w14:val="tx1"/>
            </w14:solidFill>
          </w14:textFill>
        </w:rPr>
        <w:t>、申报</w:t>
      </w:r>
      <w:r>
        <w:rPr>
          <w:rFonts w:hint="eastAsia" w:hAnsi="黑体" w:eastAsia="黑体"/>
          <w:color w:val="000000" w:themeColor="text1"/>
          <w:sz w:val="32"/>
          <w:szCs w:val="32"/>
          <w:highlight w:val="none"/>
          <w:lang w:val="en-US" w:eastAsia="zh-CN"/>
          <w14:textFill>
            <w14:solidFill>
              <w14:schemeClr w14:val="tx1"/>
            </w14:solidFill>
          </w14:textFill>
        </w:rPr>
        <w:t>条件及说明</w:t>
      </w:r>
    </w:p>
    <w:p w14:paraId="6FB1A094">
      <w:pPr>
        <w:keepNext w:val="0"/>
        <w:keepLines w:val="0"/>
        <w:pageBreakBefore w:val="0"/>
        <w:widowControl w:val="0"/>
        <w:kinsoku/>
        <w:wordWrap/>
        <w:overflowPunct/>
        <w:topLinePunct w:val="0"/>
        <w:autoSpaceDE/>
        <w:bidi w:val="0"/>
        <w:adjustRightInd w:val="0"/>
        <w:snapToGrid w:val="0"/>
        <w:spacing w:line="560" w:lineRule="exact"/>
        <w:ind w:firstLine="640" w:firstLineChars="200"/>
        <w:textAlignment w:val="auto"/>
        <w:rPr>
          <w:rFonts w:ascii="仿宋_GB2312" w:hAnsi="仿宋" w:eastAsia="仿宋_GB2312" w:cs="Times New Roman"/>
          <w:color w:val="auto"/>
          <w:sz w:val="32"/>
          <w:szCs w:val="32"/>
          <w:highlight w:val="none"/>
        </w:rPr>
      </w:pPr>
      <w:r>
        <w:rPr>
          <w:rFonts w:hint="eastAsia" w:ascii="仿宋_GB2312" w:hAnsi="仿宋" w:eastAsia="仿宋_GB2312" w:cs="Times New Roman"/>
          <w:color w:val="auto"/>
          <w:sz w:val="32"/>
          <w:szCs w:val="32"/>
          <w:highlight w:val="none"/>
          <w:lang w:val="en-US" w:eastAsia="zh-CN"/>
        </w:rPr>
        <w:t>1.</w:t>
      </w:r>
      <w:r>
        <w:rPr>
          <w:rFonts w:hint="eastAsia" w:ascii="仿宋_GB2312" w:hAnsi="仿宋" w:eastAsia="仿宋_GB2312" w:cs="Times New Roman"/>
          <w:color w:val="auto"/>
          <w:sz w:val="32"/>
          <w:szCs w:val="32"/>
          <w:highlight w:val="none"/>
        </w:rPr>
        <w:t>电竞衍生内容，必须是以电竞为主题的</w:t>
      </w:r>
      <w:r>
        <w:rPr>
          <w:rFonts w:hint="eastAsia" w:ascii="仿宋_GB2312" w:hAnsi="仿宋" w:eastAsia="仿宋_GB2312" w:cs="仿宋"/>
          <w:bCs/>
          <w:color w:val="auto"/>
          <w:sz w:val="32"/>
          <w:highlight w:val="none"/>
        </w:rPr>
        <w:t>动漫、电影、电视剧、网络剧等作品</w:t>
      </w:r>
      <w:r>
        <w:rPr>
          <w:rFonts w:hint="eastAsia" w:ascii="仿宋_GB2312" w:hAnsi="仿宋" w:eastAsia="仿宋_GB2312" w:cs="Times New Roman"/>
          <w:color w:val="auto"/>
          <w:sz w:val="32"/>
          <w:szCs w:val="32"/>
          <w:highlight w:val="none"/>
        </w:rPr>
        <w:t>，且</w:t>
      </w:r>
      <w:r>
        <w:rPr>
          <w:rFonts w:hint="eastAsia" w:ascii="仿宋_GB2312" w:hAnsi="宋体" w:eastAsia="仿宋_GB2312" w:cs="宋体"/>
          <w:color w:val="auto"/>
          <w:spacing w:val="4"/>
          <w:kern w:val="0"/>
          <w:sz w:val="32"/>
          <w:szCs w:val="32"/>
          <w:highlight w:val="none"/>
        </w:rPr>
        <w:t>申报主体</w:t>
      </w:r>
      <w:r>
        <w:rPr>
          <w:rFonts w:hint="eastAsia" w:ascii="仿宋_GB2312" w:hAnsi="宋体" w:eastAsia="仿宋_GB2312" w:cs="宋体"/>
          <w:color w:val="auto"/>
          <w:spacing w:val="4"/>
          <w:kern w:val="0"/>
          <w:sz w:val="32"/>
          <w:szCs w:val="32"/>
          <w:highlight w:val="none"/>
          <w:lang w:val="en-US" w:eastAsia="zh-CN"/>
        </w:rPr>
        <w:t>须</w:t>
      </w:r>
      <w:r>
        <w:rPr>
          <w:rFonts w:hint="eastAsia" w:ascii="仿宋_GB2312" w:hAnsi="宋体" w:eastAsia="仿宋_GB2312" w:cs="宋体"/>
          <w:color w:val="auto"/>
          <w:spacing w:val="4"/>
          <w:kern w:val="0"/>
          <w:sz w:val="32"/>
          <w:szCs w:val="32"/>
          <w:highlight w:val="none"/>
        </w:rPr>
        <w:t>为</w:t>
      </w:r>
      <w:r>
        <w:rPr>
          <w:rFonts w:hint="eastAsia" w:ascii="仿宋_GB2312" w:hAnsi="仿宋" w:eastAsia="仿宋_GB2312" w:cs="Times New Roman"/>
          <w:color w:val="auto"/>
          <w:sz w:val="32"/>
          <w:szCs w:val="32"/>
          <w:highlight w:val="none"/>
        </w:rPr>
        <w:t>电竞衍生内容</w:t>
      </w:r>
      <w:r>
        <w:rPr>
          <w:rFonts w:hint="eastAsia" w:ascii="仿宋_GB2312" w:eastAsia="仿宋_GB2312"/>
          <w:color w:val="auto"/>
          <w:spacing w:val="4"/>
          <w:sz w:val="32"/>
          <w:szCs w:val="32"/>
          <w:highlight w:val="none"/>
          <w:lang w:eastAsia="zh-CN"/>
        </w:rPr>
        <w:t>开发商，</w:t>
      </w:r>
      <w:r>
        <w:rPr>
          <w:rFonts w:hint="eastAsia" w:ascii="仿宋_GB2312" w:eastAsia="仿宋_GB2312"/>
          <w:color w:val="auto"/>
          <w:spacing w:val="4"/>
          <w:sz w:val="32"/>
          <w:szCs w:val="32"/>
          <w:highlight w:val="none"/>
          <w:lang w:val="en-US" w:eastAsia="zh-CN"/>
        </w:rPr>
        <w:t>如</w:t>
      </w:r>
      <w:r>
        <w:rPr>
          <w:rFonts w:hint="eastAsia" w:ascii="仿宋_GB2312" w:hAnsi="宋体" w:eastAsia="仿宋_GB2312" w:cs="宋体"/>
          <w:color w:val="auto"/>
          <w:spacing w:val="4"/>
          <w:kern w:val="0"/>
          <w:sz w:val="32"/>
          <w:szCs w:val="32"/>
          <w:highlight w:val="none"/>
          <w:lang w:eastAsia="zh-CN"/>
        </w:rPr>
        <w:t>非第一出品方</w:t>
      </w:r>
      <w:r>
        <w:rPr>
          <w:rFonts w:hint="eastAsia" w:ascii="仿宋_GB2312" w:hAnsi="宋体" w:eastAsia="仿宋_GB2312" w:cs="宋体"/>
          <w:color w:val="auto"/>
          <w:spacing w:val="4"/>
          <w:kern w:val="0"/>
          <w:sz w:val="32"/>
          <w:szCs w:val="32"/>
          <w:highlight w:val="none"/>
          <w:lang w:val="en-US" w:eastAsia="zh-CN"/>
        </w:rPr>
        <w:t>还</w:t>
      </w:r>
      <w:r>
        <w:rPr>
          <w:rFonts w:hint="eastAsia" w:ascii="仿宋_GB2312" w:hAnsi="宋体" w:eastAsia="仿宋_GB2312" w:cs="宋体"/>
          <w:color w:val="auto"/>
          <w:spacing w:val="4"/>
          <w:kern w:val="0"/>
          <w:sz w:val="32"/>
          <w:szCs w:val="32"/>
          <w:highlight w:val="none"/>
          <w:lang w:eastAsia="zh-CN"/>
        </w:rPr>
        <w:t>需获得前位出品方的放弃申报声明</w:t>
      </w:r>
      <w:r>
        <w:rPr>
          <w:rFonts w:hint="eastAsia" w:ascii="仿宋_GB2312" w:hAnsi="宋体" w:eastAsia="仿宋_GB2312" w:cs="宋体"/>
          <w:color w:val="auto"/>
          <w:spacing w:val="4"/>
          <w:kern w:val="0"/>
          <w:sz w:val="32"/>
          <w:szCs w:val="32"/>
          <w:highlight w:val="none"/>
        </w:rPr>
        <w:t>；</w:t>
      </w:r>
    </w:p>
    <w:p w14:paraId="2CEA87B0">
      <w:pPr>
        <w:keepNext w:val="0"/>
        <w:keepLines w:val="0"/>
        <w:pageBreakBefore w:val="0"/>
        <w:widowControl w:val="0"/>
        <w:kinsoku/>
        <w:wordWrap/>
        <w:overflowPunct/>
        <w:topLinePunct w:val="0"/>
        <w:autoSpaceDE/>
        <w:bidi w:val="0"/>
        <w:adjustRightInd w:val="0"/>
        <w:snapToGrid w:val="0"/>
        <w:spacing w:line="560" w:lineRule="exact"/>
        <w:ind w:firstLine="656" w:firstLineChars="200"/>
        <w:textAlignment w:val="auto"/>
        <w:rPr>
          <w:rFonts w:hint="eastAsia" w:ascii="仿宋_GB2312" w:hAnsi="黑体" w:eastAsia="仿宋_GB2312"/>
          <w:color w:val="auto"/>
          <w:spacing w:val="4"/>
          <w:sz w:val="32"/>
          <w:highlight w:val="none"/>
        </w:rPr>
      </w:pPr>
      <w:r>
        <w:rPr>
          <w:rFonts w:hint="eastAsia" w:ascii="仿宋_GB2312" w:hAnsi="黑体" w:eastAsia="仿宋_GB2312"/>
          <w:color w:val="auto"/>
          <w:spacing w:val="4"/>
          <w:sz w:val="32"/>
          <w:highlight w:val="none"/>
          <w:lang w:val="en-US" w:eastAsia="zh-CN"/>
        </w:rPr>
        <w:t>2.</w:t>
      </w:r>
      <w:r>
        <w:rPr>
          <w:rFonts w:hint="eastAsia" w:ascii="仿宋_GB2312" w:hAnsi="黑体" w:eastAsia="仿宋_GB2312"/>
          <w:color w:val="auto"/>
          <w:spacing w:val="4"/>
          <w:sz w:val="32"/>
          <w:highlight w:val="none"/>
        </w:rPr>
        <w:t>奖励范围为上</w:t>
      </w:r>
      <w:bookmarkStart w:id="0" w:name="OLE_LINK61"/>
      <w:r>
        <w:rPr>
          <w:rFonts w:hint="eastAsia" w:ascii="仿宋_GB2312" w:hAnsi="黑体" w:eastAsia="仿宋_GB2312"/>
          <w:color w:val="auto"/>
          <w:spacing w:val="4"/>
          <w:sz w:val="32"/>
          <w:highlight w:val="none"/>
        </w:rPr>
        <w:t>两个年度内</w:t>
      </w:r>
      <w:bookmarkEnd w:id="0"/>
      <w:r>
        <w:rPr>
          <w:rFonts w:hint="eastAsia" w:ascii="仿宋_GB2312" w:hAnsi="黑体" w:eastAsia="仿宋_GB2312"/>
          <w:color w:val="auto"/>
          <w:spacing w:val="4"/>
          <w:sz w:val="32"/>
          <w:highlight w:val="none"/>
        </w:rPr>
        <w:t>原创作品在国家级、省级的出版发行单位或电视台、网络播放平台等出版首次发行或播出、演出之后12个月内所产生的全部收入；</w:t>
      </w:r>
    </w:p>
    <w:p w14:paraId="0669A33C">
      <w:pPr>
        <w:keepNext w:val="0"/>
        <w:keepLines w:val="0"/>
        <w:pageBreakBefore w:val="0"/>
        <w:widowControl w:val="0"/>
        <w:kinsoku/>
        <w:wordWrap/>
        <w:overflowPunct/>
        <w:topLinePunct w:val="0"/>
        <w:autoSpaceDE/>
        <w:bidi w:val="0"/>
        <w:adjustRightInd w:val="0"/>
        <w:snapToGrid w:val="0"/>
        <w:spacing w:line="560" w:lineRule="exact"/>
        <w:ind w:firstLine="656" w:firstLineChars="200"/>
        <w:textAlignment w:val="auto"/>
        <w:rPr>
          <w:rFonts w:hint="eastAsia" w:ascii="仿宋_GB2312" w:hAnsi="宋体" w:eastAsia="仿宋_GB2312" w:cs="宋体"/>
          <w:color w:val="auto"/>
          <w:spacing w:val="4"/>
          <w:kern w:val="0"/>
          <w:sz w:val="32"/>
          <w:szCs w:val="32"/>
          <w:highlight w:val="none"/>
        </w:rPr>
      </w:pPr>
      <w:r>
        <w:rPr>
          <w:rFonts w:hint="eastAsia" w:ascii="仿宋_GB2312" w:hAnsi="宋体" w:eastAsia="仿宋_GB2312" w:cs="宋体"/>
          <w:color w:val="auto"/>
          <w:spacing w:val="4"/>
          <w:kern w:val="0"/>
          <w:sz w:val="32"/>
          <w:szCs w:val="32"/>
          <w:highlight w:val="none"/>
          <w:lang w:val="en-US" w:eastAsia="zh-CN"/>
        </w:rPr>
        <w:t>3.</w:t>
      </w:r>
      <w:r>
        <w:rPr>
          <w:rFonts w:hint="eastAsia" w:ascii="仿宋_GB2312" w:hAnsi="宋体" w:eastAsia="仿宋_GB2312" w:cs="宋体"/>
          <w:color w:val="auto"/>
          <w:spacing w:val="4"/>
          <w:kern w:val="0"/>
          <w:sz w:val="32"/>
          <w:szCs w:val="32"/>
          <w:highlight w:val="none"/>
        </w:rPr>
        <w:t>收入为不含税。产生收入时间在上两个年度内</w:t>
      </w:r>
      <w:r>
        <w:rPr>
          <w:rFonts w:hint="eastAsia" w:ascii="仿宋_GB2312" w:hAnsi="黑体" w:eastAsia="仿宋_GB2312"/>
          <w:color w:val="auto"/>
          <w:spacing w:val="4"/>
          <w:sz w:val="32"/>
          <w:highlight w:val="none"/>
        </w:rPr>
        <w:t>（自然年）</w:t>
      </w:r>
      <w:r>
        <w:rPr>
          <w:rFonts w:hint="eastAsia" w:ascii="仿宋_GB2312" w:hAnsi="宋体" w:eastAsia="仿宋_GB2312" w:cs="宋体"/>
          <w:color w:val="auto"/>
          <w:spacing w:val="4"/>
          <w:kern w:val="0"/>
          <w:sz w:val="32"/>
          <w:szCs w:val="32"/>
          <w:highlight w:val="none"/>
        </w:rPr>
        <w:t>，连续不超过12个月。</w:t>
      </w:r>
    </w:p>
    <w:p w14:paraId="48695FE7">
      <w:pPr>
        <w:widowControl/>
        <w:adjustRightInd w:val="0"/>
        <w:snapToGrid w:val="0"/>
        <w:spacing w:line="560" w:lineRule="exact"/>
        <w:ind w:firstLine="537" w:firstLineChars="168"/>
        <w:rPr>
          <w:rFonts w:eastAsia="黑体"/>
          <w:color w:val="000000" w:themeColor="text1"/>
          <w:sz w:val="32"/>
          <w:szCs w:val="32"/>
          <w:highlight w:val="none"/>
          <w14:textFill>
            <w14:solidFill>
              <w14:schemeClr w14:val="tx1"/>
            </w14:solidFill>
          </w14:textFill>
        </w:rPr>
      </w:pPr>
      <w:r>
        <w:rPr>
          <w:rFonts w:hint="eastAsia" w:hAnsi="黑体" w:eastAsia="黑体"/>
          <w:color w:val="000000" w:themeColor="text1"/>
          <w:sz w:val="32"/>
          <w:szCs w:val="32"/>
          <w:highlight w:val="none"/>
          <w:lang w:val="en-US" w:eastAsia="zh-CN"/>
          <w14:textFill>
            <w14:solidFill>
              <w14:schemeClr w14:val="tx1"/>
            </w14:solidFill>
          </w14:textFill>
        </w:rPr>
        <w:t>五</w:t>
      </w:r>
      <w:r>
        <w:rPr>
          <w:rFonts w:hint="eastAsia" w:hAnsi="黑体" w:eastAsia="黑体"/>
          <w:color w:val="000000" w:themeColor="text1"/>
          <w:sz w:val="32"/>
          <w:szCs w:val="32"/>
          <w:highlight w:val="none"/>
          <w14:textFill>
            <w14:solidFill>
              <w14:schemeClr w14:val="tx1"/>
            </w14:solidFill>
          </w14:textFill>
        </w:rPr>
        <w:t>、资助方式</w:t>
      </w:r>
    </w:p>
    <w:p w14:paraId="206E32A0">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本项</w:t>
      </w:r>
      <w:r>
        <w:rPr>
          <w:rFonts w:hint="eastAsia" w:ascii="仿宋_GB2312" w:hAnsi="仿宋" w:eastAsia="仿宋_GB2312" w:cs="Times New Roman"/>
          <w:color w:val="000000"/>
          <w:sz w:val="32"/>
          <w:szCs w:val="32"/>
          <w:highlight w:val="none"/>
          <w:lang w:eastAsia="zh-CN"/>
        </w:rPr>
        <w:t>资金</w:t>
      </w:r>
      <w:r>
        <w:rPr>
          <w:rFonts w:hint="eastAsia" w:ascii="仿宋_GB2312" w:hAnsi="仿宋" w:eastAsia="仿宋_GB2312" w:cs="Times New Roman"/>
          <w:color w:val="000000"/>
          <w:sz w:val="32"/>
          <w:szCs w:val="32"/>
          <w:highlight w:val="none"/>
        </w:rPr>
        <w:t>资助属于核准类项目，坚持公平、公开、公正的原则，实行自愿申报、科学决策和绩效评估的管理制度，采取无偿资助方式和事后补贴制，受资助项目无需验收。</w:t>
      </w:r>
    </w:p>
    <w:p w14:paraId="64BDAD6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_GB2312" w:hAnsi="仿宋" w:eastAsia="仿宋_GB2312" w:cs="Times New Roman"/>
          <w:color w:val="000000"/>
          <w:sz w:val="32"/>
          <w:szCs w:val="32"/>
          <w:highlight w:val="none"/>
        </w:rPr>
      </w:pPr>
      <w:r>
        <w:rPr>
          <w:rFonts w:hint="eastAsia" w:ascii="仿宋_GB2312" w:hAnsi="仿宋" w:eastAsia="仿宋_GB2312" w:cs="Times New Roman"/>
          <w:color w:val="000000"/>
          <w:sz w:val="32"/>
          <w:szCs w:val="32"/>
          <w:highlight w:val="none"/>
        </w:rPr>
        <w:t>本项资助受年度资金预算控制，区文化广电旅游体育局视申报情况和预算安排，可以对资助金额、支持比例和拨付进度等进行统一调整，申报主体应无条件同意调整结果。</w:t>
      </w:r>
    </w:p>
    <w:p w14:paraId="30579AA0">
      <w:pPr>
        <w:spacing w:after="0" w:line="560" w:lineRule="exact"/>
        <w:ind w:firstLine="640" w:firstLineChars="200"/>
        <w:contextualSpacing/>
        <w:rPr>
          <w:rFonts w:hAnsi="黑体" w:eastAsia="黑体"/>
          <w:color w:val="000000"/>
          <w:sz w:val="32"/>
          <w:szCs w:val="32"/>
          <w:highlight w:val="none"/>
        </w:rPr>
      </w:pPr>
      <w:r>
        <w:rPr>
          <w:rFonts w:hint="eastAsia" w:hAnsi="黑体" w:eastAsia="黑体"/>
          <w:color w:val="000000"/>
          <w:sz w:val="32"/>
          <w:szCs w:val="32"/>
          <w:highlight w:val="none"/>
          <w:lang w:eastAsia="zh-CN"/>
        </w:rPr>
        <w:t>六</w:t>
      </w:r>
      <w:r>
        <w:rPr>
          <w:rFonts w:hint="eastAsia" w:hAnsi="黑体" w:eastAsia="黑体"/>
          <w:color w:val="000000"/>
          <w:sz w:val="32"/>
          <w:szCs w:val="32"/>
          <w:highlight w:val="none"/>
        </w:rPr>
        <w:t>、</w:t>
      </w:r>
      <w:r>
        <w:rPr>
          <w:rFonts w:hint="eastAsia" w:ascii="黑体" w:hAnsi="黑体" w:eastAsia="黑体"/>
          <w:bCs/>
          <w:kern w:val="2"/>
          <w:sz w:val="32"/>
          <w:szCs w:val="32"/>
          <w:highlight w:val="none"/>
          <w:lang w:eastAsia="zh-CN" w:bidi="ar-SA"/>
        </w:rPr>
        <w:t>办理流程</w:t>
      </w:r>
    </w:p>
    <w:p w14:paraId="5F9C06C1">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1B47EB9">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02406F3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69EF3DD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42A703D9">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16745312">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00D29D58">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7DF62D26">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4D3ABEE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auto"/>
          <w:spacing w:val="4"/>
          <w:kern w:val="0"/>
          <w:sz w:val="32"/>
          <w:szCs w:val="32"/>
          <w:highlight w:val="none"/>
        </w:rPr>
      </w:pPr>
      <w:r>
        <w:rPr>
          <w:rFonts w:hint="eastAsia" w:hAnsi="黑体" w:eastAsia="黑体"/>
          <w:color w:val="auto"/>
          <w:sz w:val="32"/>
          <w:szCs w:val="32"/>
          <w:highlight w:val="none"/>
          <w:lang w:val="en-US" w:eastAsia="zh-CN"/>
        </w:rPr>
        <w:t>七</w:t>
      </w:r>
      <w:r>
        <w:rPr>
          <w:rFonts w:hint="eastAsia" w:hAnsi="黑体" w:eastAsia="黑体"/>
          <w:color w:val="auto"/>
          <w:sz w:val="32"/>
          <w:szCs w:val="32"/>
          <w:highlight w:val="none"/>
        </w:rPr>
        <w:t>、所需材料</w:t>
      </w:r>
    </w:p>
    <w:p w14:paraId="293CDC42">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spacing w:val="4"/>
          <w:kern w:val="0"/>
          <w:sz w:val="32"/>
          <w:szCs w:val="32"/>
        </w:rPr>
        <w:t>支持研发电竞游戏及衍生内容-电竞衍生内容项目</w:t>
      </w:r>
      <w:r>
        <w:rPr>
          <w:rFonts w:hint="eastAsia" w:ascii="仿宋_GB2312" w:hAnsi="宋体" w:eastAsia="仿宋_GB2312" w:cs="宋体"/>
          <w:spacing w:val="4"/>
          <w:kern w:val="0"/>
          <w:sz w:val="32"/>
          <w:szCs w:val="32"/>
          <w:lang w:val="en-US" w:eastAsia="zh-CN"/>
        </w:rPr>
        <w:t>申请书</w:t>
      </w:r>
      <w:r>
        <w:rPr>
          <w:rFonts w:hint="eastAsia" w:ascii="仿宋_GB2312" w:hAnsi="宋体" w:eastAsia="仿宋_GB2312" w:cs="宋体"/>
          <w:color w:val="auto"/>
          <w:spacing w:val="4"/>
          <w:kern w:val="0"/>
          <w:sz w:val="32"/>
          <w:szCs w:val="32"/>
          <w:highlight w:val="none"/>
        </w:rPr>
        <w:t>》</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4225"/>
        <w:gridCol w:w="1113"/>
        <w:gridCol w:w="2266"/>
      </w:tblGrid>
      <w:tr w14:paraId="293A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2D79236">
            <w:pPr>
              <w:jc w:val="center"/>
              <w:rPr>
                <w:rFonts w:ascii="楷体" w:hAnsi="楷体" w:eastAsia="楷体"/>
                <w:b/>
                <w:bCs/>
                <w:sz w:val="24"/>
              </w:rPr>
            </w:pPr>
            <w:r>
              <w:rPr>
                <w:rFonts w:hint="eastAsia" w:ascii="楷体" w:hAnsi="楷体" w:eastAsia="楷体"/>
                <w:b/>
                <w:bCs/>
                <w:sz w:val="24"/>
              </w:rPr>
              <w:t>序号</w:t>
            </w:r>
          </w:p>
        </w:tc>
        <w:tc>
          <w:tcPr>
            <w:tcW w:w="2479" w:type="pct"/>
            <w:vAlign w:val="center"/>
          </w:tcPr>
          <w:p w14:paraId="1F529F16">
            <w:pPr>
              <w:jc w:val="center"/>
              <w:rPr>
                <w:rFonts w:ascii="楷体" w:hAnsi="楷体" w:eastAsia="楷体"/>
                <w:b/>
                <w:bCs/>
                <w:sz w:val="24"/>
              </w:rPr>
            </w:pPr>
            <w:r>
              <w:rPr>
                <w:rFonts w:hint="eastAsia" w:ascii="楷体" w:hAnsi="楷体" w:eastAsia="楷体"/>
                <w:b/>
                <w:bCs/>
                <w:sz w:val="24"/>
              </w:rPr>
              <w:t>附件名称</w:t>
            </w:r>
          </w:p>
        </w:tc>
        <w:tc>
          <w:tcPr>
            <w:tcW w:w="653" w:type="pct"/>
            <w:vAlign w:val="center"/>
          </w:tcPr>
          <w:p w14:paraId="474662ED">
            <w:pPr>
              <w:jc w:val="center"/>
              <w:rPr>
                <w:rFonts w:ascii="楷体" w:hAnsi="楷体" w:eastAsia="楷体"/>
                <w:b/>
                <w:bCs/>
                <w:sz w:val="24"/>
              </w:rPr>
            </w:pPr>
            <w:r>
              <w:rPr>
                <w:rFonts w:hint="eastAsia" w:ascii="楷体" w:hAnsi="楷体" w:eastAsia="楷体"/>
                <w:b/>
                <w:bCs/>
                <w:sz w:val="24"/>
              </w:rPr>
              <w:t>是否必备材料</w:t>
            </w:r>
          </w:p>
        </w:tc>
        <w:tc>
          <w:tcPr>
            <w:tcW w:w="1329" w:type="pct"/>
            <w:vAlign w:val="center"/>
          </w:tcPr>
          <w:p w14:paraId="6148BB1A">
            <w:pPr>
              <w:jc w:val="center"/>
              <w:rPr>
                <w:rFonts w:ascii="楷体" w:hAnsi="楷体" w:eastAsia="楷体"/>
                <w:b/>
                <w:bCs/>
                <w:sz w:val="24"/>
              </w:rPr>
            </w:pPr>
            <w:r>
              <w:rPr>
                <w:rFonts w:hint="eastAsia" w:ascii="楷体" w:hAnsi="楷体" w:eastAsia="楷体"/>
                <w:b/>
                <w:bCs/>
                <w:sz w:val="24"/>
              </w:rPr>
              <w:t>网上提交资料要求</w:t>
            </w:r>
          </w:p>
        </w:tc>
      </w:tr>
      <w:tr w14:paraId="07AC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188107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9" w:type="pct"/>
            <w:vAlign w:val="center"/>
          </w:tcPr>
          <w:p w14:paraId="299E53C4">
            <w:pPr>
              <w:jc w:val="both"/>
              <w:rPr>
                <w:rFonts w:ascii="楷体" w:hAnsi="楷体" w:eastAsia="楷体"/>
                <w:sz w:val="24"/>
              </w:rPr>
            </w:pPr>
            <w:r>
              <w:rPr>
                <w:rFonts w:hint="eastAsia" w:ascii="宋体" w:hAnsi="宋体" w:eastAsia="宋体" w:cs="宋体"/>
                <w:color w:val="auto"/>
                <w:sz w:val="21"/>
                <w:szCs w:val="21"/>
                <w:highlight w:val="none"/>
              </w:rPr>
              <w:t>《南山区促进产业高质量发展专项资金—区文化广电旅游体育局分项资金-</w:t>
            </w:r>
            <w:r>
              <w:rPr>
                <w:rFonts w:hint="eastAsia" w:ascii="宋体" w:hAnsi="宋体" w:cs="宋体"/>
                <w:color w:val="auto"/>
                <w:szCs w:val="21"/>
                <w:highlight w:val="none"/>
              </w:rPr>
              <w:t>支持研发电竞游戏及衍生内容-电竞衍生内容项目</w:t>
            </w:r>
            <w:r>
              <w:rPr>
                <w:rFonts w:hint="eastAsia" w:ascii="宋体" w:hAnsi="宋体" w:eastAsia="宋体" w:cs="宋体"/>
                <w:color w:val="auto"/>
                <w:sz w:val="21"/>
                <w:szCs w:val="21"/>
                <w:highlight w:val="none"/>
              </w:rPr>
              <w:t>申请书》</w:t>
            </w:r>
          </w:p>
        </w:tc>
        <w:tc>
          <w:tcPr>
            <w:tcW w:w="653" w:type="pct"/>
            <w:vAlign w:val="center"/>
          </w:tcPr>
          <w:p w14:paraId="1AA7621C">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7A2E891C">
            <w:pPr>
              <w:jc w:val="both"/>
              <w:rPr>
                <w:rFonts w:ascii="楷体" w:hAnsi="楷体" w:eastAsia="楷体"/>
                <w:sz w:val="24"/>
              </w:rPr>
            </w:pPr>
            <w:r>
              <w:rPr>
                <w:rFonts w:hint="eastAsia" w:ascii="宋体" w:hAnsi="宋体" w:eastAsia="宋体" w:cs="宋体"/>
                <w:color w:val="auto"/>
                <w:sz w:val="21"/>
                <w:szCs w:val="21"/>
                <w:highlight w:val="none"/>
              </w:rPr>
              <w:t>法定代表人签字并加盖单位公章后，原件彩色扫描成PDF文件上传</w:t>
            </w:r>
          </w:p>
        </w:tc>
      </w:tr>
      <w:tr w14:paraId="2854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04894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2479" w:type="pct"/>
            <w:vAlign w:val="center"/>
          </w:tcPr>
          <w:p w14:paraId="566B990D">
            <w:pPr>
              <w:jc w:val="both"/>
              <w:rPr>
                <w:rFonts w:hint="eastAsia" w:ascii="宋体" w:hAnsi="宋体" w:eastAsia="宋体" w:cs="宋体"/>
                <w:color w:val="auto"/>
                <w:kern w:val="2"/>
                <w:sz w:val="21"/>
                <w:szCs w:val="21"/>
                <w:highlight w:val="none"/>
                <w:lang w:val="en-US" w:eastAsia="zh-CN" w:bidi="ar-SA"/>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653" w:type="pct"/>
            <w:vAlign w:val="center"/>
          </w:tcPr>
          <w:p w14:paraId="2A18588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是</w:t>
            </w:r>
          </w:p>
        </w:tc>
        <w:tc>
          <w:tcPr>
            <w:tcW w:w="1329" w:type="pct"/>
            <w:vAlign w:val="center"/>
          </w:tcPr>
          <w:p w14:paraId="6512D43B">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原件彩色扫描成PDF文件上传</w:t>
            </w:r>
          </w:p>
        </w:tc>
      </w:tr>
      <w:tr w14:paraId="1292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531F7F63">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2479" w:type="pct"/>
            <w:vAlign w:val="center"/>
          </w:tcPr>
          <w:p w14:paraId="5A2C9096">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法定代表人身份证</w:t>
            </w:r>
          </w:p>
        </w:tc>
        <w:tc>
          <w:tcPr>
            <w:tcW w:w="653" w:type="pct"/>
            <w:vAlign w:val="center"/>
          </w:tcPr>
          <w:p w14:paraId="104BE31F">
            <w:pPr>
              <w:jc w:val="center"/>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是</w:t>
            </w:r>
          </w:p>
        </w:tc>
        <w:tc>
          <w:tcPr>
            <w:tcW w:w="1329" w:type="pct"/>
            <w:vAlign w:val="center"/>
          </w:tcPr>
          <w:p w14:paraId="2FE3FB09">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宋体" w:hAnsi="宋体" w:eastAsia="宋体" w:cs="宋体"/>
                <w:color w:val="auto"/>
                <w:sz w:val="21"/>
                <w:szCs w:val="21"/>
                <w:highlight w:val="none"/>
              </w:rPr>
              <w:t>原件（或复印件加盖单位公章）彩色扫描成PDF文件上传</w:t>
            </w:r>
          </w:p>
        </w:tc>
      </w:tr>
      <w:tr w14:paraId="1766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A23495C">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2479" w:type="pct"/>
            <w:vAlign w:val="center"/>
          </w:tcPr>
          <w:p w14:paraId="49FAEA88">
            <w:pPr>
              <w:jc w:val="both"/>
              <w:rPr>
                <w:rFonts w:ascii="楷体" w:hAnsi="楷体" w:eastAsia="楷体"/>
                <w:sz w:val="24"/>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eastAsia="zh-CN"/>
              </w:rPr>
              <w:t>完</w:t>
            </w:r>
            <w:r>
              <w:rPr>
                <w:rFonts w:hint="eastAsia" w:ascii="宋体" w:hAnsi="宋体" w:eastAsia="宋体" w:cs="宋体"/>
                <w:color w:val="auto"/>
                <w:sz w:val="21"/>
                <w:szCs w:val="21"/>
                <w:highlight w:val="none"/>
              </w:rPr>
              <w:t>税证明，事业单位除外</w:t>
            </w:r>
          </w:p>
        </w:tc>
        <w:tc>
          <w:tcPr>
            <w:tcW w:w="653" w:type="pct"/>
            <w:vAlign w:val="center"/>
          </w:tcPr>
          <w:p w14:paraId="21DF1D60">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66F66388">
            <w:pPr>
              <w:jc w:val="both"/>
              <w:rPr>
                <w:rFonts w:ascii="楷体" w:hAnsi="楷体" w:eastAsia="楷体"/>
                <w:sz w:val="24"/>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5DF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2433F49">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2479" w:type="pct"/>
            <w:vAlign w:val="center"/>
          </w:tcPr>
          <w:p w14:paraId="47E8AE44">
            <w:pPr>
              <w:jc w:val="both"/>
              <w:rPr>
                <w:rFonts w:hint="eastAsia" w:ascii="宋体" w:hAnsi="宋体" w:eastAsia="宋体" w:cs="宋体"/>
                <w:color w:val="auto"/>
                <w:sz w:val="21"/>
                <w:szCs w:val="21"/>
                <w:highlight w:val="none"/>
                <w:lang w:eastAsia="zh-CN"/>
              </w:rPr>
            </w:pPr>
            <w:r>
              <w:rPr>
                <w:rFonts w:hint="eastAsia"/>
                <w:color w:val="000000" w:themeColor="text1"/>
                <w14:textFill>
                  <w14:solidFill>
                    <w14:schemeClr w14:val="tx1"/>
                  </w14:solidFill>
                </w14:textFill>
              </w:rPr>
              <w:t>首年度的实际收入相关证明材料、收入发票、系统截图、银行往来凭证等</w:t>
            </w:r>
          </w:p>
        </w:tc>
        <w:tc>
          <w:tcPr>
            <w:tcW w:w="653" w:type="pct"/>
            <w:vAlign w:val="center"/>
          </w:tcPr>
          <w:p w14:paraId="0C5DFE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restart"/>
            <w:vAlign w:val="center"/>
          </w:tcPr>
          <w:p w14:paraId="5CABC589">
            <w:pPr>
              <w:jc w:val="center"/>
              <w:rPr>
                <w:rFonts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0FE7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2EBA461">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2479" w:type="pct"/>
            <w:vAlign w:val="center"/>
          </w:tcPr>
          <w:p w14:paraId="09CE2796">
            <w:pPr>
              <w:jc w:val="left"/>
              <w:rPr>
                <w:rFonts w:hint="eastAsia" w:ascii="宋体" w:hAnsi="宋体" w:eastAsia="宋体" w:cs="宋体"/>
                <w:color w:val="auto"/>
                <w:sz w:val="21"/>
                <w:szCs w:val="21"/>
                <w:highlight w:val="none"/>
              </w:rPr>
            </w:pPr>
            <w:r>
              <w:rPr>
                <w:rFonts w:hint="eastAsia"/>
                <w:color w:val="000000" w:themeColor="text1"/>
                <w14:textFill>
                  <w14:solidFill>
                    <w14:schemeClr w14:val="tx1"/>
                  </w14:solidFill>
                </w14:textFill>
              </w:rPr>
              <w:t>本作品知识产权证明材料（版权、著作权登记证书）</w:t>
            </w:r>
          </w:p>
        </w:tc>
        <w:tc>
          <w:tcPr>
            <w:tcW w:w="653" w:type="pct"/>
            <w:vAlign w:val="center"/>
          </w:tcPr>
          <w:p w14:paraId="41E573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continue"/>
            <w:vAlign w:val="center"/>
          </w:tcPr>
          <w:p w14:paraId="1BE6E150">
            <w:pPr>
              <w:jc w:val="center"/>
              <w:rPr>
                <w:rFonts w:ascii="楷体" w:hAnsi="楷体" w:eastAsia="楷体"/>
                <w:sz w:val="24"/>
              </w:rPr>
            </w:pPr>
          </w:p>
        </w:tc>
      </w:tr>
      <w:tr w14:paraId="6802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8F0F2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479" w:type="pct"/>
            <w:vAlign w:val="center"/>
          </w:tcPr>
          <w:p w14:paraId="6EACF0C6">
            <w:pPr>
              <w:jc w:val="left"/>
              <w:rPr>
                <w:rFonts w:hint="eastAsia" w:ascii="宋体" w:hAnsi="宋体" w:eastAsia="宋体" w:cs="宋体"/>
                <w:color w:val="auto"/>
                <w:sz w:val="21"/>
                <w:szCs w:val="21"/>
                <w:highlight w:val="none"/>
              </w:rPr>
            </w:pPr>
            <w:r>
              <w:rPr>
                <w:rFonts w:hint="eastAsia" w:ascii="宋体" w:hAnsi="宋体" w:cs="宋体"/>
                <w:color w:val="auto"/>
                <w:szCs w:val="21"/>
                <w:highlight w:val="none"/>
              </w:rPr>
              <w:t>作品样品（包括但不限于截图、海报）</w:t>
            </w:r>
          </w:p>
        </w:tc>
        <w:tc>
          <w:tcPr>
            <w:tcW w:w="653" w:type="pct"/>
            <w:vAlign w:val="center"/>
          </w:tcPr>
          <w:p w14:paraId="1E4C1452">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w:t>
            </w:r>
          </w:p>
        </w:tc>
        <w:tc>
          <w:tcPr>
            <w:tcW w:w="1329" w:type="pct"/>
            <w:vMerge w:val="continue"/>
            <w:vAlign w:val="center"/>
          </w:tcPr>
          <w:p w14:paraId="30333ED9">
            <w:pPr>
              <w:jc w:val="center"/>
              <w:rPr>
                <w:rFonts w:ascii="楷体" w:hAnsi="楷体" w:eastAsia="楷体"/>
                <w:sz w:val="24"/>
              </w:rPr>
            </w:pPr>
          </w:p>
        </w:tc>
      </w:tr>
      <w:tr w14:paraId="2C31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4882F0C2">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479" w:type="pct"/>
            <w:vAlign w:val="center"/>
          </w:tcPr>
          <w:p w14:paraId="67FC6805">
            <w:pPr>
              <w:jc w:val="left"/>
              <w:rPr>
                <w:rFonts w:hint="eastAsia" w:ascii="宋体" w:hAnsi="宋体" w:eastAsia="宋体" w:cs="宋体"/>
                <w:color w:val="auto"/>
                <w:sz w:val="21"/>
                <w:szCs w:val="21"/>
                <w:highlight w:val="none"/>
              </w:rPr>
            </w:pPr>
            <w:r>
              <w:rPr>
                <w:rFonts w:hint="eastAsia" w:ascii="宋体" w:hAnsi="宋体" w:cs="宋体"/>
                <w:color w:val="auto"/>
                <w:szCs w:val="21"/>
                <w:highlight w:val="none"/>
              </w:rPr>
              <w:t>出版/发行/播出该作品的政府相关部门批文</w:t>
            </w:r>
          </w:p>
        </w:tc>
        <w:tc>
          <w:tcPr>
            <w:tcW w:w="653" w:type="pct"/>
            <w:vAlign w:val="center"/>
          </w:tcPr>
          <w:p w14:paraId="76AF51B9">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是</w:t>
            </w:r>
          </w:p>
        </w:tc>
        <w:tc>
          <w:tcPr>
            <w:tcW w:w="1329" w:type="pct"/>
            <w:vMerge w:val="continue"/>
            <w:vAlign w:val="center"/>
          </w:tcPr>
          <w:p w14:paraId="5AFB6B3D">
            <w:pPr>
              <w:jc w:val="center"/>
              <w:rPr>
                <w:rFonts w:ascii="楷体" w:hAnsi="楷体" w:eastAsia="楷体"/>
                <w:sz w:val="24"/>
              </w:rPr>
            </w:pPr>
          </w:p>
        </w:tc>
      </w:tr>
      <w:tr w14:paraId="447C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3C49A79">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2479" w:type="pct"/>
            <w:vAlign w:val="center"/>
          </w:tcPr>
          <w:p w14:paraId="1A69C87B">
            <w:pPr>
              <w:jc w:val="left"/>
              <w:rPr>
                <w:rFonts w:hint="eastAsia" w:ascii="宋体" w:hAnsi="宋体" w:eastAsia="宋体" w:cs="宋体"/>
                <w:color w:val="auto"/>
                <w:sz w:val="21"/>
                <w:szCs w:val="21"/>
                <w:highlight w:val="none"/>
              </w:rPr>
            </w:pPr>
            <w:r>
              <w:rPr>
                <w:rFonts w:hint="eastAsia" w:ascii="宋体" w:hAnsi="宋体" w:cs="宋体"/>
                <w:color w:val="auto"/>
                <w:szCs w:val="21"/>
                <w:highlight w:val="none"/>
              </w:rPr>
              <w:t>出版/发行/播出该作品的合同（协议）</w:t>
            </w:r>
          </w:p>
        </w:tc>
        <w:tc>
          <w:tcPr>
            <w:tcW w:w="653" w:type="pct"/>
            <w:vAlign w:val="center"/>
          </w:tcPr>
          <w:p w14:paraId="670841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continue"/>
            <w:vAlign w:val="center"/>
          </w:tcPr>
          <w:p w14:paraId="3312D060">
            <w:pPr>
              <w:jc w:val="center"/>
              <w:rPr>
                <w:rFonts w:ascii="楷体" w:hAnsi="楷体" w:eastAsia="楷体"/>
                <w:sz w:val="24"/>
              </w:rPr>
            </w:pPr>
          </w:p>
        </w:tc>
      </w:tr>
      <w:tr w14:paraId="482C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2B373AF6">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479" w:type="pct"/>
            <w:vAlign w:val="center"/>
          </w:tcPr>
          <w:p w14:paraId="32C76876">
            <w:pPr>
              <w:jc w:val="left"/>
              <w:rPr>
                <w:rFonts w:hint="eastAsia" w:ascii="宋体" w:hAnsi="宋体" w:eastAsia="宋体" w:cs="宋体"/>
                <w:color w:val="auto"/>
                <w:sz w:val="21"/>
                <w:szCs w:val="21"/>
                <w:highlight w:val="none"/>
              </w:rPr>
            </w:pPr>
            <w:r>
              <w:rPr>
                <w:rFonts w:hint="eastAsia" w:ascii="宋体" w:hAnsi="宋体" w:cs="宋体"/>
                <w:color w:val="auto"/>
                <w:szCs w:val="21"/>
                <w:highlight w:val="none"/>
              </w:rPr>
              <w:t>作品以电竞为主题的证明材料</w:t>
            </w:r>
          </w:p>
        </w:tc>
        <w:tc>
          <w:tcPr>
            <w:tcW w:w="653" w:type="pct"/>
            <w:vAlign w:val="center"/>
          </w:tcPr>
          <w:p w14:paraId="0F491E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continue"/>
            <w:vAlign w:val="center"/>
          </w:tcPr>
          <w:p w14:paraId="1CFB8585">
            <w:pPr>
              <w:jc w:val="center"/>
              <w:rPr>
                <w:rFonts w:ascii="楷体" w:hAnsi="楷体" w:eastAsia="楷体"/>
                <w:sz w:val="24"/>
              </w:rPr>
            </w:pPr>
          </w:p>
        </w:tc>
      </w:tr>
      <w:tr w14:paraId="71572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137DD36">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479" w:type="pct"/>
            <w:vAlign w:val="center"/>
          </w:tcPr>
          <w:p w14:paraId="75A33D7F">
            <w:pPr>
              <w:jc w:val="left"/>
              <w:rPr>
                <w:rFonts w:hint="default" w:ascii="宋体" w:hAnsi="宋体" w:eastAsia="宋体" w:cs="宋体"/>
                <w:color w:val="auto"/>
                <w:sz w:val="21"/>
                <w:szCs w:val="21"/>
                <w:highlight w:val="none"/>
                <w:lang w:val="en-US" w:eastAsia="zh-CN"/>
              </w:rPr>
            </w:pPr>
            <w:r>
              <w:rPr>
                <w:rFonts w:hint="eastAsia" w:ascii="宋体" w:hAnsi="宋体" w:cs="宋体"/>
                <w:color w:val="auto"/>
                <w:szCs w:val="21"/>
                <w:highlight w:val="none"/>
                <w:lang w:val="en-US" w:eastAsia="zh-CN"/>
              </w:rPr>
              <w:t>实际收入到账明细表</w:t>
            </w:r>
          </w:p>
        </w:tc>
        <w:tc>
          <w:tcPr>
            <w:tcW w:w="653" w:type="pct"/>
            <w:vAlign w:val="center"/>
          </w:tcPr>
          <w:p w14:paraId="1886F6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是</w:t>
            </w:r>
          </w:p>
        </w:tc>
        <w:tc>
          <w:tcPr>
            <w:tcW w:w="1329" w:type="pct"/>
            <w:vAlign w:val="center"/>
          </w:tcPr>
          <w:p w14:paraId="509B94A4">
            <w:pPr>
              <w:jc w:val="center"/>
              <w:rPr>
                <w:rFonts w:hint="default" w:ascii="楷体" w:hAnsi="楷体" w:eastAsia="楷体"/>
                <w:sz w:val="24"/>
                <w:lang w:val="en-US" w:eastAsia="zh-CN"/>
              </w:rPr>
            </w:pPr>
            <w:r>
              <w:rPr>
                <w:rFonts w:hint="eastAsia" w:ascii="宋体" w:hAnsi="宋体" w:eastAsia="宋体" w:cs="宋体"/>
                <w:color w:val="auto"/>
                <w:sz w:val="21"/>
                <w:szCs w:val="21"/>
                <w:highlight w:val="none"/>
                <w:lang w:val="en-US" w:eastAsia="zh-CN"/>
              </w:rPr>
              <w:t>Excel表格上传</w:t>
            </w:r>
          </w:p>
        </w:tc>
      </w:tr>
      <w:tr w14:paraId="36DE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BF5F9FA">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c>
          <w:tcPr>
            <w:tcW w:w="2479" w:type="pct"/>
            <w:shd w:val="clear" w:color="auto" w:fill="auto"/>
            <w:vAlign w:val="center"/>
          </w:tcPr>
          <w:p w14:paraId="3315B348">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653" w:type="pct"/>
            <w:shd w:val="clear" w:color="auto" w:fill="auto"/>
            <w:vAlign w:val="center"/>
          </w:tcPr>
          <w:p w14:paraId="08781C57">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否</w:t>
            </w:r>
          </w:p>
        </w:tc>
        <w:tc>
          <w:tcPr>
            <w:tcW w:w="1329" w:type="pct"/>
            <w:vAlign w:val="center"/>
          </w:tcPr>
          <w:p w14:paraId="7B99575E">
            <w:pPr>
              <w:jc w:val="center"/>
              <w:rPr>
                <w:rFonts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bl>
    <w:p w14:paraId="6C3468FB">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45FFCE20">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0F28E4B7">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52FFBAE2">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3B40799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7DBB4C1D">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56C96C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14A23624">
      <w:pPr>
        <w:adjustRightInd w:val="0"/>
        <w:snapToGrid w:val="0"/>
        <w:spacing w:line="560" w:lineRule="exact"/>
        <w:rPr>
          <w:color w:val="000000" w:themeColor="text1"/>
          <w14:textFill>
            <w14:solidFill>
              <w14:schemeClr w14:val="tx1"/>
            </w14:solidFill>
          </w14:textFill>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712AC28D">
      <w:pPr>
        <w:pStyle w:val="8"/>
        <w:shd w:val="clear" w:color="auto" w:fill="FFFFFF"/>
        <w:adjustRightInd w:val="0"/>
        <w:snapToGrid w:val="0"/>
        <w:spacing w:beforeAutospacing="0" w:afterAutospacing="0" w:line="560" w:lineRule="exact"/>
        <w:ind w:firstLine="640" w:firstLineChars="200"/>
        <w:rPr>
          <w:rFonts w:hint="eastAsia" w:ascii="仿宋_GB2312" w:hAnsi="仿宋" w:eastAsia="仿宋_GB2312" w:cs="Times New Roman"/>
          <w:color w:val="000000" w:themeColor="text1"/>
          <w:kern w:val="2"/>
          <w:sz w:val="32"/>
          <w:szCs w:val="32"/>
          <w:highlight w:val="none"/>
          <w14:textFill>
            <w14:solidFill>
              <w14:schemeClr w14:val="tx1"/>
            </w14:solidFill>
          </w14:textFill>
        </w:rPr>
      </w:pPr>
    </w:p>
    <w:p w14:paraId="6E35518A">
      <w:pPr>
        <w:pStyle w:val="8"/>
        <w:shd w:val="clear" w:color="auto" w:fill="FFFFFF"/>
        <w:adjustRightInd w:val="0"/>
        <w:snapToGrid w:val="0"/>
        <w:spacing w:before="0" w:beforeAutospacing="0" w:after="0" w:afterAutospacing="0" w:line="560" w:lineRule="exact"/>
        <w:ind w:firstLine="480" w:firstLineChars="200"/>
        <w:jc w:val="both"/>
        <w:rPr>
          <w:rFonts w:ascii="仿宋_GB2312" w:eastAsia="仿宋_GB2312"/>
          <w:color w:val="auto"/>
          <w:highlight w:val="none"/>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7793761"/>
      <w:docPartObj>
        <w:docPartGallery w:val="autotext"/>
      </w:docPartObj>
    </w:sdtPr>
    <w:sdtContent>
      <w:p w14:paraId="2C955EFE">
        <w:pPr>
          <w:pStyle w:val="6"/>
          <w:jc w:val="center"/>
        </w:pPr>
        <w:r>
          <w:fldChar w:fldCharType="begin"/>
        </w:r>
        <w:r>
          <w:instrText xml:space="preserve">PAGE   \* MERGEFORMAT</w:instrText>
        </w:r>
        <w:r>
          <w:fldChar w:fldCharType="separate"/>
        </w:r>
        <w:r>
          <w:rPr>
            <w:lang w:val="zh-CN"/>
          </w:rPr>
          <w:t>2</w:t>
        </w:r>
        <w:r>
          <w:fldChar w:fldCharType="end"/>
        </w:r>
      </w:p>
    </w:sdtContent>
  </w:sdt>
  <w:p w14:paraId="4B693692">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C7BC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26FB0">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F6501">
    <w:pPr>
      <w:pStyle w:val="7"/>
      <w:pBdr>
        <w:bottom w:val="none" w:color="auto" w:sz="0" w:space="1"/>
      </w:pBdr>
      <w:tabs>
        <w:tab w:val="left" w:pos="7208"/>
        <w:tab w:val="clear" w:pos="4153"/>
      </w:tabs>
      <w:jc w:val="both"/>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F6A4F">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E0CF">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iOTU0NTc3ZTM1ZTYyZGY3YzYzMmZkODc4MjgyZWMifQ=="/>
  </w:docVars>
  <w:rsids>
    <w:rsidRoot w:val="1E9B000F"/>
    <w:rsid w:val="00024D3C"/>
    <w:rsid w:val="00031E90"/>
    <w:rsid w:val="000B0273"/>
    <w:rsid w:val="00115BCC"/>
    <w:rsid w:val="001421E0"/>
    <w:rsid w:val="00143A36"/>
    <w:rsid w:val="0016393F"/>
    <w:rsid w:val="001B0C22"/>
    <w:rsid w:val="002133DE"/>
    <w:rsid w:val="0026218E"/>
    <w:rsid w:val="0040362C"/>
    <w:rsid w:val="004329C4"/>
    <w:rsid w:val="00456C09"/>
    <w:rsid w:val="00475747"/>
    <w:rsid w:val="00484F4E"/>
    <w:rsid w:val="00581EF9"/>
    <w:rsid w:val="005C1AD0"/>
    <w:rsid w:val="006255F8"/>
    <w:rsid w:val="00651611"/>
    <w:rsid w:val="006B22B4"/>
    <w:rsid w:val="00765457"/>
    <w:rsid w:val="00785D52"/>
    <w:rsid w:val="007A42C1"/>
    <w:rsid w:val="007E59AE"/>
    <w:rsid w:val="008058F8"/>
    <w:rsid w:val="00896F3C"/>
    <w:rsid w:val="008A06B8"/>
    <w:rsid w:val="008B0EB5"/>
    <w:rsid w:val="008C75B3"/>
    <w:rsid w:val="008D3C58"/>
    <w:rsid w:val="00920AE3"/>
    <w:rsid w:val="00933C65"/>
    <w:rsid w:val="009B0D2F"/>
    <w:rsid w:val="009B273E"/>
    <w:rsid w:val="009E2DAA"/>
    <w:rsid w:val="009F4297"/>
    <w:rsid w:val="00A24237"/>
    <w:rsid w:val="00A82793"/>
    <w:rsid w:val="00AD6040"/>
    <w:rsid w:val="00AE260C"/>
    <w:rsid w:val="00B101C1"/>
    <w:rsid w:val="00B17BF3"/>
    <w:rsid w:val="00B803E6"/>
    <w:rsid w:val="00BA51AB"/>
    <w:rsid w:val="00BA5F30"/>
    <w:rsid w:val="00BC034D"/>
    <w:rsid w:val="00BD6E4F"/>
    <w:rsid w:val="00CA4770"/>
    <w:rsid w:val="00CD5E3B"/>
    <w:rsid w:val="00CE00CC"/>
    <w:rsid w:val="00CE1FF7"/>
    <w:rsid w:val="00CE6F5B"/>
    <w:rsid w:val="00D818FD"/>
    <w:rsid w:val="00DF10BB"/>
    <w:rsid w:val="00E040F9"/>
    <w:rsid w:val="00EA5699"/>
    <w:rsid w:val="00F2135A"/>
    <w:rsid w:val="00F2602B"/>
    <w:rsid w:val="00F3450B"/>
    <w:rsid w:val="00F85813"/>
    <w:rsid w:val="00F95C5E"/>
    <w:rsid w:val="00FB6C39"/>
    <w:rsid w:val="01904948"/>
    <w:rsid w:val="0381433E"/>
    <w:rsid w:val="04163248"/>
    <w:rsid w:val="04E15802"/>
    <w:rsid w:val="06DD2A01"/>
    <w:rsid w:val="07B923BD"/>
    <w:rsid w:val="08E00673"/>
    <w:rsid w:val="095C7285"/>
    <w:rsid w:val="0D246BD4"/>
    <w:rsid w:val="0D672AD6"/>
    <w:rsid w:val="0F7E4DAA"/>
    <w:rsid w:val="104D08F5"/>
    <w:rsid w:val="119C505E"/>
    <w:rsid w:val="11E80AD6"/>
    <w:rsid w:val="12FB6FE8"/>
    <w:rsid w:val="168B0344"/>
    <w:rsid w:val="17897EC4"/>
    <w:rsid w:val="1B7166E0"/>
    <w:rsid w:val="1E395720"/>
    <w:rsid w:val="1E9B000F"/>
    <w:rsid w:val="1FAD4DE8"/>
    <w:rsid w:val="20531BD9"/>
    <w:rsid w:val="24991326"/>
    <w:rsid w:val="28180E9D"/>
    <w:rsid w:val="2A0E4549"/>
    <w:rsid w:val="2DFA4E12"/>
    <w:rsid w:val="2EF24C5F"/>
    <w:rsid w:val="365F39E8"/>
    <w:rsid w:val="36C24008"/>
    <w:rsid w:val="37B104F6"/>
    <w:rsid w:val="3E2F3F8D"/>
    <w:rsid w:val="3F0F2990"/>
    <w:rsid w:val="3F480F09"/>
    <w:rsid w:val="42D91274"/>
    <w:rsid w:val="431D4C7D"/>
    <w:rsid w:val="432C2634"/>
    <w:rsid w:val="456E3271"/>
    <w:rsid w:val="47300CCE"/>
    <w:rsid w:val="4A6807A1"/>
    <w:rsid w:val="4BB73CA2"/>
    <w:rsid w:val="4C6D1422"/>
    <w:rsid w:val="4E92280E"/>
    <w:rsid w:val="4F4A1802"/>
    <w:rsid w:val="517F2225"/>
    <w:rsid w:val="51E41294"/>
    <w:rsid w:val="53420220"/>
    <w:rsid w:val="534B16FE"/>
    <w:rsid w:val="53794425"/>
    <w:rsid w:val="5619233F"/>
    <w:rsid w:val="591D6ADB"/>
    <w:rsid w:val="5D683F19"/>
    <w:rsid w:val="5D8D13ED"/>
    <w:rsid w:val="62C44CF3"/>
    <w:rsid w:val="64561B9C"/>
    <w:rsid w:val="69191FBD"/>
    <w:rsid w:val="6B160A7F"/>
    <w:rsid w:val="6D1546D2"/>
    <w:rsid w:val="6D3414FD"/>
    <w:rsid w:val="6FFFC447"/>
    <w:rsid w:val="719549B3"/>
    <w:rsid w:val="774C1ED8"/>
    <w:rsid w:val="77EF7F20"/>
    <w:rsid w:val="7B1E74DC"/>
    <w:rsid w:val="7D9C7CC2"/>
    <w:rsid w:val="7F1906E6"/>
    <w:rsid w:val="A37FA861"/>
    <w:rsid w:val="FD3FF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link w:val="19"/>
    <w:qFormat/>
    <w:uiPriority w:val="0"/>
    <w:rPr>
      <w:b/>
      <w:bCs/>
    </w:rPr>
  </w:style>
  <w:style w:type="paragraph" w:styleId="10">
    <w:name w:val="Body Text First Indent"/>
    <w:basedOn w:val="4"/>
    <w:unhideWhenUsed/>
    <w:qFormat/>
    <w:uiPriority w:val="99"/>
    <w:pPr>
      <w:ind w:firstLine="420" w:firstLineChars="100"/>
    </w:pPr>
    <w:rPr>
      <w:rFonts w:eastAsia="仿宋_GB2312"/>
      <w:sz w:val="32"/>
      <w:szCs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qFormat/>
    <w:uiPriority w:val="0"/>
    <w:rPr>
      <w:sz w:val="21"/>
      <w:szCs w:val="21"/>
    </w:rPr>
  </w:style>
  <w:style w:type="character" w:customStyle="1" w:styleId="15">
    <w:name w:val="font51"/>
    <w:basedOn w:val="13"/>
    <w:qFormat/>
    <w:uiPriority w:val="0"/>
    <w:rPr>
      <w:rFonts w:hint="eastAsia" w:ascii="宋体" w:hAnsi="宋体" w:eastAsia="宋体" w:cs="宋体"/>
      <w:color w:val="000000"/>
      <w:sz w:val="24"/>
      <w:szCs w:val="24"/>
      <w:u w:val="none"/>
    </w:rPr>
  </w:style>
  <w:style w:type="character" w:customStyle="1" w:styleId="16">
    <w:name w:val="页眉 字符"/>
    <w:basedOn w:val="13"/>
    <w:link w:val="7"/>
    <w:qFormat/>
    <w:uiPriority w:val="0"/>
    <w:rPr>
      <w:kern w:val="2"/>
      <w:sz w:val="18"/>
      <w:szCs w:val="18"/>
    </w:rPr>
  </w:style>
  <w:style w:type="paragraph" w:customStyle="1" w:styleId="17">
    <w:name w:val="列出段落1"/>
    <w:basedOn w:val="1"/>
    <w:qFormat/>
    <w:uiPriority w:val="34"/>
    <w:pPr>
      <w:ind w:firstLine="420" w:firstLineChars="200"/>
    </w:pPr>
    <w:rPr>
      <w:rFonts w:ascii="Calibri" w:hAnsi="Calibri" w:cs="宋体"/>
    </w:rPr>
  </w:style>
  <w:style w:type="character" w:customStyle="1" w:styleId="18">
    <w:name w:val="批注文字 字符"/>
    <w:basedOn w:val="13"/>
    <w:link w:val="3"/>
    <w:qFormat/>
    <w:uiPriority w:val="0"/>
    <w:rPr>
      <w:kern w:val="2"/>
      <w:sz w:val="21"/>
      <w:szCs w:val="24"/>
    </w:rPr>
  </w:style>
  <w:style w:type="character" w:customStyle="1" w:styleId="19">
    <w:name w:val="批注主题 字符"/>
    <w:basedOn w:val="18"/>
    <w:link w:val="9"/>
    <w:qFormat/>
    <w:uiPriority w:val="0"/>
    <w:rPr>
      <w:b/>
      <w:bCs/>
      <w:kern w:val="2"/>
      <w:sz w:val="21"/>
      <w:szCs w:val="24"/>
    </w:rPr>
  </w:style>
  <w:style w:type="character" w:customStyle="1" w:styleId="20">
    <w:name w:val="页脚 字符"/>
    <w:basedOn w:val="13"/>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2443</Words>
  <Characters>2552</Characters>
  <Lines>17</Lines>
  <Paragraphs>4</Paragraphs>
  <TotalTime>3</TotalTime>
  <ScaleCrop>false</ScaleCrop>
  <LinksUpToDate>false</LinksUpToDate>
  <CharactersWithSpaces>2553</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2022-07-23T10:12:00Z</dcterms:created>
  <dc:creator>王榕</dc:creator>
  <cp:lastModifiedBy>黄国波</cp:lastModifiedBy>
  <cp:lastPrinted>2021-06-05T03:18:00Z</cp:lastPrinted>
  <dcterms:modified xsi:type="dcterms:W3CDTF">2026-05-29T15:28:03Z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D081BB23561DF93E45E2176AC518F174_43</vt:lpwstr>
  </property>
  <property fmtid="{D5CDD505-2E9C-101B-9397-08002B2CF9AE}" pid="4" name="KSOTemplateDocerSaveRecord">
    <vt:lpwstr>eyJoZGlkIjoiNzliOTU0NTc3ZTM1ZTYyZGY3YzYzMmZkODc4MjgyZWMiLCJ1c2VySWQiOiIzMjk0MTYzNTUifQ==</vt:lpwstr>
  </property>
</Properties>
</file>