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DD60F">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w:t>
      </w:r>
    </w:p>
    <w:p w14:paraId="19F01CD1">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区文化广电旅游体育局分项资金</w:t>
      </w:r>
    </w:p>
    <w:p w14:paraId="4370D750">
      <w:pPr>
        <w:spacing w:after="0" w:line="560" w:lineRule="exact"/>
        <w:contextualSpacing/>
        <w:jc w:val="center"/>
        <w:rPr>
          <w:rFonts w:hint="eastAsia" w:ascii="方正小标宋_GBK" w:hAnsi="宋体" w:eastAsia="方正小标宋_GBK"/>
          <w:color w:val="auto"/>
          <w:sz w:val="44"/>
          <w:szCs w:val="44"/>
          <w:lang w:eastAsia="zh-CN"/>
        </w:rPr>
      </w:pPr>
      <w:r>
        <w:rPr>
          <w:rFonts w:hint="eastAsia" w:ascii="方正小标宋_GBK" w:hAnsi="宋体" w:eastAsia="方正小标宋_GBK"/>
          <w:color w:val="auto"/>
          <w:sz w:val="44"/>
          <w:szCs w:val="44"/>
          <w:lang w:val="en-US" w:eastAsia="zh-CN"/>
        </w:rPr>
        <w:t>支持旅游企业创优评级资助</w:t>
      </w:r>
      <w:r>
        <w:rPr>
          <w:rFonts w:hint="eastAsia" w:ascii="方正小标宋_GBK" w:hAnsi="宋体" w:eastAsia="方正小标宋_GBK"/>
          <w:color w:val="auto"/>
          <w:sz w:val="44"/>
          <w:szCs w:val="44"/>
        </w:rPr>
        <w:t>项目操作规程</w:t>
      </w:r>
      <w:r>
        <w:rPr>
          <w:rFonts w:hint="eastAsia" w:ascii="方正小标宋_GBK" w:hAnsi="宋体" w:eastAsia="方正小标宋_GBK"/>
          <w:color w:val="auto"/>
          <w:sz w:val="44"/>
          <w:szCs w:val="44"/>
          <w:lang w:eastAsia="zh-CN"/>
        </w:rPr>
        <w:t>（</w:t>
      </w:r>
      <w:r>
        <w:rPr>
          <w:rFonts w:hint="eastAsia" w:ascii="方正小标宋_GBK" w:hAnsi="宋体" w:eastAsia="方正小标宋_GBK"/>
          <w:color w:val="auto"/>
          <w:sz w:val="44"/>
          <w:szCs w:val="44"/>
          <w:lang w:val="en-US" w:eastAsia="zh-CN"/>
        </w:rPr>
        <w:t>2026年</w:t>
      </w:r>
      <w:r>
        <w:rPr>
          <w:rFonts w:hint="eastAsia" w:ascii="方正小标宋_GBK" w:hAnsi="宋体" w:eastAsia="方正小标宋_GBK"/>
          <w:color w:val="auto"/>
          <w:sz w:val="44"/>
          <w:szCs w:val="44"/>
          <w:lang w:eastAsia="zh-CN"/>
        </w:rPr>
        <w:t>）</w:t>
      </w:r>
    </w:p>
    <w:p w14:paraId="0EBBB6A9">
      <w:pPr>
        <w:spacing w:after="0" w:line="560" w:lineRule="exact"/>
        <w:contextualSpacing/>
        <w:jc w:val="center"/>
        <w:rPr>
          <w:rFonts w:hint="eastAsia" w:ascii="方正小标宋_GBK" w:hAnsi="宋体" w:eastAsia="方正小标宋_GBK"/>
          <w:sz w:val="44"/>
          <w:szCs w:val="44"/>
          <w:lang w:eastAsia="zh-CN"/>
        </w:rPr>
      </w:pPr>
    </w:p>
    <w:p w14:paraId="3AB69082">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14:paraId="67E4EDEC">
      <w:pPr>
        <w:numPr>
          <w:ilvl w:val="-1"/>
          <w:numId w:val="0"/>
        </w:numPr>
        <w:autoSpaceDN/>
        <w:spacing w:line="600" w:lineRule="exact"/>
        <w:ind w:firstLine="640" w:firstLineChars="200"/>
        <w:rPr>
          <w:rFonts w:hint="eastAsia" w:ascii="Times New Roman" w:hAnsi="仿宋" w:eastAsia="仿宋" w:cs="Times New Roman"/>
          <w:color w:val="000000"/>
          <w:kern w:val="0"/>
          <w:sz w:val="32"/>
          <w:szCs w:val="32"/>
        </w:rPr>
      </w:pPr>
      <w:r>
        <w:rPr>
          <w:rFonts w:hint="eastAsia" w:hAnsi="仿宋" w:eastAsia="仿宋" w:cs="Times New Roman"/>
          <w:color w:val="000000"/>
          <w:kern w:val="0"/>
          <w:sz w:val="32"/>
          <w:szCs w:val="32"/>
          <w:lang w:eastAsia="zh-CN"/>
        </w:rPr>
        <w:t>（</w:t>
      </w:r>
      <w:r>
        <w:rPr>
          <w:rFonts w:hint="eastAsia" w:hAnsi="仿宋" w:eastAsia="仿宋" w:cs="Times New Roman"/>
          <w:color w:val="000000"/>
          <w:kern w:val="0"/>
          <w:sz w:val="32"/>
          <w:szCs w:val="32"/>
          <w:lang w:val="en-US" w:eastAsia="zh-CN"/>
        </w:rPr>
        <w:t>一</w:t>
      </w:r>
      <w:r>
        <w:rPr>
          <w:rFonts w:hint="eastAsia" w:hAnsi="仿宋" w:eastAsia="仿宋" w:cs="Times New Roman"/>
          <w:color w:val="000000"/>
          <w:kern w:val="0"/>
          <w:sz w:val="32"/>
          <w:szCs w:val="32"/>
          <w:lang w:eastAsia="zh-CN"/>
        </w:rPr>
        <w:t>）</w:t>
      </w:r>
      <w:r>
        <w:rPr>
          <w:rFonts w:hint="eastAsia" w:ascii="Times New Roman" w:hAnsi="仿宋" w:eastAsia="仿宋" w:cs="Times New Roman"/>
          <w:color w:val="000000"/>
          <w:kern w:val="0"/>
          <w:sz w:val="32"/>
          <w:szCs w:val="32"/>
        </w:rPr>
        <w:t>对获评为国家５Ａ、４Ａ、３Ａ级旅游景区的单位，分别给予300万元、200万元、100万元一次性奖励；</w:t>
      </w:r>
    </w:p>
    <w:p w14:paraId="7BD49D9F">
      <w:pPr>
        <w:numPr>
          <w:ilvl w:val="-1"/>
          <w:numId w:val="0"/>
        </w:numPr>
        <w:autoSpaceDN/>
        <w:spacing w:line="600" w:lineRule="exact"/>
        <w:ind w:firstLine="640" w:firstLineChars="200"/>
        <w:rPr>
          <w:rFonts w:hint="eastAsia" w:ascii="Times New Roman" w:hAnsi="仿宋" w:eastAsia="仿宋" w:cs="Times New Roman"/>
          <w:color w:val="000000"/>
          <w:kern w:val="0"/>
          <w:sz w:val="32"/>
          <w:szCs w:val="32"/>
        </w:rPr>
      </w:pPr>
      <w:r>
        <w:rPr>
          <w:rFonts w:hint="eastAsia" w:hAnsi="仿宋" w:eastAsia="仿宋" w:cs="Times New Roman"/>
          <w:color w:val="000000"/>
          <w:kern w:val="0"/>
          <w:sz w:val="32"/>
          <w:szCs w:val="32"/>
          <w:lang w:eastAsia="zh-CN"/>
        </w:rPr>
        <w:t>（</w:t>
      </w:r>
      <w:r>
        <w:rPr>
          <w:rFonts w:hint="eastAsia" w:hAnsi="仿宋" w:eastAsia="仿宋" w:cs="Times New Roman"/>
          <w:color w:val="000000"/>
          <w:kern w:val="0"/>
          <w:sz w:val="32"/>
          <w:szCs w:val="32"/>
          <w:lang w:val="en-US" w:eastAsia="zh-CN"/>
        </w:rPr>
        <w:t>二</w:t>
      </w:r>
      <w:r>
        <w:rPr>
          <w:rFonts w:hint="eastAsia" w:hAnsi="仿宋" w:eastAsia="仿宋" w:cs="Times New Roman"/>
          <w:color w:val="000000"/>
          <w:kern w:val="0"/>
          <w:sz w:val="32"/>
          <w:szCs w:val="32"/>
          <w:lang w:eastAsia="zh-CN"/>
        </w:rPr>
        <w:t>）</w:t>
      </w:r>
      <w:r>
        <w:rPr>
          <w:rFonts w:hint="eastAsia" w:ascii="Times New Roman" w:hAnsi="仿宋" w:eastAsia="仿宋" w:cs="Times New Roman"/>
          <w:color w:val="000000"/>
          <w:kern w:val="0"/>
          <w:sz w:val="32"/>
          <w:szCs w:val="32"/>
        </w:rPr>
        <w:t>对获得五星、四星级酒店评定的单位，分别给予</w:t>
      </w:r>
    </w:p>
    <w:p w14:paraId="16AB6606">
      <w:pPr>
        <w:numPr>
          <w:ilvl w:val="-1"/>
          <w:numId w:val="0"/>
        </w:numPr>
        <w:autoSpaceDN/>
        <w:spacing w:line="600" w:lineRule="exact"/>
        <w:ind w:firstLine="0" w:firstLineChars="0"/>
        <w:rPr>
          <w:rFonts w:hint="eastAsia" w:ascii="Times New Roman" w:hAnsi="仿宋" w:eastAsia="仿宋" w:cs="Times New Roman"/>
          <w:color w:val="000000"/>
          <w:kern w:val="0"/>
          <w:sz w:val="32"/>
          <w:szCs w:val="32"/>
        </w:rPr>
      </w:pPr>
      <w:r>
        <w:rPr>
          <w:rFonts w:hint="eastAsia" w:ascii="Times New Roman" w:hAnsi="仿宋" w:eastAsia="仿宋" w:cs="Times New Roman"/>
          <w:color w:val="000000"/>
          <w:kern w:val="0"/>
          <w:sz w:val="32"/>
          <w:szCs w:val="32"/>
        </w:rPr>
        <w:t>300万元、200万元一次性奖励；</w:t>
      </w:r>
    </w:p>
    <w:p w14:paraId="4DEF1713">
      <w:pPr>
        <w:numPr>
          <w:ilvl w:val="-1"/>
          <w:numId w:val="0"/>
        </w:numPr>
        <w:autoSpaceDN/>
        <w:spacing w:line="600" w:lineRule="exact"/>
        <w:ind w:firstLine="640" w:firstLineChars="200"/>
        <w:rPr>
          <w:rFonts w:hint="eastAsia" w:ascii="Times New Roman" w:hAnsi="仿宋" w:eastAsia="仿宋" w:cs="Times New Roman"/>
          <w:color w:val="000000"/>
          <w:kern w:val="0"/>
          <w:sz w:val="32"/>
          <w:szCs w:val="32"/>
        </w:rPr>
      </w:pPr>
      <w:r>
        <w:rPr>
          <w:rFonts w:hint="eastAsia" w:hAnsi="仿宋" w:eastAsia="仿宋" w:cs="Times New Roman"/>
          <w:color w:val="000000"/>
          <w:kern w:val="0"/>
          <w:sz w:val="32"/>
          <w:szCs w:val="32"/>
          <w:lang w:eastAsia="zh-CN"/>
        </w:rPr>
        <w:t>（</w:t>
      </w:r>
      <w:r>
        <w:rPr>
          <w:rFonts w:hint="eastAsia" w:hAnsi="仿宋" w:eastAsia="仿宋" w:cs="Times New Roman"/>
          <w:color w:val="000000"/>
          <w:kern w:val="0"/>
          <w:sz w:val="32"/>
          <w:szCs w:val="32"/>
          <w:lang w:val="en-US" w:eastAsia="zh-CN"/>
        </w:rPr>
        <w:t>三</w:t>
      </w:r>
      <w:r>
        <w:rPr>
          <w:rFonts w:hint="eastAsia" w:hAnsi="仿宋" w:eastAsia="仿宋" w:cs="Times New Roman"/>
          <w:color w:val="000000"/>
          <w:kern w:val="0"/>
          <w:sz w:val="32"/>
          <w:szCs w:val="32"/>
          <w:lang w:eastAsia="zh-CN"/>
        </w:rPr>
        <w:t>）</w:t>
      </w:r>
      <w:r>
        <w:rPr>
          <w:rFonts w:hint="eastAsia" w:ascii="Times New Roman" w:hAnsi="仿宋" w:eastAsia="仿宋" w:cs="Times New Roman"/>
          <w:color w:val="000000"/>
          <w:kern w:val="0"/>
          <w:sz w:val="32"/>
          <w:szCs w:val="32"/>
        </w:rPr>
        <w:t>对获评为市级以上“平安景区”“绿色景区”“绿色饭店/酒店”的单位，给予20万元一次性奖励；</w:t>
      </w:r>
    </w:p>
    <w:p w14:paraId="51E7E537">
      <w:pPr>
        <w:numPr>
          <w:ilvl w:val="-1"/>
          <w:numId w:val="0"/>
        </w:numPr>
        <w:autoSpaceDN/>
        <w:spacing w:line="600" w:lineRule="exact"/>
        <w:ind w:firstLine="640" w:firstLineChars="200"/>
        <w:rPr>
          <w:rFonts w:hint="eastAsia" w:ascii="Times New Roman" w:hAnsi="仿宋" w:eastAsia="仿宋" w:cs="Times New Roman"/>
          <w:color w:val="000000"/>
          <w:kern w:val="0"/>
          <w:sz w:val="32"/>
          <w:szCs w:val="32"/>
        </w:rPr>
      </w:pPr>
      <w:r>
        <w:rPr>
          <w:rFonts w:hint="eastAsia" w:hAnsi="仿宋" w:eastAsia="仿宋" w:cs="Times New Roman"/>
          <w:color w:val="000000"/>
          <w:kern w:val="0"/>
          <w:sz w:val="32"/>
          <w:szCs w:val="32"/>
          <w:lang w:eastAsia="zh-CN"/>
        </w:rPr>
        <w:t>（</w:t>
      </w:r>
      <w:r>
        <w:rPr>
          <w:rFonts w:hint="eastAsia" w:hAnsi="仿宋" w:eastAsia="仿宋" w:cs="Times New Roman"/>
          <w:color w:val="000000"/>
          <w:kern w:val="0"/>
          <w:sz w:val="32"/>
          <w:szCs w:val="32"/>
          <w:lang w:val="en-US" w:eastAsia="zh-CN"/>
        </w:rPr>
        <w:t>四</w:t>
      </w:r>
      <w:r>
        <w:rPr>
          <w:rFonts w:hint="eastAsia" w:hAnsi="仿宋" w:eastAsia="仿宋" w:cs="Times New Roman"/>
          <w:color w:val="000000"/>
          <w:kern w:val="0"/>
          <w:sz w:val="32"/>
          <w:szCs w:val="32"/>
          <w:lang w:eastAsia="zh-CN"/>
        </w:rPr>
        <w:t>）</w:t>
      </w:r>
      <w:r>
        <w:rPr>
          <w:rFonts w:hint="eastAsia" w:ascii="Times New Roman" w:hAnsi="仿宋" w:eastAsia="仿宋" w:cs="Times New Roman"/>
          <w:color w:val="000000"/>
          <w:kern w:val="0"/>
          <w:sz w:val="32"/>
          <w:szCs w:val="32"/>
        </w:rPr>
        <w:t>对获评为国家“百强旅行社”、省“百强旅行社”、市“旅行社二十强”的单位，分别给予50万元、40万元、30万元一次性奖励；</w:t>
      </w:r>
    </w:p>
    <w:p w14:paraId="504D32B6">
      <w:pPr>
        <w:numPr>
          <w:ilvl w:val="-1"/>
          <w:numId w:val="0"/>
        </w:numPr>
        <w:autoSpaceDN/>
        <w:spacing w:line="600" w:lineRule="exact"/>
        <w:ind w:firstLine="640" w:firstLineChars="200"/>
        <w:rPr>
          <w:rFonts w:hint="eastAsia" w:ascii="Times New Roman" w:hAnsi="仿宋" w:eastAsia="仿宋" w:cs="Times New Roman"/>
          <w:color w:val="000000"/>
          <w:kern w:val="0"/>
          <w:sz w:val="32"/>
          <w:szCs w:val="32"/>
        </w:rPr>
      </w:pPr>
      <w:r>
        <w:rPr>
          <w:rFonts w:hint="eastAsia" w:hAnsi="仿宋" w:eastAsia="仿宋" w:cs="Times New Roman"/>
          <w:color w:val="000000"/>
          <w:kern w:val="0"/>
          <w:sz w:val="32"/>
          <w:szCs w:val="32"/>
          <w:lang w:eastAsia="zh-CN"/>
        </w:rPr>
        <w:t>（</w:t>
      </w:r>
      <w:r>
        <w:rPr>
          <w:rFonts w:hint="eastAsia" w:hAnsi="仿宋" w:eastAsia="仿宋" w:cs="Times New Roman"/>
          <w:color w:val="000000"/>
          <w:kern w:val="0"/>
          <w:sz w:val="32"/>
          <w:szCs w:val="32"/>
          <w:lang w:val="en-US" w:eastAsia="zh-CN"/>
        </w:rPr>
        <w:t>五</w:t>
      </w:r>
      <w:r>
        <w:rPr>
          <w:rFonts w:hint="eastAsia" w:hAnsi="仿宋" w:eastAsia="仿宋" w:cs="Times New Roman"/>
          <w:color w:val="000000"/>
          <w:kern w:val="0"/>
          <w:sz w:val="32"/>
          <w:szCs w:val="32"/>
          <w:lang w:eastAsia="zh-CN"/>
        </w:rPr>
        <w:t>）</w:t>
      </w:r>
      <w:r>
        <w:rPr>
          <w:rFonts w:hint="eastAsia" w:ascii="Times New Roman" w:hAnsi="仿宋" w:eastAsia="仿宋" w:cs="Times New Roman"/>
          <w:color w:val="000000"/>
          <w:kern w:val="0"/>
          <w:sz w:val="32"/>
          <w:szCs w:val="32"/>
        </w:rPr>
        <w:t>对获得国家、省、市级旅游主管部门或其主管部门授权的行业组织评定为“工业旅游景点（含示范点、示范基地）”的单位，分别给予50万元、40万元、30万元一次性奖励。</w:t>
      </w:r>
    </w:p>
    <w:p w14:paraId="33AD3137">
      <w:pPr>
        <w:spacing w:after="0" w:line="240" w:lineRule="auto"/>
        <w:ind w:firstLine="640" w:firstLineChars="200"/>
        <w:contextualSpacing w:val="0"/>
        <w:jc w:val="left"/>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w:t>
      </w:r>
      <w:r>
        <w:rPr>
          <w:rFonts w:hint="eastAsia" w:ascii="黑体" w:hAnsi="黑体" w:eastAsia="黑体"/>
          <w:bCs/>
          <w:kern w:val="2"/>
          <w:sz w:val="32"/>
          <w:szCs w:val="32"/>
          <w:lang w:val="en-US" w:eastAsia="zh-CN" w:bidi="ar-SA"/>
        </w:rPr>
        <w:t>设</w:t>
      </w:r>
      <w:r>
        <w:rPr>
          <w:rFonts w:hint="eastAsia" w:ascii="黑体" w:hAnsi="黑体" w:eastAsia="黑体"/>
          <w:bCs/>
          <w:kern w:val="2"/>
          <w:sz w:val="32"/>
          <w:szCs w:val="32"/>
          <w:lang w:eastAsia="zh-CN" w:bidi="ar-SA"/>
        </w:rPr>
        <w:t>定依据</w:t>
      </w:r>
    </w:p>
    <w:p w14:paraId="7AD6A2C9">
      <w:pPr>
        <w:spacing w:line="600" w:lineRule="exact"/>
        <w:ind w:firstLine="640" w:firstLineChars="200"/>
        <w:rPr>
          <w:rFonts w:hint="eastAsia" w:hAnsi="仿宋" w:eastAsia="仿宋"/>
          <w:color w:val="000000"/>
          <w:sz w:val="32"/>
          <w:szCs w:val="32"/>
          <w:highlight w:val="none"/>
        </w:rPr>
      </w:pPr>
      <w:r>
        <w:rPr>
          <w:rFonts w:hint="eastAsia" w:hAnsi="仿宋" w:eastAsia="仿宋"/>
          <w:color w:val="000000"/>
          <w:sz w:val="32"/>
          <w:szCs w:val="32"/>
        </w:rPr>
        <w:t>为支持旅游业创新发展</w:t>
      </w:r>
      <w:r>
        <w:rPr>
          <w:rFonts w:hint="eastAsia" w:hAnsi="仿宋" w:eastAsia="仿宋"/>
          <w:color w:val="000000"/>
          <w:sz w:val="32"/>
          <w:szCs w:val="32"/>
          <w:lang w:eastAsia="zh-CN"/>
        </w:rPr>
        <w:t>，</w:t>
      </w:r>
      <w:r>
        <w:rPr>
          <w:rFonts w:hint="eastAsia" w:hAnsi="仿宋" w:eastAsia="仿宋"/>
          <w:color w:val="000000"/>
          <w:kern w:val="0"/>
          <w:sz w:val="32"/>
          <w:szCs w:val="32"/>
        </w:rPr>
        <w:t>根据《</w:t>
      </w:r>
      <w:r>
        <w:rPr>
          <w:rFonts w:hint="eastAsia" w:ascii="Times New Roman" w:hAnsi="仿宋" w:eastAsia="仿宋" w:cs="Times New Roman"/>
          <w:i w:val="0"/>
          <w:iCs w:val="0"/>
          <w:caps w:val="0"/>
          <w:color w:val="000000"/>
          <w:spacing w:val="0"/>
          <w:kern w:val="0"/>
          <w:sz w:val="32"/>
          <w:szCs w:val="32"/>
          <w:shd w:val="clear" w:fill="auto"/>
        </w:rPr>
        <w:t>南山区促进产业高质量发展专项资金管理办法</w:t>
      </w:r>
      <w:r>
        <w:rPr>
          <w:rFonts w:hint="eastAsia" w:hAnsi="仿宋" w:eastAsia="仿宋"/>
          <w:color w:val="000000"/>
          <w:kern w:val="0"/>
          <w:sz w:val="32"/>
          <w:szCs w:val="32"/>
        </w:rPr>
        <w:t>》和《</w:t>
      </w:r>
      <w:r>
        <w:rPr>
          <w:rFonts w:hint="eastAsia" w:hAnsi="仿宋" w:eastAsia="仿宋"/>
          <w:sz w:val="32"/>
          <w:szCs w:val="32"/>
          <w:lang w:eastAsia="zh-CN"/>
        </w:rPr>
        <w:t>南山区促进文化旅游体育产业发展</w:t>
      </w:r>
      <w:r>
        <w:rPr>
          <w:rFonts w:hint="eastAsia" w:hAnsi="仿宋" w:eastAsia="仿宋"/>
          <w:sz w:val="32"/>
          <w:szCs w:val="32"/>
          <w:highlight w:val="none"/>
          <w:lang w:eastAsia="zh-CN"/>
        </w:rPr>
        <w:t>专项扶持措施</w:t>
      </w:r>
      <w:r>
        <w:rPr>
          <w:rFonts w:hint="eastAsia" w:hAnsi="仿宋" w:eastAsia="仿宋"/>
          <w:color w:val="000000"/>
          <w:kern w:val="0"/>
          <w:sz w:val="32"/>
          <w:szCs w:val="32"/>
          <w:highlight w:val="none"/>
        </w:rPr>
        <w:t>》，</w:t>
      </w:r>
      <w:r>
        <w:rPr>
          <w:rFonts w:hint="eastAsia" w:hAnsi="仿宋" w:eastAsia="仿宋"/>
          <w:color w:val="000000"/>
          <w:sz w:val="32"/>
          <w:szCs w:val="32"/>
          <w:highlight w:val="none"/>
        </w:rPr>
        <w:t>制定本操作规程。</w:t>
      </w:r>
    </w:p>
    <w:p w14:paraId="311DE5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eastAsia="黑体"/>
          <w:color w:val="000000"/>
          <w:sz w:val="32"/>
          <w:szCs w:val="32"/>
          <w:highlight w:val="none"/>
          <w:lang w:val="en-US" w:eastAsia="zh-CN"/>
        </w:rPr>
      </w:pPr>
      <w:r>
        <w:rPr>
          <w:rFonts w:hint="eastAsia" w:hAnsi="黑体" w:eastAsia="黑体"/>
          <w:color w:val="000000"/>
          <w:sz w:val="32"/>
          <w:szCs w:val="32"/>
          <w:highlight w:val="none"/>
          <w:lang w:eastAsia="zh-CN"/>
        </w:rPr>
        <w:t>三、</w:t>
      </w:r>
      <w:r>
        <w:rPr>
          <w:rFonts w:hint="eastAsia" w:hAnsi="黑体" w:eastAsia="黑体"/>
          <w:color w:val="000000"/>
          <w:sz w:val="32"/>
          <w:szCs w:val="32"/>
          <w:highlight w:val="none"/>
        </w:rPr>
        <w:t>申请条件</w:t>
      </w:r>
      <w:r>
        <w:rPr>
          <w:rFonts w:hint="eastAsia" w:hAnsi="黑体" w:eastAsia="黑体"/>
          <w:color w:val="000000"/>
          <w:sz w:val="32"/>
          <w:szCs w:val="32"/>
          <w:highlight w:val="none"/>
          <w:lang w:val="en-US" w:eastAsia="zh-CN"/>
        </w:rPr>
        <w:t xml:space="preserve">  </w:t>
      </w:r>
    </w:p>
    <w:p w14:paraId="2A32E8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color w:val="000000"/>
          <w:sz w:val="32"/>
          <w:szCs w:val="32"/>
          <w:highlight w:val="none"/>
        </w:rPr>
      </w:pPr>
      <w:r>
        <w:rPr>
          <w:rFonts w:hint="eastAsia" w:ascii="楷体" w:hAnsi="楷体" w:eastAsia="楷体" w:cs="楷体"/>
          <w:color w:val="000000"/>
          <w:sz w:val="32"/>
          <w:szCs w:val="32"/>
          <w:highlight w:val="none"/>
        </w:rPr>
        <w:t>（一）</w:t>
      </w:r>
      <w:r>
        <w:rPr>
          <w:rFonts w:hint="eastAsia" w:ascii="楷体" w:hAnsi="楷体" w:eastAsia="楷体" w:cs="楷体"/>
          <w:color w:val="000000"/>
          <w:sz w:val="32"/>
          <w:szCs w:val="32"/>
          <w:highlight w:val="none"/>
          <w:lang w:eastAsia="zh-CN"/>
        </w:rPr>
        <w:t>基本条件</w:t>
      </w:r>
      <w:r>
        <w:rPr>
          <w:rFonts w:hint="eastAsia" w:ascii="楷体" w:hAnsi="楷体" w:eastAsia="楷体" w:cs="楷体"/>
          <w:color w:val="000000"/>
          <w:sz w:val="32"/>
          <w:szCs w:val="32"/>
          <w:highlight w:val="none"/>
        </w:rPr>
        <w:t>：</w:t>
      </w:r>
    </w:p>
    <w:p w14:paraId="1865093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highlight w:val="none"/>
          <w:lang w:eastAsia="zh-CN"/>
        </w:rPr>
      </w:pPr>
      <w:r>
        <w:rPr>
          <w:rFonts w:ascii="仿宋" w:hAnsi="仿宋" w:eastAsia="仿宋"/>
          <w:color w:val="000000"/>
          <w:sz w:val="32"/>
          <w:szCs w:val="32"/>
          <w:highlight w:val="none"/>
        </w:rPr>
        <w:t>1</w:t>
      </w:r>
      <w:r>
        <w:rPr>
          <w:rFonts w:hint="eastAsia" w:ascii="仿宋" w:hAnsi="仿宋" w:eastAsia="仿宋"/>
          <w:color w:val="000000"/>
          <w:sz w:val="32"/>
          <w:szCs w:val="32"/>
          <w:highlight w:val="none"/>
          <w:lang w:val="en-US" w:eastAsia="zh-CN"/>
        </w:rPr>
        <w:t>.</w:t>
      </w:r>
      <w:r>
        <w:rPr>
          <w:rFonts w:hint="eastAsia" w:hAnsi="仿宋" w:eastAsia="仿宋"/>
          <w:bCs/>
          <w:color w:val="000000"/>
          <w:sz w:val="32"/>
          <w:szCs w:val="32"/>
          <w:highlight w:val="none"/>
        </w:rPr>
        <w:t>在南山辖区</w:t>
      </w:r>
      <w:r>
        <w:rPr>
          <w:rFonts w:hint="eastAsia" w:hAnsi="仿宋" w:eastAsia="仿宋"/>
          <w:bCs/>
          <w:color w:val="000000"/>
          <w:sz w:val="32"/>
          <w:szCs w:val="32"/>
          <w:highlight w:val="none"/>
          <w:lang w:eastAsia="zh-CN"/>
        </w:rPr>
        <w:t>依法实际从事经营，</w:t>
      </w:r>
      <w:r>
        <w:rPr>
          <w:rFonts w:hint="eastAsia" w:ascii="仿宋" w:hAnsi="仿宋" w:eastAsia="仿宋"/>
          <w:color w:val="000000"/>
          <w:sz w:val="32"/>
          <w:szCs w:val="32"/>
          <w:highlight w:val="none"/>
        </w:rPr>
        <w:t>履行</w:t>
      </w:r>
      <w:r>
        <w:rPr>
          <w:rFonts w:hint="eastAsia" w:ascii="仿宋" w:hAnsi="仿宋" w:eastAsia="仿宋"/>
          <w:color w:val="000000"/>
          <w:sz w:val="32"/>
          <w:szCs w:val="32"/>
          <w:highlight w:val="none"/>
          <w:lang w:val="en-US" w:eastAsia="zh-CN"/>
        </w:rPr>
        <w:t>相关</w:t>
      </w:r>
      <w:r>
        <w:rPr>
          <w:rFonts w:hint="eastAsia" w:ascii="仿宋" w:hAnsi="仿宋" w:eastAsia="仿宋"/>
          <w:color w:val="000000"/>
          <w:sz w:val="32"/>
          <w:szCs w:val="32"/>
          <w:highlight w:val="none"/>
        </w:rPr>
        <w:t>数据申报义务、守法经营、诚实守信、有规范健全的财务制度</w:t>
      </w:r>
      <w:r>
        <w:rPr>
          <w:rFonts w:hint="eastAsia" w:ascii="仿宋" w:hAnsi="仿宋" w:eastAsia="仿宋"/>
          <w:color w:val="000000"/>
          <w:sz w:val="32"/>
          <w:szCs w:val="32"/>
          <w:highlight w:val="none"/>
          <w:lang w:eastAsia="zh-CN"/>
        </w:rPr>
        <w:t>；</w:t>
      </w:r>
    </w:p>
    <w:p w14:paraId="69F8FCC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highlight w:val="none"/>
          <w:lang w:val="en-US" w:eastAsia="zh-CN"/>
        </w:rPr>
      </w:pPr>
      <w:r>
        <w:rPr>
          <w:rFonts w:hint="eastAsia" w:ascii="仿宋" w:hAnsi="仿宋" w:eastAsia="仿宋" w:cs="Times New Roman"/>
          <w:color w:val="000000"/>
          <w:sz w:val="32"/>
          <w:szCs w:val="32"/>
          <w:highlight w:val="none"/>
          <w:lang w:val="en-US" w:eastAsia="zh-CN"/>
        </w:rPr>
        <w:t>2</w:t>
      </w:r>
      <w:bookmarkStart w:id="0" w:name="_GoBack"/>
      <w:bookmarkEnd w:id="0"/>
      <w:r>
        <w:rPr>
          <w:rFonts w:hint="eastAsia" w:ascii="仿宋" w:hAnsi="仿宋" w:eastAsia="仿宋" w:cs="Times New Roman"/>
          <w:color w:val="000000"/>
          <w:sz w:val="32"/>
          <w:szCs w:val="32"/>
          <w:highlight w:val="none"/>
          <w:lang w:val="en-US" w:eastAsia="zh-CN"/>
        </w:rPr>
        <w:t>.</w:t>
      </w:r>
      <w:r>
        <w:rPr>
          <w:rFonts w:hint="eastAsia" w:ascii="仿宋" w:hAnsi="仿宋" w:eastAsia="仿宋"/>
          <w:color w:val="000000"/>
          <w:sz w:val="32"/>
          <w:szCs w:val="32"/>
          <w:highlight w:val="none"/>
        </w:rPr>
        <w:t>积极配合区委、区政府相关工作</w:t>
      </w:r>
      <w:r>
        <w:rPr>
          <w:rFonts w:hint="eastAsia" w:ascii="仿宋" w:hAnsi="仿宋" w:eastAsia="仿宋" w:cs="Times New Roman"/>
          <w:color w:val="000000"/>
          <w:sz w:val="32"/>
          <w:szCs w:val="32"/>
          <w:highlight w:val="none"/>
          <w:lang w:val="en-US" w:eastAsia="zh-CN"/>
        </w:rPr>
        <w:t>。</w:t>
      </w:r>
    </w:p>
    <w:p w14:paraId="29CA9585">
      <w:pPr>
        <w:adjustRightInd w:val="0"/>
        <w:snapToGrid w:val="0"/>
        <w:spacing w:line="560" w:lineRule="exact"/>
        <w:ind w:firstLine="640" w:firstLineChars="200"/>
        <w:rPr>
          <w:rFonts w:hint="eastAsia" w:ascii="楷体" w:hAnsi="楷体" w:eastAsia="楷体" w:cs="楷体"/>
          <w:color w:val="000000"/>
          <w:sz w:val="32"/>
          <w:szCs w:val="32"/>
          <w:highlight w:val="none"/>
        </w:rPr>
      </w:pPr>
      <w:r>
        <w:rPr>
          <w:rFonts w:hint="eastAsia" w:ascii="楷体" w:hAnsi="楷体" w:eastAsia="楷体" w:cs="楷体"/>
          <w:color w:val="000000"/>
          <w:sz w:val="32"/>
          <w:szCs w:val="32"/>
          <w:highlight w:val="none"/>
        </w:rPr>
        <w:t>（二）有下列情况之一的，本项资金不予资助：</w:t>
      </w:r>
    </w:p>
    <w:p w14:paraId="34D2C6C7">
      <w:pPr>
        <w:adjustRightInd w:val="0"/>
        <w:snapToGrid w:val="0"/>
        <w:spacing w:line="560" w:lineRule="exact"/>
        <w:ind w:firstLine="640" w:firstLineChars="200"/>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1</w:t>
      </w:r>
      <w:r>
        <w:rPr>
          <w:rFonts w:hint="eastAsia" w:ascii="仿宋" w:hAnsi="仿宋" w:eastAsia="仿宋"/>
          <w:color w:val="000000"/>
          <w:sz w:val="32"/>
          <w:szCs w:val="32"/>
          <w:highlight w:val="none"/>
          <w:lang w:val="en-US" w:eastAsia="zh-CN"/>
        </w:rPr>
        <w:t>.</w:t>
      </w:r>
      <w:r>
        <w:rPr>
          <w:rFonts w:hint="eastAsia" w:ascii="仿宋" w:hAnsi="仿宋" w:eastAsia="仿宋"/>
          <w:color w:val="000000"/>
          <w:sz w:val="32"/>
          <w:szCs w:val="32"/>
          <w:highlight w:val="none"/>
        </w:rPr>
        <w:t>被依法依规纳入严重失信主体名单或失信惩戒措施清单的；</w:t>
      </w:r>
    </w:p>
    <w:p w14:paraId="73E35618">
      <w:pPr>
        <w:adjustRightInd w:val="0"/>
        <w:snapToGrid w:val="0"/>
        <w:spacing w:line="560" w:lineRule="exact"/>
        <w:ind w:firstLine="640" w:firstLineChars="200"/>
        <w:rPr>
          <w:rFonts w:hint="eastAsia" w:ascii="仿宋" w:hAnsi="仿宋" w:eastAsia="仿宋"/>
          <w:color w:val="000000"/>
          <w:sz w:val="32"/>
          <w:szCs w:val="32"/>
          <w:highlight w:val="none"/>
        </w:rPr>
      </w:pPr>
      <w:r>
        <w:rPr>
          <w:rFonts w:hint="eastAsia" w:ascii="仿宋" w:hAnsi="仿宋" w:eastAsia="仿宋"/>
          <w:color w:val="000000"/>
          <w:sz w:val="32"/>
          <w:szCs w:val="32"/>
          <w:highlight w:val="none"/>
        </w:rPr>
        <w:t>2</w:t>
      </w:r>
      <w:r>
        <w:rPr>
          <w:rFonts w:hint="eastAsia" w:ascii="仿宋" w:hAnsi="仿宋" w:eastAsia="仿宋"/>
          <w:color w:val="000000"/>
          <w:sz w:val="32"/>
          <w:szCs w:val="32"/>
          <w:highlight w:val="none"/>
          <w:lang w:val="en-US" w:eastAsia="zh-CN"/>
        </w:rPr>
        <w:t>.</w:t>
      </w:r>
      <w:r>
        <w:rPr>
          <w:rFonts w:hint="eastAsia" w:ascii="仿宋" w:hAnsi="仿宋" w:eastAsia="仿宋"/>
          <w:color w:val="000000"/>
          <w:sz w:val="32"/>
          <w:szCs w:val="32"/>
          <w:highlight w:val="none"/>
        </w:rPr>
        <w:t>提出资助申请后，申报主体</w:t>
      </w:r>
      <w:r>
        <w:rPr>
          <w:rFonts w:hint="eastAsia" w:ascii="仿宋" w:hAnsi="仿宋" w:eastAsia="仿宋"/>
          <w:color w:val="000000"/>
          <w:sz w:val="32"/>
          <w:szCs w:val="32"/>
          <w:highlight w:val="none"/>
          <w:lang w:eastAsia="zh-CN"/>
        </w:rPr>
        <w:t>项目</w:t>
      </w:r>
      <w:r>
        <w:rPr>
          <w:rFonts w:hint="eastAsia" w:ascii="仿宋" w:hAnsi="仿宋" w:eastAsia="仿宋"/>
          <w:color w:val="000000"/>
          <w:sz w:val="32"/>
          <w:szCs w:val="32"/>
          <w:highlight w:val="none"/>
        </w:rPr>
        <w:t>实</w:t>
      </w:r>
      <w:r>
        <w:rPr>
          <w:rFonts w:hint="eastAsia" w:ascii="仿宋" w:hAnsi="仿宋" w:eastAsia="仿宋"/>
          <w:color w:val="000000"/>
          <w:sz w:val="32"/>
          <w:szCs w:val="32"/>
          <w:highlight w:val="none"/>
          <w:lang w:eastAsia="zh-CN"/>
        </w:rPr>
        <w:t>施</w:t>
      </w:r>
      <w:r>
        <w:rPr>
          <w:rFonts w:hint="eastAsia" w:ascii="仿宋" w:hAnsi="仿宋" w:eastAsia="仿宋"/>
          <w:color w:val="000000"/>
          <w:sz w:val="32"/>
          <w:szCs w:val="32"/>
          <w:highlight w:val="none"/>
        </w:rPr>
        <w:t>地或</w:t>
      </w:r>
      <w:r>
        <w:rPr>
          <w:rFonts w:hint="eastAsia" w:ascii="仿宋" w:hAnsi="仿宋" w:eastAsia="仿宋"/>
          <w:color w:val="000000"/>
          <w:sz w:val="32"/>
          <w:szCs w:val="32"/>
          <w:highlight w:val="none"/>
          <w:lang w:eastAsia="zh-CN"/>
        </w:rPr>
        <w:t>数据申报地</w:t>
      </w:r>
      <w:r>
        <w:rPr>
          <w:rFonts w:hint="eastAsia" w:ascii="仿宋" w:hAnsi="仿宋" w:eastAsia="仿宋"/>
          <w:color w:val="000000"/>
          <w:sz w:val="32"/>
          <w:szCs w:val="32"/>
          <w:highlight w:val="none"/>
        </w:rPr>
        <w:t>发生变化，不再符合申报条件的。</w:t>
      </w:r>
    </w:p>
    <w:p w14:paraId="5B960DC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四、申报说明</w:t>
      </w:r>
    </w:p>
    <w:p w14:paraId="51DCCA06">
      <w:pPr>
        <w:widowControl/>
        <w:spacing w:line="600" w:lineRule="exact"/>
        <w:ind w:firstLine="537" w:firstLineChars="168"/>
        <w:rPr>
          <w:rFonts w:ascii="仿宋" w:hAnsi="仿宋" w:eastAsia="仿宋"/>
          <w:sz w:val="32"/>
          <w:szCs w:val="32"/>
        </w:rPr>
      </w:pPr>
      <w:r>
        <w:rPr>
          <w:rFonts w:hint="eastAsia" w:ascii="仿宋" w:hAnsi="仿宋" w:eastAsia="仿宋" w:cs="Times New Roman"/>
          <w:kern w:val="2"/>
          <w:sz w:val="32"/>
          <w:szCs w:val="32"/>
        </w:rPr>
        <w:t>旅游行业奖励首次获评后已获奖励的，复评后不再奖励，首次获评后未获奖励的，可在复评后进行申请，复评项目仅可按照上述标准申请一次。获得奖励的企业再获得更高级别称号时，仅可申请补发奖励差额。</w:t>
      </w:r>
    </w:p>
    <w:p w14:paraId="6F62D66B">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52F7F4B9">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541A2DBC">
      <w:pPr>
        <w:spacing w:after="0" w:line="56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r>
        <w:rPr>
          <w:rFonts w:hint="eastAsia" w:ascii="仿宋" w:hAnsi="仿宋" w:eastAsia="仿宋"/>
          <w:sz w:val="32"/>
          <w:szCs w:val="32"/>
          <w:lang w:eastAsia="zh-CN"/>
        </w:rPr>
        <w:t>。</w:t>
      </w:r>
    </w:p>
    <w:p w14:paraId="13BD5D9E">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6A32F41A">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700D9C7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3B4DDFBD">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20A0A874">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1756479B">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2531E7B0">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73E877FA">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678E7183">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55AA663F">
      <w:pPr>
        <w:widowControl/>
        <w:spacing w:line="600" w:lineRule="exact"/>
        <w:ind w:firstLine="640" w:firstLineChars="200"/>
        <w:rPr>
          <w:rFonts w:eastAsia="黑体"/>
          <w:color w:val="000000"/>
          <w:sz w:val="32"/>
          <w:szCs w:val="32"/>
        </w:rPr>
      </w:pPr>
      <w:r>
        <w:rPr>
          <w:rFonts w:hint="eastAsia" w:hAnsi="黑体" w:eastAsia="黑体"/>
          <w:color w:val="000000"/>
          <w:sz w:val="32"/>
          <w:szCs w:val="32"/>
        </w:rPr>
        <w:t>六、所需材料</w:t>
      </w:r>
    </w:p>
    <w:p w14:paraId="5B2555A8">
      <w:pPr>
        <w:pStyle w:val="4"/>
        <w:shd w:val="clear" w:color="auto" w:fill="FFFFFF"/>
        <w:spacing w:before="0" w:beforeAutospacing="0" w:after="0" w:afterAutospacing="0" w:line="600" w:lineRule="exact"/>
        <w:ind w:firstLine="645"/>
        <w:jc w:val="both"/>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登录“i南山企业服务综合平台”https://www.inanshan.org.cn/，在线填写《南山区促进产业高质量发展专项资金—区文化广电旅游体育局分项资金—支持旅游企业创优评级资助项目申请书》。</w:t>
      </w:r>
    </w:p>
    <w:tbl>
      <w:tblPr>
        <w:tblStyle w:val="6"/>
        <w:tblpPr w:leftFromText="180" w:rightFromText="180" w:vertAnchor="text" w:horzAnchor="page" w:tblpX="1827" w:tblpY="2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312"/>
        <w:gridCol w:w="1230"/>
        <w:gridCol w:w="1950"/>
      </w:tblGrid>
      <w:tr w14:paraId="6997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47B7244E">
            <w:pPr>
              <w:keepNext w:val="0"/>
              <w:keepLines w:val="0"/>
              <w:pageBreakBefore w:val="0"/>
              <w:widowControl w:val="0"/>
              <w:kinsoku/>
              <w:wordWrap/>
              <w:overflowPunct/>
              <w:topLinePunct w:val="0"/>
              <w:autoSpaceDE/>
              <w:autoSpaceDN/>
              <w:bidi w:val="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4312" w:type="dxa"/>
            <w:noWrap w:val="0"/>
            <w:vAlign w:val="center"/>
          </w:tcPr>
          <w:p w14:paraId="4FA54F44">
            <w:pPr>
              <w:keepNext w:val="0"/>
              <w:keepLines w:val="0"/>
              <w:pageBreakBefore w:val="0"/>
              <w:widowControl w:val="0"/>
              <w:kinsoku/>
              <w:wordWrap/>
              <w:overflowPunct/>
              <w:topLinePunct w:val="0"/>
              <w:autoSpaceDE/>
              <w:autoSpaceDN/>
              <w:bidi w:val="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附件名称</w:t>
            </w:r>
          </w:p>
        </w:tc>
        <w:tc>
          <w:tcPr>
            <w:tcW w:w="1230" w:type="dxa"/>
            <w:noWrap w:val="0"/>
            <w:vAlign w:val="center"/>
          </w:tcPr>
          <w:p w14:paraId="317F6C67">
            <w:pPr>
              <w:keepNext w:val="0"/>
              <w:keepLines w:val="0"/>
              <w:pageBreakBefore w:val="0"/>
              <w:widowControl w:val="0"/>
              <w:kinsoku/>
              <w:wordWrap/>
              <w:overflowPunct/>
              <w:topLinePunct w:val="0"/>
              <w:autoSpaceDE/>
              <w:autoSpaceDN/>
              <w:bidi w:val="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是否必备材料</w:t>
            </w:r>
          </w:p>
        </w:tc>
        <w:tc>
          <w:tcPr>
            <w:tcW w:w="1950" w:type="dxa"/>
            <w:noWrap w:val="0"/>
            <w:vAlign w:val="center"/>
          </w:tcPr>
          <w:p w14:paraId="13868135">
            <w:pPr>
              <w:keepNext w:val="0"/>
              <w:keepLines w:val="0"/>
              <w:pageBreakBefore w:val="0"/>
              <w:widowControl w:val="0"/>
              <w:kinsoku/>
              <w:wordWrap/>
              <w:overflowPunct/>
              <w:topLinePunct w:val="0"/>
              <w:autoSpaceDE/>
              <w:autoSpaceDN/>
              <w:bidi w:val="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网上提交资料要求</w:t>
            </w:r>
          </w:p>
        </w:tc>
      </w:tr>
      <w:tr w14:paraId="409E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817" w:type="dxa"/>
            <w:noWrap w:val="0"/>
            <w:vAlign w:val="center"/>
          </w:tcPr>
          <w:p w14:paraId="2C4871A9">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1</w:t>
            </w:r>
          </w:p>
        </w:tc>
        <w:tc>
          <w:tcPr>
            <w:tcW w:w="4312" w:type="dxa"/>
            <w:noWrap w:val="0"/>
            <w:vAlign w:val="center"/>
          </w:tcPr>
          <w:p w14:paraId="6376F3B3">
            <w:pPr>
              <w:keepNext w:val="0"/>
              <w:keepLines w:val="0"/>
              <w:pageBreakBefore w:val="0"/>
              <w:widowControl w:val="0"/>
              <w:kinsoku/>
              <w:wordWrap/>
              <w:overflowPunct/>
              <w:topLinePunct w:val="0"/>
              <w:autoSpaceDE/>
              <w:autoSpaceDN/>
              <w:bidi w:val="0"/>
              <w:spacing w:line="276" w:lineRule="auto"/>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eastAsia="宋体"/>
                <w:color w:val="auto"/>
                <w:highlight w:val="none"/>
              </w:rPr>
              <w:t>《南山区促进产业高质量发展专项资金—</w:t>
            </w:r>
            <w:r>
              <w:rPr>
                <w:rFonts w:hint="eastAsia"/>
                <w:color w:val="auto"/>
                <w:highlight w:val="none"/>
                <w:lang w:val="en-US" w:eastAsia="zh-CN"/>
              </w:rPr>
              <w:t>区文化广电旅游体育局分项资金-支持旅游企业创优评级项目申请书</w:t>
            </w:r>
            <w:r>
              <w:rPr>
                <w:rFonts w:hint="eastAsia" w:eastAsia="宋体"/>
                <w:color w:val="auto"/>
                <w:highlight w:val="none"/>
              </w:rPr>
              <w:t>》</w:t>
            </w:r>
          </w:p>
        </w:tc>
        <w:tc>
          <w:tcPr>
            <w:tcW w:w="1230" w:type="dxa"/>
            <w:noWrap w:val="0"/>
            <w:vAlign w:val="center"/>
          </w:tcPr>
          <w:p w14:paraId="3880543A">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Cs w:val="21"/>
                <w:highlight w:val="none"/>
                <w:lang w:val="en-US" w:eastAsia="zh-CN"/>
              </w:rPr>
              <w:t>是</w:t>
            </w:r>
          </w:p>
        </w:tc>
        <w:tc>
          <w:tcPr>
            <w:tcW w:w="1950" w:type="dxa"/>
            <w:noWrap w:val="0"/>
            <w:vAlign w:val="center"/>
          </w:tcPr>
          <w:p w14:paraId="42E39A48">
            <w:pPr>
              <w:keepNext w:val="0"/>
              <w:keepLines w:val="0"/>
              <w:pageBreakBefore w:val="0"/>
              <w:widowControl w:val="0"/>
              <w:kinsoku/>
              <w:wordWrap/>
              <w:overflowPunct/>
              <w:topLinePunct w:val="0"/>
              <w:autoSpaceDE/>
              <w:autoSpaceDN/>
              <w:bidi w:val="0"/>
              <w:spacing w:line="276" w:lineRule="auto"/>
              <w:jc w:val="lef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eastAsia="宋体" w:cs="宋体"/>
                <w:color w:val="auto"/>
                <w:sz w:val="21"/>
                <w:szCs w:val="21"/>
                <w:highlight w:val="none"/>
              </w:rPr>
              <w:t>法定代表人签字并加盖单位公章后，原件彩色扫描成PDF文件上传</w:t>
            </w:r>
          </w:p>
        </w:tc>
      </w:tr>
      <w:tr w14:paraId="1174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exact"/>
        </w:trPr>
        <w:tc>
          <w:tcPr>
            <w:tcW w:w="817" w:type="dxa"/>
            <w:noWrap w:val="0"/>
            <w:vAlign w:val="center"/>
          </w:tcPr>
          <w:p w14:paraId="1B8E8BA0">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2</w:t>
            </w:r>
          </w:p>
        </w:tc>
        <w:tc>
          <w:tcPr>
            <w:tcW w:w="4312" w:type="dxa"/>
            <w:noWrap w:val="0"/>
            <w:vAlign w:val="center"/>
          </w:tcPr>
          <w:p w14:paraId="5B59B6A8">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color w:val="auto"/>
                <w:kern w:val="2"/>
                <w:sz w:val="21"/>
                <w:szCs w:val="21"/>
                <w:highlight w:val="none"/>
                <w:lang w:val="en-US" w:eastAsia="zh-CN" w:bidi="ar-SA"/>
              </w:rPr>
            </w:pPr>
            <w:r>
              <w:rPr>
                <w:rFonts w:hint="eastAsia"/>
                <w:color w:val="auto"/>
                <w:highlight w:val="none"/>
              </w:rPr>
              <w:t>统一社会信用代码证书（新版“三证合一”营业执照、事业单位提交新版“三证合一”法人证书；未换领“三证合一”新版营业执照的，提交原旧版营业执照、组织机构代码证书、税务登记证书）</w:t>
            </w:r>
          </w:p>
        </w:tc>
        <w:tc>
          <w:tcPr>
            <w:tcW w:w="1230" w:type="dxa"/>
            <w:noWrap w:val="0"/>
            <w:vAlign w:val="center"/>
          </w:tcPr>
          <w:p w14:paraId="4146BF0D">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color w:val="auto"/>
                <w:szCs w:val="21"/>
                <w:highlight w:val="none"/>
                <w:lang w:val="en-US" w:eastAsia="zh-CN"/>
              </w:rPr>
            </w:pPr>
            <w:r>
              <w:rPr>
                <w:rFonts w:hint="eastAsia" w:ascii="宋体" w:hAnsi="宋体"/>
                <w:color w:val="auto"/>
                <w:szCs w:val="21"/>
                <w:highlight w:val="none"/>
              </w:rPr>
              <w:t>是</w:t>
            </w:r>
          </w:p>
        </w:tc>
        <w:tc>
          <w:tcPr>
            <w:tcW w:w="1950" w:type="dxa"/>
            <w:noWrap w:val="0"/>
            <w:vAlign w:val="center"/>
          </w:tcPr>
          <w:p w14:paraId="602A0186">
            <w:pPr>
              <w:keepNext w:val="0"/>
              <w:keepLines w:val="0"/>
              <w:pageBreakBefore w:val="0"/>
              <w:widowControl w:val="0"/>
              <w:kinsoku/>
              <w:wordWrap/>
              <w:overflowPunct/>
              <w:topLinePunct w:val="0"/>
              <w:autoSpaceDE/>
              <w:autoSpaceDN/>
              <w:bidi w:val="0"/>
              <w:spacing w:line="276" w:lineRule="auto"/>
              <w:jc w:val="both"/>
              <w:textAlignment w:val="auto"/>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原件彩色扫描成PDF文件上传</w:t>
            </w:r>
          </w:p>
        </w:tc>
      </w:tr>
      <w:tr w14:paraId="66D1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exact"/>
        </w:trPr>
        <w:tc>
          <w:tcPr>
            <w:tcW w:w="817" w:type="dxa"/>
            <w:noWrap w:val="0"/>
            <w:vAlign w:val="center"/>
          </w:tcPr>
          <w:p w14:paraId="5A444AB2">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3</w:t>
            </w:r>
          </w:p>
        </w:tc>
        <w:tc>
          <w:tcPr>
            <w:tcW w:w="4312" w:type="dxa"/>
            <w:noWrap w:val="0"/>
            <w:vAlign w:val="center"/>
          </w:tcPr>
          <w:p w14:paraId="19B667FB">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法定代表人身份证</w:t>
            </w:r>
          </w:p>
        </w:tc>
        <w:tc>
          <w:tcPr>
            <w:tcW w:w="1230" w:type="dxa"/>
            <w:noWrap w:val="0"/>
            <w:vAlign w:val="center"/>
          </w:tcPr>
          <w:p w14:paraId="77D29D5C">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color w:val="auto"/>
                <w:szCs w:val="21"/>
                <w:highlight w:val="none"/>
                <w:lang w:val="en-US" w:eastAsia="zh-CN"/>
              </w:rPr>
            </w:pPr>
            <w:r>
              <w:rPr>
                <w:rFonts w:hint="eastAsia" w:ascii="宋体" w:hAnsi="宋体"/>
                <w:color w:val="auto"/>
                <w:szCs w:val="21"/>
                <w:highlight w:val="none"/>
              </w:rPr>
              <w:t>是</w:t>
            </w:r>
          </w:p>
        </w:tc>
        <w:tc>
          <w:tcPr>
            <w:tcW w:w="1950" w:type="dxa"/>
            <w:noWrap w:val="0"/>
            <w:vAlign w:val="center"/>
          </w:tcPr>
          <w:p w14:paraId="122F1DE1">
            <w:pPr>
              <w:keepNext w:val="0"/>
              <w:keepLines w:val="0"/>
              <w:pageBreakBefore w:val="0"/>
              <w:widowControl w:val="0"/>
              <w:kinsoku/>
              <w:wordWrap/>
              <w:overflowPunct/>
              <w:topLinePunct w:val="0"/>
              <w:autoSpaceDE/>
              <w:autoSpaceDN/>
              <w:bidi w:val="0"/>
              <w:spacing w:line="276" w:lineRule="auto"/>
              <w:jc w:val="left"/>
              <w:textAlignment w:val="auto"/>
              <w:rPr>
                <w:rFonts w:hint="eastAsia" w:ascii="宋体" w:hAnsi="宋体"/>
                <w:color w:val="auto"/>
                <w:kern w:val="2"/>
                <w:sz w:val="21"/>
                <w:szCs w:val="21"/>
                <w:highlight w:val="none"/>
                <w:lang w:val="en-US" w:eastAsia="zh-CN" w:bidi="ar-SA"/>
              </w:rPr>
            </w:pPr>
            <w:r>
              <w:rPr>
                <w:rFonts w:hint="eastAsia" w:ascii="宋体" w:hAnsi="宋体"/>
                <w:color w:val="auto"/>
                <w:szCs w:val="21"/>
                <w:highlight w:val="none"/>
              </w:rPr>
              <w:t>原件（或复印件加盖单位公章）彩色扫描成PDF文件上传</w:t>
            </w:r>
          </w:p>
        </w:tc>
      </w:tr>
      <w:tr w14:paraId="1C94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817" w:type="dxa"/>
            <w:noWrap w:val="0"/>
            <w:vAlign w:val="center"/>
          </w:tcPr>
          <w:p w14:paraId="335BC85E">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eastAsia="宋体"/>
                <w:color w:val="auto"/>
                <w:kern w:val="2"/>
                <w:sz w:val="21"/>
                <w:szCs w:val="21"/>
                <w:highlight w:val="none"/>
                <w:lang w:val="en-US" w:eastAsia="zh-CN" w:bidi="ar-SA"/>
              </w:rPr>
            </w:pPr>
            <w:r>
              <w:rPr>
                <w:rFonts w:hint="eastAsia" w:ascii="宋体" w:hAnsi="宋体"/>
                <w:color w:val="auto"/>
                <w:szCs w:val="21"/>
                <w:highlight w:val="none"/>
                <w:lang w:val="en-US" w:eastAsia="zh-CN"/>
              </w:rPr>
              <w:t>4</w:t>
            </w:r>
          </w:p>
        </w:tc>
        <w:tc>
          <w:tcPr>
            <w:tcW w:w="4312" w:type="dxa"/>
            <w:noWrap w:val="0"/>
            <w:vAlign w:val="center"/>
          </w:tcPr>
          <w:p w14:paraId="33C149FE">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申报主体由税务部门开具的单位上年度</w:t>
            </w:r>
            <w:r>
              <w:rPr>
                <w:rFonts w:hint="eastAsia" w:ascii="宋体" w:hAnsi="宋体" w:eastAsia="宋体"/>
                <w:color w:val="auto"/>
                <w:sz w:val="21"/>
                <w:szCs w:val="21"/>
                <w:highlight w:val="none"/>
                <w:lang w:eastAsia="zh-CN"/>
              </w:rPr>
              <w:t>完</w:t>
            </w:r>
            <w:r>
              <w:rPr>
                <w:rFonts w:hint="eastAsia" w:ascii="宋体" w:hAnsi="宋体" w:eastAsia="宋体"/>
                <w:color w:val="auto"/>
                <w:sz w:val="21"/>
                <w:szCs w:val="21"/>
                <w:highlight w:val="none"/>
              </w:rPr>
              <w:t>税证明</w:t>
            </w:r>
          </w:p>
        </w:tc>
        <w:tc>
          <w:tcPr>
            <w:tcW w:w="1230" w:type="dxa"/>
            <w:noWrap w:val="0"/>
            <w:vAlign w:val="center"/>
          </w:tcPr>
          <w:p w14:paraId="0C482D51">
            <w:pPr>
              <w:keepNext w:val="0"/>
              <w:keepLines w:val="0"/>
              <w:pageBreakBefore w:val="0"/>
              <w:widowControl w:val="0"/>
              <w:kinsoku/>
              <w:wordWrap/>
              <w:overflowPunct/>
              <w:topLinePunct w:val="0"/>
              <w:autoSpaceDE/>
              <w:autoSpaceDN/>
              <w:bidi w:val="0"/>
              <w:spacing w:line="276" w:lineRule="auto"/>
              <w:jc w:val="center"/>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是</w:t>
            </w:r>
          </w:p>
        </w:tc>
        <w:tc>
          <w:tcPr>
            <w:tcW w:w="1950" w:type="dxa"/>
            <w:noWrap w:val="0"/>
            <w:vAlign w:val="center"/>
          </w:tcPr>
          <w:p w14:paraId="5F30E0A4">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rPr>
              <w:t>上传税务系统下载带有税务机关红色印章的电子版</w:t>
            </w:r>
          </w:p>
        </w:tc>
      </w:tr>
      <w:tr w14:paraId="1DC44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trPr>
        <w:tc>
          <w:tcPr>
            <w:tcW w:w="817" w:type="dxa"/>
            <w:noWrap w:val="0"/>
            <w:vAlign w:val="center"/>
          </w:tcPr>
          <w:p w14:paraId="660FF05C">
            <w:pPr>
              <w:keepNext w:val="0"/>
              <w:keepLines w:val="0"/>
              <w:pageBreakBefore w:val="0"/>
              <w:widowControl w:val="0"/>
              <w:kinsoku/>
              <w:wordWrap/>
              <w:overflowPunct/>
              <w:topLinePunct w:val="0"/>
              <w:autoSpaceDE/>
              <w:autoSpaceDN/>
              <w:bidi w:val="0"/>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p>
        </w:tc>
        <w:tc>
          <w:tcPr>
            <w:tcW w:w="4312" w:type="dxa"/>
            <w:noWrap w:val="0"/>
            <w:vAlign w:val="center"/>
          </w:tcPr>
          <w:p w14:paraId="3F556FF4">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上一年度财务审计报告（注册未满一年的可提供验资报告）</w:t>
            </w:r>
          </w:p>
        </w:tc>
        <w:tc>
          <w:tcPr>
            <w:tcW w:w="1230" w:type="dxa"/>
            <w:noWrap w:val="0"/>
            <w:vAlign w:val="center"/>
          </w:tcPr>
          <w:p w14:paraId="541BF387">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color w:val="auto"/>
                <w:szCs w:val="21"/>
                <w:highlight w:val="none"/>
              </w:rPr>
            </w:pPr>
            <w:r>
              <w:rPr>
                <w:rFonts w:hint="eastAsia" w:ascii="宋体" w:hAnsi="宋体"/>
                <w:color w:val="auto"/>
                <w:szCs w:val="21"/>
                <w:highlight w:val="none"/>
                <w:lang w:val="en-US" w:eastAsia="zh-CN"/>
              </w:rPr>
              <w:t>是</w:t>
            </w:r>
          </w:p>
        </w:tc>
        <w:tc>
          <w:tcPr>
            <w:tcW w:w="1950" w:type="dxa"/>
            <w:noWrap w:val="0"/>
            <w:vAlign w:val="center"/>
          </w:tcPr>
          <w:p w14:paraId="4391C158">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原件彩色扫描成PDF文件上传。分支机构可提供总公司财务审计报告）</w:t>
            </w:r>
          </w:p>
        </w:tc>
      </w:tr>
      <w:tr w14:paraId="4499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61D8B881">
            <w:pPr>
              <w:keepNext w:val="0"/>
              <w:keepLines w:val="0"/>
              <w:pageBreakBefore w:val="0"/>
              <w:widowControl w:val="0"/>
              <w:kinsoku/>
              <w:wordWrap/>
              <w:overflowPunct/>
              <w:topLinePunct w:val="0"/>
              <w:autoSpaceDE/>
              <w:autoSpaceDN/>
              <w:bidi w:val="0"/>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4312" w:type="dxa"/>
            <w:noWrap w:val="0"/>
            <w:vAlign w:val="center"/>
          </w:tcPr>
          <w:p w14:paraId="5E5D67F0">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获评荣誉称号的相关证明材料（文件、证书、牌匾等）</w:t>
            </w:r>
          </w:p>
        </w:tc>
        <w:tc>
          <w:tcPr>
            <w:tcW w:w="1230" w:type="dxa"/>
            <w:noWrap w:val="0"/>
            <w:vAlign w:val="center"/>
          </w:tcPr>
          <w:p w14:paraId="64E73AF3">
            <w:pPr>
              <w:keepNext w:val="0"/>
              <w:keepLines w:val="0"/>
              <w:pageBreakBefore w:val="0"/>
              <w:widowControl w:val="0"/>
              <w:kinsoku/>
              <w:wordWrap/>
              <w:overflowPunct/>
              <w:topLinePunct w:val="0"/>
              <w:autoSpaceDE/>
              <w:autoSpaceDN/>
              <w:bidi w:val="0"/>
              <w:spacing w:line="276" w:lineRule="auto"/>
              <w:jc w:val="center"/>
              <w:textAlignment w:val="auto"/>
              <w:rPr>
                <w:rFonts w:hint="eastAsia" w:ascii="宋体" w:hAnsi="宋体"/>
                <w:color w:val="auto"/>
                <w:szCs w:val="21"/>
                <w:highlight w:val="none"/>
              </w:rPr>
            </w:pPr>
            <w:r>
              <w:rPr>
                <w:rFonts w:hint="eastAsia" w:ascii="宋体" w:hAnsi="宋体"/>
                <w:color w:val="auto"/>
                <w:szCs w:val="21"/>
                <w:highlight w:val="none"/>
                <w:lang w:val="en-US" w:eastAsia="zh-CN"/>
              </w:rPr>
              <w:t>是</w:t>
            </w:r>
          </w:p>
        </w:tc>
        <w:tc>
          <w:tcPr>
            <w:tcW w:w="1950" w:type="dxa"/>
            <w:vMerge w:val="restart"/>
            <w:noWrap w:val="0"/>
            <w:vAlign w:val="center"/>
          </w:tcPr>
          <w:p w14:paraId="78935A56">
            <w:pPr>
              <w:keepNext w:val="0"/>
              <w:keepLines w:val="0"/>
              <w:pageBreakBefore w:val="0"/>
              <w:widowControl w:val="0"/>
              <w:kinsoku/>
              <w:wordWrap/>
              <w:overflowPunct/>
              <w:topLinePunct w:val="0"/>
              <w:autoSpaceDE/>
              <w:autoSpaceDN/>
              <w:bidi w:val="0"/>
              <w:spacing w:line="276" w:lineRule="auto"/>
              <w:textAlignment w:val="auto"/>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原件彩色扫描PDF</w:t>
            </w:r>
            <w:r>
              <w:rPr>
                <w:rFonts w:hint="eastAsia" w:ascii="宋体" w:hAnsi="宋体" w:eastAsia="宋体"/>
                <w:color w:val="auto"/>
                <w:sz w:val="21"/>
                <w:szCs w:val="21"/>
                <w:highlight w:val="none"/>
                <w:lang w:eastAsia="zh-CN"/>
              </w:rPr>
              <w:t>文件</w:t>
            </w:r>
            <w:r>
              <w:rPr>
                <w:rFonts w:hint="eastAsia" w:ascii="宋体" w:hAnsi="宋体" w:eastAsia="宋体"/>
                <w:color w:val="auto"/>
                <w:sz w:val="21"/>
                <w:szCs w:val="21"/>
                <w:highlight w:val="none"/>
              </w:rPr>
              <w:t>上传</w:t>
            </w:r>
          </w:p>
        </w:tc>
      </w:tr>
      <w:tr w14:paraId="5C01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17" w:type="dxa"/>
            <w:noWrap w:val="0"/>
            <w:vAlign w:val="center"/>
          </w:tcPr>
          <w:p w14:paraId="5DBEEFD5">
            <w:pPr>
              <w:keepNext w:val="0"/>
              <w:keepLines w:val="0"/>
              <w:pageBreakBefore w:val="0"/>
              <w:widowControl w:val="0"/>
              <w:kinsoku/>
              <w:wordWrap/>
              <w:overflowPunct/>
              <w:topLinePunct w:val="0"/>
              <w:autoSpaceDE/>
              <w:autoSpaceDN/>
              <w:bidi w:val="0"/>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4312" w:type="dxa"/>
            <w:noWrap w:val="0"/>
            <w:vAlign w:val="center"/>
          </w:tcPr>
          <w:p w14:paraId="2A81AECF">
            <w:pPr>
              <w:keepNext w:val="0"/>
              <w:keepLines w:val="0"/>
              <w:pageBreakBefore w:val="0"/>
              <w:widowControl w:val="0"/>
              <w:kinsoku/>
              <w:wordWrap/>
              <w:overflowPunct/>
              <w:topLinePunct w:val="0"/>
              <w:autoSpaceDE/>
              <w:autoSpaceDN/>
              <w:bidi w:val="0"/>
              <w:jc w:val="left"/>
              <w:textAlignment w:val="auto"/>
              <w:rPr>
                <w:rFonts w:hint="eastAsia" w:ascii="宋体" w:hAnsi="宋体" w:eastAsia="宋体" w:cs="宋体"/>
                <w:color w:val="auto"/>
                <w:sz w:val="21"/>
                <w:szCs w:val="21"/>
                <w:highlight w:val="none"/>
              </w:rPr>
            </w:pPr>
            <w:r>
              <w:rPr>
                <w:rFonts w:hint="eastAsia"/>
                <w:color w:val="auto"/>
                <w:u w:val="none"/>
              </w:rPr>
              <w:t>审核部门认为需要提供的其他材料</w:t>
            </w:r>
          </w:p>
        </w:tc>
        <w:tc>
          <w:tcPr>
            <w:tcW w:w="1230" w:type="dxa"/>
            <w:noWrap w:val="0"/>
            <w:vAlign w:val="center"/>
          </w:tcPr>
          <w:p w14:paraId="6AC1D63B">
            <w:pPr>
              <w:keepNext w:val="0"/>
              <w:keepLines w:val="0"/>
              <w:pageBreakBefore w:val="0"/>
              <w:widowControl w:val="0"/>
              <w:kinsoku/>
              <w:wordWrap/>
              <w:overflowPunct/>
              <w:topLinePunct w:val="0"/>
              <w:autoSpaceDE/>
              <w:autoSpaceDN/>
              <w:bidi w:val="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否</w:t>
            </w:r>
          </w:p>
        </w:tc>
        <w:tc>
          <w:tcPr>
            <w:tcW w:w="1950" w:type="dxa"/>
            <w:vMerge w:val="continue"/>
            <w:noWrap w:val="0"/>
            <w:vAlign w:val="center"/>
          </w:tcPr>
          <w:p w14:paraId="34434B9D">
            <w:pPr>
              <w:keepNext w:val="0"/>
              <w:keepLines w:val="0"/>
              <w:pageBreakBefore w:val="0"/>
              <w:widowControl w:val="0"/>
              <w:kinsoku/>
              <w:wordWrap/>
              <w:overflowPunct/>
              <w:topLinePunct w:val="0"/>
              <w:autoSpaceDE/>
              <w:autoSpaceDN/>
              <w:bidi w:val="0"/>
              <w:jc w:val="left"/>
              <w:textAlignment w:val="auto"/>
              <w:rPr>
                <w:rFonts w:hint="eastAsia" w:ascii="宋体" w:hAnsi="宋体" w:eastAsia="宋体" w:cs="宋体"/>
                <w:color w:val="auto"/>
                <w:sz w:val="21"/>
                <w:szCs w:val="21"/>
                <w:highlight w:val="none"/>
              </w:rPr>
            </w:pPr>
          </w:p>
        </w:tc>
      </w:tr>
    </w:tbl>
    <w:p w14:paraId="2FE28BF5">
      <w:pPr>
        <w:keepNext w:val="0"/>
        <w:keepLines w:val="0"/>
        <w:pageBreakBefore w:val="0"/>
        <w:widowControl w:val="0"/>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5338B766">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2018425D">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16F9663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457D1183">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44F0EF11">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20A0D72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7128ADBF">
      <w:pPr>
        <w:spacing w:after="0" w:line="560" w:lineRule="exact"/>
        <w:ind w:firstLine="640" w:firstLineChars="200"/>
        <w:contextualSpacing/>
        <w:rPr>
          <w:rFonts w:hint="eastAsia" w:ascii="仿宋_GB2312" w:hAnsi="宋体" w:eastAsia="仿宋_GB2312" w:cs="宋体"/>
          <w:spacing w:val="4"/>
          <w:kern w:val="0"/>
          <w:sz w:val="32"/>
          <w:szCs w:val="32"/>
          <w:lang w:val="en-US" w:eastAsia="zh-CN" w:bidi="ar-SA"/>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50FCCFFF"/>
    <w:p w14:paraId="2896E030"/>
    <w:p w14:paraId="0BF8988C">
      <w:pPr>
        <w:widowControl/>
        <w:jc w:val="left"/>
        <w:rPr>
          <w:rFonts w:eastAsia="仿宋_GB2312"/>
          <w:color w:val="000000"/>
          <w:sz w:val="32"/>
          <w:szCs w:val="32"/>
        </w:rPr>
      </w:pPr>
    </w:p>
    <w:p w14:paraId="0BB74715"/>
    <w:sectPr>
      <w:footerReference r:id="rId3" w:type="default"/>
      <w:footerReference r:id="rId4" w:type="even"/>
      <w:pgSz w:w="11906" w:h="16838"/>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A2324">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14:paraId="37F2E3C3">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D0E83">
    <w:pPr>
      <w:pStyle w:val="3"/>
      <w:framePr w:wrap="around" w:vAnchor="text" w:hAnchor="margin" w:xAlign="center" w:y="1"/>
      <w:rPr>
        <w:rStyle w:val="8"/>
      </w:rPr>
    </w:pPr>
    <w:r>
      <w:fldChar w:fldCharType="begin"/>
    </w:r>
    <w:r>
      <w:rPr>
        <w:rStyle w:val="8"/>
      </w:rPr>
      <w:instrText xml:space="preserve">PAGE  </w:instrText>
    </w:r>
    <w:r>
      <w:fldChar w:fldCharType="end"/>
    </w:r>
  </w:p>
  <w:p w14:paraId="3B30F9C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2FF34A9B"/>
    <w:rsid w:val="3B6DE169"/>
    <w:rsid w:val="4A1947CF"/>
    <w:rsid w:val="5A9FFC63"/>
    <w:rsid w:val="5EDBF819"/>
    <w:rsid w:val="6AFED097"/>
    <w:rsid w:val="7CEF29D7"/>
    <w:rsid w:val="7DFF9BBA"/>
    <w:rsid w:val="7F5F84CA"/>
    <w:rsid w:val="7FE20A74"/>
    <w:rsid w:val="92FDA502"/>
    <w:rsid w:val="9C9FA6C3"/>
    <w:rsid w:val="DDBF5C1C"/>
    <w:rsid w:val="F6BA48AE"/>
    <w:rsid w:val="F7DBA6AC"/>
    <w:rsid w:val="F7F95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2018-07-13T07:11:00Z</dcterms:created>
  <dc:creator>d</dc:creator>
  <cp:lastModifiedBy>黄国波</cp:lastModifiedBy>
  <dcterms:modified xsi:type="dcterms:W3CDTF">2026-05-27T11:19:36Z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32AEDC287895FC91C862166A34857722_42</vt:lpwstr>
  </property>
</Properties>
</file>