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区文化广电旅游体育局分项资金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鼓励住宿业企业纳统入库资助项目操作规程</w:t>
      </w:r>
    </w:p>
    <w:p>
      <w:pPr>
        <w:pStyle w:val="6"/>
        <w:rPr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为鼓励住宿业企业纳统入库，同时规范南山区促进产业高质量发展专项资金的使用和管理，根据《南山区促进产业高质量发展专项资金管理办法》和全区经济工作部署，制定本操作规程。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  <w:highlight w:val="none"/>
        </w:rPr>
      </w:pPr>
      <w:r>
        <w:rPr>
          <w:rFonts w:hint="eastAsia" w:hAnsi="黑体" w:eastAsia="黑体"/>
          <w:sz w:val="32"/>
          <w:szCs w:val="32"/>
          <w:highlight w:val="none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鼓励住宿业企业纳统入库。对首次纳入区“四上”统计库的住宿业企业，入库后稳定完成次年全年报表且实现营业额正增长的，给予10万元奖励。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  <w:highlight w:val="none"/>
        </w:rPr>
      </w:pPr>
      <w:r>
        <w:rPr>
          <w:rFonts w:hint="eastAsia" w:hAnsi="黑体" w:eastAsia="黑体"/>
          <w:sz w:val="32"/>
          <w:szCs w:val="32"/>
          <w:highlight w:val="none"/>
        </w:rPr>
        <w:t>二、资助方式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本项资助属于免申即享类项目，资助资金的安排使用坚持公平、公开、公正的原则，实行科学决策和绩效评估的管理制度，采取无偿资助方式和事后补贴制，受资助项目无需验收。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hAnsi="黑体" w:eastAsia="黑体"/>
          <w:sz w:val="32"/>
          <w:szCs w:val="32"/>
          <w:highlight w:val="none"/>
        </w:rPr>
        <w:t>三、资助标准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鼓励商业企业纳统入库。对首次纳入区“四上”统计库的住宿业企业，入库后稳定完成次年全年报表且实现营业额正增长的，给予10万元奖励。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Ansi="黑体" w:eastAsia="黑体"/>
          <w:sz w:val="32"/>
          <w:szCs w:val="32"/>
          <w:highlight w:val="none"/>
        </w:rPr>
      </w:pPr>
      <w:r>
        <w:rPr>
          <w:rFonts w:hint="eastAsia" w:hAnsi="黑体" w:eastAsia="黑体"/>
          <w:sz w:val="32"/>
          <w:szCs w:val="32"/>
          <w:highlight w:val="none"/>
        </w:rPr>
        <w:t>四、申请条件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楷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楷体" w:cs="仿宋_GB2312"/>
          <w:color w:val="000000"/>
          <w:sz w:val="32"/>
          <w:szCs w:val="32"/>
          <w:highlight w:val="none"/>
          <w:lang w:val="en-US" w:eastAsia="zh-CN"/>
        </w:rPr>
        <w:t>（一）申请本项资金资助的机构应符合以下基本条件：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1.数据申报地在南山区，具有独立法人资格；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2.履行相关数据申报义务、守法经营、诚实守信、有规范的财务管理制度；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3.积极配合中共南山区委、区政府相关工作；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4.2024年月度（不含2024年2月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）、年度入库，或2025年2月月度入库企业（含小升限、区外迁入，不含转库）；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5.截至项目开通时仍在南山区限上住宿业企业库统计（以统计部门查询反馈信息为准）；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6.企业在南山区完成2025年2-12月月报统计报表报送，并且2025年1-12月累计快报营业额同比正增长。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楷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楷体" w:cs="仿宋_GB2312"/>
          <w:color w:val="000000"/>
          <w:sz w:val="32"/>
          <w:szCs w:val="32"/>
          <w:highlight w:val="none"/>
          <w:lang w:val="en-US" w:eastAsia="zh-CN"/>
        </w:rPr>
        <w:t>（二）有下列情况之一的，本项目资金不予资助：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1.被依法依规纳入严重失信主体名单或失信惩戒措施清单的；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2.提出资助申请后，申报主体项目实施地或数据申报地发生变化，不再符合申报条件的；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3.已获得前海合作区同类性质政策扶持的。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本项目属于免申即享类，资金拨付流程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具体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n/）进行确认信息；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区文化广电旅游体育局拟定项目资助计划；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区统计局对申报主体数据申报情况进行核查，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在地经营情况、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区文化广电旅游体育局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9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（五）经审议后，由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区文化广电旅游体育局行文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（六）区财政部门及时安排资金，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区文化广电旅游体育局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widowControl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本项目属于免申即享类，符合资助条件的企业无需提交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《项目申请书》等申报材料，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只需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区文化广电旅游体育局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要求的时限登录“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i南山企业服务综合平台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”确认即可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（未注册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i南山企业服务综合平台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，首次登录须完成注册）。</w:t>
      </w:r>
    </w:p>
    <w:p>
      <w:pPr>
        <w:widowControl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ascii="仿宋_GB2312" w:hAnsi="宋体" w:eastAsia="仿宋_GB2312" w:cs="宋体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备注：本项目无需提交纸质件。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  <w:highlight w:val="none"/>
        </w:rPr>
        <w:t>七、时限要求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区文化广电旅游体育局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视申请情况安排集中开通项目（具体时间以发布的通知为准），在通知提交资金拨付资料时效内逾期未提交者，视为自动放弃。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highlight w:val="none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执行期间如遇国家、省、市有关政策调整的，根据新政策做相应调整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</w:rPr>
        <w:t>接受本项目资助的企业应保证其提交材料的完整性、真实性、准确性及合法性，并承担所提交的项目材料的相关法律责任，如有虚假或侵权等行为，该项目资助无效，如事后发现存在以上行为，本资金主管部门将保留依法追究其法律责任的权利。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  <w:highlight w:val="none"/>
        </w:rPr>
        <w:t>九、附则</w:t>
      </w:r>
    </w:p>
    <w:p>
      <w:pPr>
        <w:pStyle w:val="8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规程由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区文化广电旅游体育局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负责解释，自发布之日起施行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440" w:right="1746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5947C79"/>
    <w:rsid w:val="07FE7615"/>
    <w:rsid w:val="08A83EE1"/>
    <w:rsid w:val="095F3199"/>
    <w:rsid w:val="0DDA0BC8"/>
    <w:rsid w:val="1AFD5887"/>
    <w:rsid w:val="1EA57936"/>
    <w:rsid w:val="1F724B61"/>
    <w:rsid w:val="20170D71"/>
    <w:rsid w:val="22785764"/>
    <w:rsid w:val="22E92853"/>
    <w:rsid w:val="23B819CC"/>
    <w:rsid w:val="248164B2"/>
    <w:rsid w:val="24A75B2E"/>
    <w:rsid w:val="2AB75173"/>
    <w:rsid w:val="2D477C4E"/>
    <w:rsid w:val="2E5F94BF"/>
    <w:rsid w:val="2FFBAF58"/>
    <w:rsid w:val="30251326"/>
    <w:rsid w:val="30D92BC5"/>
    <w:rsid w:val="37F9C117"/>
    <w:rsid w:val="3A5B2B4D"/>
    <w:rsid w:val="3BF00608"/>
    <w:rsid w:val="3CB55D88"/>
    <w:rsid w:val="3CCB7597"/>
    <w:rsid w:val="3D1D39B9"/>
    <w:rsid w:val="3DC2196D"/>
    <w:rsid w:val="3DCF7E6A"/>
    <w:rsid w:val="3DED6387"/>
    <w:rsid w:val="3EEC5BB2"/>
    <w:rsid w:val="3EFB94A1"/>
    <w:rsid w:val="3F2F6B8F"/>
    <w:rsid w:val="3F3B4DE6"/>
    <w:rsid w:val="3F607B7E"/>
    <w:rsid w:val="3FB02AAE"/>
    <w:rsid w:val="410709D5"/>
    <w:rsid w:val="4BC56432"/>
    <w:rsid w:val="4DDD17CA"/>
    <w:rsid w:val="4E883264"/>
    <w:rsid w:val="518D1C42"/>
    <w:rsid w:val="53078FEB"/>
    <w:rsid w:val="531124F9"/>
    <w:rsid w:val="55AD05A3"/>
    <w:rsid w:val="58650932"/>
    <w:rsid w:val="5D5F8456"/>
    <w:rsid w:val="5FA80816"/>
    <w:rsid w:val="5FF3A2BD"/>
    <w:rsid w:val="60432042"/>
    <w:rsid w:val="60BC204A"/>
    <w:rsid w:val="60FE4A61"/>
    <w:rsid w:val="6177AC6D"/>
    <w:rsid w:val="63FFC798"/>
    <w:rsid w:val="64736BA9"/>
    <w:rsid w:val="67FE4C6C"/>
    <w:rsid w:val="681C42D2"/>
    <w:rsid w:val="68522367"/>
    <w:rsid w:val="69641188"/>
    <w:rsid w:val="6DF8AA10"/>
    <w:rsid w:val="6EF5972C"/>
    <w:rsid w:val="6F6C3618"/>
    <w:rsid w:val="6FC20846"/>
    <w:rsid w:val="6FFD0E0C"/>
    <w:rsid w:val="712874FC"/>
    <w:rsid w:val="755D644F"/>
    <w:rsid w:val="75EBCF18"/>
    <w:rsid w:val="76577026"/>
    <w:rsid w:val="77FBE211"/>
    <w:rsid w:val="77FF30C9"/>
    <w:rsid w:val="781814EC"/>
    <w:rsid w:val="78FB92AF"/>
    <w:rsid w:val="7BFFA49A"/>
    <w:rsid w:val="7DDFA4C2"/>
    <w:rsid w:val="7EBDA5A6"/>
    <w:rsid w:val="7F74B241"/>
    <w:rsid w:val="7F902DE2"/>
    <w:rsid w:val="7FF5C6D7"/>
    <w:rsid w:val="9EFFDD4A"/>
    <w:rsid w:val="B3DF73D7"/>
    <w:rsid w:val="B5A150A4"/>
    <w:rsid w:val="BE6D63A6"/>
    <w:rsid w:val="BFEE90B7"/>
    <w:rsid w:val="BFFFF69B"/>
    <w:rsid w:val="CB794CAD"/>
    <w:rsid w:val="D0DBD464"/>
    <w:rsid w:val="D2AC96AD"/>
    <w:rsid w:val="D3C928FE"/>
    <w:rsid w:val="D72BBA6C"/>
    <w:rsid w:val="D7FFA19D"/>
    <w:rsid w:val="DB7D113B"/>
    <w:rsid w:val="DBBF003F"/>
    <w:rsid w:val="DFDB78A2"/>
    <w:rsid w:val="DFE968D8"/>
    <w:rsid w:val="EE7FF2CD"/>
    <w:rsid w:val="EEEB02B4"/>
    <w:rsid w:val="EFEFB93A"/>
    <w:rsid w:val="F56A31FD"/>
    <w:rsid w:val="F56E9DE3"/>
    <w:rsid w:val="F5BF92C6"/>
    <w:rsid w:val="F7FF76FD"/>
    <w:rsid w:val="F97773BB"/>
    <w:rsid w:val="FABFBE12"/>
    <w:rsid w:val="FD8E34AA"/>
    <w:rsid w:val="FDBFAF33"/>
    <w:rsid w:val="FDF68487"/>
    <w:rsid w:val="FDFB2566"/>
    <w:rsid w:val="FDFF218F"/>
    <w:rsid w:val="FDFFF5DA"/>
    <w:rsid w:val="FEAF4906"/>
    <w:rsid w:val="FF6E80C4"/>
    <w:rsid w:val="FFA79878"/>
    <w:rsid w:val="FFA980A1"/>
    <w:rsid w:val="FFDFF28D"/>
    <w:rsid w:val="FFE733A3"/>
    <w:rsid w:val="FFEF752C"/>
    <w:rsid w:val="FF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4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1911</Words>
  <Characters>2035</Characters>
  <Lines>0</Lines>
  <Paragraphs>0</Paragraphs>
  <TotalTime>1</TotalTime>
  <ScaleCrop>false</ScaleCrop>
  <LinksUpToDate>false</LinksUpToDate>
  <CharactersWithSpaces>2035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2024-06-03T07:22:00Z</dcterms:created>
  <dc:creator>张思敏</dc:creator>
  <cp:lastModifiedBy>郑丽敏</cp:lastModifiedBy>
  <cp:lastPrinted>2025-08-07T10:31:00Z</cp:lastPrinted>
  <dcterms:modified xsi:type="dcterms:W3CDTF">2026-03-11T17:22:12Z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7DA5CF03A17B43D197ED35A566363764_13</vt:lpwstr>
  </property>
  <property fmtid="{D5CDD505-2E9C-101B-9397-08002B2CF9AE}" pid="4" name="KSOTemplateDocerSaveRecord">
    <vt:lpwstr>eyJoZGlkIjoiMzY1YzVkMTA1MjdjNWNmODg2MTFjMTNiZDIwZWQ2ZWEifQ==</vt:lpwstr>
  </property>
</Properties>
</file>