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outlineLvl w:val="0"/>
        <w:rPr>
          <w:rFonts w:hint="eastAsia" w:ascii="方正小标宋简体" w:hAnsi="方正小标宋简体" w:eastAsia="方正小标宋简体" w:cs="方正小标宋_GBK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_GBK"/>
          <w:color w:val="auto"/>
          <w:w w:val="95"/>
          <w:sz w:val="44"/>
          <w:szCs w:val="44"/>
          <w:highlight w:val="none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方正小标宋_GBK"/>
          <w:color w:val="auto"/>
          <w:w w:val="95"/>
          <w:sz w:val="44"/>
          <w:szCs w:val="44"/>
          <w:highlight w:val="none"/>
        </w:rPr>
        <w:t>鼓励</w:t>
      </w:r>
      <w:r>
        <w:rPr>
          <w:rFonts w:hint="eastAsia" w:ascii="方正小标宋简体" w:hAnsi="方正小标宋简体" w:eastAsia="方正小标宋简体" w:cs="方正小标宋_GBK"/>
          <w:color w:val="auto"/>
          <w:w w:val="95"/>
          <w:sz w:val="44"/>
          <w:szCs w:val="44"/>
          <w:highlight w:val="none"/>
          <w:lang w:val="en-US" w:eastAsia="zh-CN"/>
        </w:rPr>
        <w:t>住宿业</w:t>
      </w:r>
      <w:r>
        <w:rPr>
          <w:rFonts w:hint="eastAsia" w:ascii="方正小标宋简体" w:hAnsi="方正小标宋简体" w:eastAsia="方正小标宋简体" w:cs="方正小标宋_GBK"/>
          <w:color w:val="auto"/>
          <w:w w:val="95"/>
          <w:sz w:val="44"/>
          <w:szCs w:val="44"/>
          <w:highlight w:val="none"/>
        </w:rPr>
        <w:t>企业做大做强</w:t>
      </w:r>
      <w:r>
        <w:rPr>
          <w:rFonts w:hint="eastAsia" w:ascii="方正小标宋简体" w:hAnsi="方正小标宋简体" w:eastAsia="方正小标宋简体" w:cs="方正小标宋_GBK"/>
          <w:color w:val="auto"/>
          <w:w w:val="95"/>
          <w:sz w:val="44"/>
          <w:szCs w:val="44"/>
          <w:highlight w:val="none"/>
          <w:lang w:eastAsia="zh-CN"/>
        </w:rPr>
        <w:t>资助</w:t>
      </w:r>
      <w:r>
        <w:rPr>
          <w:rFonts w:hint="eastAsia" w:ascii="方正小标宋简体" w:hAnsi="方正小标宋简体" w:eastAsia="方正小标宋简体" w:cs="方正小标宋_GBK"/>
          <w:sz w:val="44"/>
          <w:szCs w:val="44"/>
          <w:highlight w:val="none"/>
          <w:lang w:eastAsia="zh-CN"/>
        </w:rPr>
        <w:t>项目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  <w:t>操作规程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为鼓励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住宿业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做大做强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，结合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南山区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住宿业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运行实际情况，依据《南山区促进产业高质量发展专项资金管理办法》等文件规定，制定本操作规程。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0"/>
        <w:rPr>
          <w:rFonts w:hAnsi="仿宋" w:eastAsia="仿宋"/>
          <w:kern w:val="0"/>
          <w:sz w:val="32"/>
          <w:szCs w:val="32"/>
          <w:highlight w:val="none"/>
        </w:rPr>
      </w:pPr>
      <w:r>
        <w:rPr>
          <w:rFonts w:hint="eastAsia" w:hAnsi="黑体" w:eastAsia="黑体"/>
          <w:sz w:val="32"/>
          <w:szCs w:val="32"/>
          <w:highlight w:val="none"/>
        </w:rPr>
        <w:t>一、政策内容</w:t>
      </w:r>
    </w:p>
    <w:p>
      <w:pPr>
        <w:pStyle w:val="2"/>
        <w:rPr>
          <w:rFonts w:hint="eastAsia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对营业额达到一定规模，并且2025年实现正增长的住宿业企业，按照不同比例予以奖励，最高不超过200万元。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0"/>
        <w:rPr>
          <w:rFonts w:eastAsia="黑体"/>
          <w:sz w:val="32"/>
          <w:szCs w:val="32"/>
          <w:highlight w:val="none"/>
        </w:rPr>
      </w:pPr>
      <w:r>
        <w:rPr>
          <w:rFonts w:hint="eastAsia" w:hAnsi="黑体" w:eastAsia="黑体"/>
          <w:sz w:val="32"/>
          <w:szCs w:val="32"/>
          <w:highlight w:val="none"/>
        </w:rPr>
        <w:t>二、资助方式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537" w:firstLineChars="168"/>
        <w:outlineLvl w:val="9"/>
        <w:rPr>
          <w:rFonts w:hint="eastAsia" w:hAnsi="Times New Roman" w:eastAsia="仿宋_GB2312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</w:rPr>
        <w:t>本项资助属于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专项</w:t>
      </w:r>
      <w:r>
        <w:rPr>
          <w:rFonts w:hint="eastAsia" w:eastAsia="仿宋_GB2312"/>
          <w:sz w:val="32"/>
          <w:szCs w:val="32"/>
          <w:highlight w:val="none"/>
        </w:rPr>
        <w:t>类项目</w:t>
      </w:r>
      <w:r>
        <w:rPr>
          <w:rFonts w:hint="eastAsia" w:eastAsia="仿宋_GB2312"/>
          <w:sz w:val="32"/>
          <w:szCs w:val="32"/>
          <w:highlight w:val="none"/>
        </w:rPr>
        <w:t>，资助资金的安排使用坚持公平、公开、公正的原则，实行自愿申报、科学决策和绩效评估的管理制度，采取无偿资助方式和事后补贴制，受资助项目无需验收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eastAsia="仿宋_GB2312"/>
          <w:sz w:val="32"/>
          <w:szCs w:val="32"/>
          <w:highlight w:val="none"/>
        </w:rPr>
        <w:t>本项资助受年度资金预算控制，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区文化广电旅游体育局</w:t>
      </w:r>
      <w:r>
        <w:rPr>
          <w:rFonts w:hint="eastAsia" w:eastAsia="仿宋_GB2312"/>
          <w:sz w:val="32"/>
          <w:szCs w:val="32"/>
          <w:highlight w:val="none"/>
        </w:rPr>
        <w:t>视申报情况和预算安排，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可</w:t>
      </w:r>
      <w:r>
        <w:rPr>
          <w:rFonts w:hint="eastAsia" w:eastAsia="仿宋_GB2312"/>
          <w:sz w:val="32"/>
          <w:szCs w:val="32"/>
          <w:highlight w:val="none"/>
        </w:rPr>
        <w:t>以对资助金额、支持比例和拨付进度等进行统一调整，申报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主体</w:t>
      </w:r>
      <w:r>
        <w:rPr>
          <w:rFonts w:hint="eastAsia" w:eastAsia="仿宋_GB2312"/>
          <w:sz w:val="32"/>
          <w:szCs w:val="32"/>
          <w:highlight w:val="none"/>
        </w:rPr>
        <w:t>应无条件同意调整结果。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0"/>
        <w:rPr>
          <w:rFonts w:ascii="仿宋_GB2312" w:eastAsia="仿宋_GB2312"/>
          <w:kern w:val="0"/>
          <w:sz w:val="32"/>
          <w:szCs w:val="32"/>
          <w:highlight w:val="none"/>
        </w:rPr>
      </w:pPr>
      <w:r>
        <w:rPr>
          <w:rFonts w:hint="eastAsia" w:hAnsi="黑体" w:eastAsia="黑体"/>
          <w:sz w:val="32"/>
          <w:szCs w:val="32"/>
          <w:highlight w:val="none"/>
        </w:rPr>
        <w:t>三、资助标准</w:t>
      </w:r>
    </w:p>
    <w:p>
      <w:pPr>
        <w:numPr>
          <w:ilvl w:val="0"/>
          <w:numId w:val="1"/>
        </w:numPr>
        <w:spacing w:line="560" w:lineRule="exact"/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增量奖：对2025年全年营业额达2000万元（含）-5000万元（不含）、5000万元（含）-1亿元（不含）、1亿元（含）以上且同比正增长的规上住宿业企业，分别按2025年营业额增量的0.2%、0.3%、0.4%给予资助；</w:t>
      </w:r>
    </w:p>
    <w:p>
      <w:pPr>
        <w:numPr>
          <w:ilvl w:val="0"/>
          <w:numId w:val="1"/>
        </w:numPr>
        <w:spacing w:line="560" w:lineRule="exact"/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规模奖：全年营业额2亿元以上且同比正增长的规上住宿业企业，给予20万元一次性奖励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，该项奖励可与增量奖叠加；</w:t>
      </w:r>
    </w:p>
    <w:p>
      <w:pPr>
        <w:numPr>
          <w:ilvl w:val="0"/>
          <w:numId w:val="1"/>
        </w:numPr>
        <w:spacing w:line="560" w:lineRule="exact"/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给予每家企业奖励最高不超过200万元；</w:t>
      </w:r>
    </w:p>
    <w:p>
      <w:pPr>
        <w:numPr>
          <w:ilvl w:val="0"/>
          <w:numId w:val="1"/>
        </w:numPr>
        <w:spacing w:line="560" w:lineRule="exact"/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因去年同期营业额数据为“0”或无同期营业额数据导致无法计算增速的企业，视为满足“同比正增长”的增速条件。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537" w:firstLineChars="168"/>
        <w:outlineLvl w:val="0"/>
        <w:rPr>
          <w:rFonts w:hAnsi="黑体" w:eastAsia="黑体"/>
          <w:sz w:val="32"/>
          <w:szCs w:val="32"/>
          <w:highlight w:val="none"/>
        </w:rPr>
      </w:pPr>
      <w:r>
        <w:rPr>
          <w:rFonts w:hint="eastAsia" w:hAnsi="黑体" w:eastAsia="黑体"/>
          <w:sz w:val="32"/>
          <w:szCs w:val="32"/>
          <w:highlight w:val="none"/>
        </w:rPr>
        <w:t>四、申请条件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537" w:firstLineChars="168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highlight w:val="none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highlight w:val="none"/>
        </w:rPr>
        <w:t>申请本项资金资助的机构应符合以下基本条件：</w:t>
      </w:r>
    </w:p>
    <w:p>
      <w:pPr>
        <w:widowControl/>
        <w:spacing w:line="560" w:lineRule="exact"/>
        <w:ind w:firstLine="537" w:firstLineChars="168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数据申报地在南山区的规上住宿业企业主体；</w:t>
      </w:r>
    </w:p>
    <w:p>
      <w:pPr>
        <w:widowControl/>
        <w:spacing w:line="560" w:lineRule="exact"/>
        <w:ind w:firstLine="537" w:firstLineChars="168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2.履行相关数据申报义务、守法经营、诚实守信、有规范健全的财务制度；</w:t>
      </w:r>
    </w:p>
    <w:p>
      <w:pPr>
        <w:widowControl/>
        <w:spacing w:line="560" w:lineRule="exact"/>
        <w:ind w:firstLine="537" w:firstLineChars="168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3.积极配合区委、区政府相关工作；</w:t>
      </w:r>
    </w:p>
    <w:p>
      <w:pPr>
        <w:widowControl/>
        <w:spacing w:line="560" w:lineRule="exact"/>
        <w:ind w:firstLine="537" w:firstLineChars="168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4.本项目不得与前海合作区制定的同类性质扶持政策重复申报。</w:t>
      </w:r>
    </w:p>
    <w:p>
      <w:pPr>
        <w:widowControl/>
        <w:spacing w:line="560" w:lineRule="exact"/>
        <w:ind w:firstLine="537" w:firstLineChars="168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highlight w:val="none"/>
        </w:rPr>
        <w:t>（二）有下列情况之一的，本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highlight w:val="none"/>
          <w:lang w:eastAsia="zh-CN"/>
        </w:rPr>
        <w:t>项目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highlight w:val="none"/>
        </w:rPr>
        <w:t>资金不予资助：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/>
          <w:sz w:val="32"/>
          <w:szCs w:val="32"/>
          <w:highlight w:val="none"/>
        </w:rPr>
      </w:pPr>
      <w:r>
        <w:rPr>
          <w:rFonts w:ascii="仿宋_GB2312" w:hAnsi="宋体" w:eastAsia="仿宋_GB2312"/>
          <w:sz w:val="32"/>
          <w:szCs w:val="32"/>
          <w:highlight w:val="none"/>
        </w:rPr>
        <w:t>1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被依法依规纳入严重失信主体名单或失信惩戒措施清单的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9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仿宋_GB2312" w:hAnsi="宋体" w:eastAsia="仿宋_GB2312"/>
          <w:sz w:val="32"/>
          <w:szCs w:val="32"/>
          <w:highlight w:val="none"/>
        </w:rPr>
        <w:t>2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提出资助申请后，申报主体项目实施地或数据申报地发生变化，不再符合申报条件的。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rightChars="0" w:firstLine="640" w:firstLineChars="200"/>
        <w:textAlignment w:val="auto"/>
        <w:outlineLvl w:val="9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五、办理流程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）登录“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A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i南山企业服务综合平台”（https://www.inanshan.org.c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n/），在线填写《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2025年鼓励住宿业企业做大做强资助项目申请书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》相关申报材料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（二）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区企业发展服务中心受理</w:t>
      </w:r>
      <w:r>
        <w:rPr>
          <w:rFonts w:hint="eastAsia" w:ascii="仿宋_GB2312" w:eastAsia="仿宋_GB2312"/>
          <w:kern w:val="2"/>
          <w:sz w:val="32"/>
          <w:szCs w:val="32"/>
          <w:highlight w:val="none"/>
          <w:lang w:eastAsia="zh-CN"/>
        </w:rPr>
        <w:t>申请，对申报材料进行形式性审核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区文化广电旅游体育局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复审申报材料；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三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区文化广电旅游体育局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拟定项目资助计划；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区统计局对申报主体数据申报情况进行核查，区企业发展服务中心组织对申报主体的在地经营情况、不良信用记录等情况进行核查；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五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区企业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发展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服务中心将拟资助项目向社会公示5个工作日，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对公示期满，无有效投诉的项目资助计划，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区文化广电旅游体育局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按照相应审核程序提交审议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六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经审议后，由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区文化广电旅游体育局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行文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下达资金计划；</w:t>
      </w:r>
    </w:p>
    <w:p>
      <w:pPr>
        <w:pStyle w:val="19"/>
        <w:spacing w:before="0" w:after="0" w:line="560" w:lineRule="exact"/>
        <w:ind w:firstLine="640" w:firstLineChars="200"/>
        <w:rPr>
          <w:rFonts w:hint="default" w:ascii="仿宋_GB2312" w:hAnsi="宋体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（七）申报主体线上提交加盖单位财务专用章的收据；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9"/>
        <w:rPr>
          <w:rFonts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八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区财政部门及时安排资金，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区文化广电旅游体育局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对受理项目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办理资金拨付手续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contextualSpacing/>
        <w:jc w:val="both"/>
        <w:textAlignment w:val="auto"/>
        <w:rPr>
          <w:rFonts w:ascii="黑体" w:hAnsi="黑体" w:eastAsia="黑体"/>
          <w:bCs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黑体" w:hAnsi="黑体" w:eastAsia="黑体"/>
          <w:bCs/>
          <w:kern w:val="2"/>
          <w:sz w:val="32"/>
          <w:szCs w:val="32"/>
          <w:highlight w:val="none"/>
          <w:lang w:eastAsia="zh-CN" w:bidi="ar-SA"/>
        </w:rPr>
        <w:t>六、所需材料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contextualSpacing/>
        <w:jc w:val="both"/>
        <w:textAlignment w:val="auto"/>
        <w:rPr>
          <w:rFonts w:ascii="仿宋_GB2312" w:hAnsi="ˎ̥" w:eastAsia="仿宋_GB2312" w:cs="宋体"/>
          <w:sz w:val="32"/>
          <w:szCs w:val="32"/>
          <w:highlight w:val="none"/>
          <w:lang w:eastAsia="zh-CN" w:bidi="ar-SA"/>
        </w:rPr>
      </w:pPr>
      <w:r>
        <w:rPr>
          <w:rFonts w:hint="eastAsia" w:ascii="仿宋_GB2312" w:hAnsi="ˎ̥" w:eastAsia="仿宋_GB2312" w:cs="宋体"/>
          <w:sz w:val="32"/>
          <w:szCs w:val="32"/>
          <w:highlight w:val="none"/>
          <w:lang w:eastAsia="zh-Hans" w:bidi="ar-SA"/>
        </w:rPr>
        <w:t>（一）</w:t>
      </w:r>
      <w:r>
        <w:rPr>
          <w:rFonts w:hint="eastAsia" w:ascii="仿宋_GB2312" w:eastAsia="仿宋_GB2312"/>
          <w:sz w:val="32"/>
          <w:szCs w:val="32"/>
          <w:highlight w:val="none"/>
        </w:rPr>
        <w:t>《项目申请书》（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登录“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A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i南山企业服务综合平台”https://www.inanshan.org.c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n/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在线填写，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法定代表人签字并加盖单位公章后，原件彩色扫描成PDF文件上传</w:t>
      </w:r>
      <w:r>
        <w:rPr>
          <w:rFonts w:hint="eastAsia" w:ascii="仿宋_GB2312" w:eastAsia="仿宋_GB2312"/>
          <w:sz w:val="32"/>
          <w:szCs w:val="32"/>
          <w:highlight w:val="none"/>
        </w:rPr>
        <w:t>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统一社会信用代码证书（原件彩色扫描成PDF文件上传）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eastAsia="zh-CN"/>
        </w:rPr>
        <w:t>法定代表人身份证[原件（或复印件加盖单位公章）彩色扫描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成PDF文件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eastAsia="zh-CN"/>
        </w:rPr>
        <w:t>上传]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  <w:lang w:eastAsia="zh-CN"/>
        </w:rPr>
        <w:t>（四）</w:t>
      </w:r>
      <w:r>
        <w:rPr>
          <w:rFonts w:hint="eastAsia" w:ascii="仿宋_GB2312"/>
          <w:szCs w:val="32"/>
          <w:highlight w:val="none"/>
        </w:rPr>
        <w:t>202</w:t>
      </w:r>
      <w:r>
        <w:rPr>
          <w:rFonts w:hint="eastAsia" w:ascii="仿宋_GB2312"/>
          <w:szCs w:val="32"/>
          <w:highlight w:val="none"/>
          <w:lang w:eastAsia="zh-CN"/>
        </w:rPr>
        <w:t>5</w:t>
      </w:r>
      <w:r>
        <w:rPr>
          <w:rFonts w:hint="eastAsia" w:ascii="仿宋_GB2312"/>
          <w:szCs w:val="32"/>
          <w:highlight w:val="none"/>
        </w:rPr>
        <w:t>年1-12月</w:t>
      </w:r>
      <w:r>
        <w:rPr>
          <w:rFonts w:hint="eastAsia" w:ascii="仿宋_GB2312"/>
          <w:szCs w:val="32"/>
          <w:highlight w:val="none"/>
          <w:lang w:val="en-US" w:eastAsia="zh-CN"/>
        </w:rPr>
        <w:t>经营情况表、调查单位基本情况表</w:t>
      </w:r>
      <w:r>
        <w:rPr>
          <w:rFonts w:hint="eastAsia" w:ascii="仿宋_GB2312"/>
          <w:szCs w:val="32"/>
          <w:highlight w:val="none"/>
        </w:rPr>
        <w:t>[“统计云平台联网直报系统”下载，原件（或复印件加盖单位公章）彩色扫描成PDF文件上传]；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  <w:highlight w:val="none"/>
          <w:lang w:val="en-US" w:eastAsia="zh-CN"/>
        </w:rPr>
        <w:t>（五）税务部门开具的单位2025年度纳税证明</w:t>
      </w:r>
      <w:r>
        <w:rPr>
          <w:rFonts w:hint="eastAsia" w:ascii="仿宋_GB2312"/>
          <w:szCs w:val="32"/>
          <w:highlight w:val="none"/>
          <w:lang w:eastAsia="zh-CN"/>
        </w:rPr>
        <w:t>[原件彩色扫描成PDF文件上传]</w:t>
      </w:r>
      <w:r>
        <w:rPr>
          <w:rFonts w:hint="eastAsia" w:ascii="仿宋_GB2312"/>
          <w:szCs w:val="32"/>
          <w:highlight w:val="none"/>
          <w:lang w:val="en-US" w:eastAsia="zh-CN"/>
        </w:rPr>
        <w:t>；</w:t>
      </w:r>
    </w:p>
    <w:p>
      <w:pPr>
        <w:pStyle w:val="11"/>
        <w:spacing w:after="0" w:line="5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hint="eastAsia" w:ascii="仿宋_GB2312" w:cs="Times New Roman"/>
          <w:sz w:val="32"/>
          <w:szCs w:val="32"/>
          <w:highlight w:val="none"/>
          <w:lang w:val="en-US" w:eastAsia="zh-CN"/>
        </w:rPr>
        <w:t>（六）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审核部门认为需要提供的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其他材料[原件（或复印件加盖单位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公章）彩色扫描成PDF文件上传]。</w:t>
      </w:r>
    </w:p>
    <w:p>
      <w:pPr>
        <w:pStyle w:val="1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 w:eastAsia="黑体" w:cs="Times New Roman"/>
          <w:kern w:val="2"/>
          <w:sz w:val="32"/>
          <w:szCs w:val="32"/>
          <w:highlight w:val="none"/>
        </w:rPr>
      </w:pPr>
      <w:r>
        <w:rPr>
          <w:rFonts w:hint="eastAsia" w:ascii="Times New Roman" w:hAnsi="黑体" w:eastAsia="黑体" w:cs="Times New Roman"/>
          <w:kern w:val="2"/>
          <w:sz w:val="32"/>
          <w:szCs w:val="32"/>
          <w:highlight w:val="none"/>
        </w:rPr>
        <w:t>七、时限要求</w:t>
      </w:r>
    </w:p>
    <w:p>
      <w:pPr>
        <w:pStyle w:val="1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（一）区文化广电旅游体育局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视申请情况安排集中受理企业申请，具体受理时间以发布的申报通知为准。</w:t>
      </w:r>
    </w:p>
    <w:p>
      <w:pPr>
        <w:pStyle w:val="1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申报主体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区文化广电旅游体育局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相关通知要求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及时提交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资金拨付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所需材料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，逾期不办理者视为自动放弃。</w:t>
      </w:r>
    </w:p>
    <w:p>
      <w:pPr>
        <w:pStyle w:val="1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  <w:highlight w:val="none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highlight w:val="none"/>
        </w:rPr>
        <w:t>八、其他事项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28" w:firstLineChars="0"/>
        <w:rPr>
          <w:rFonts w:hint="eastAsia" w:ascii="仿宋_GB2312" w:hAnsi="黑体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（一）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本</w:t>
      </w:r>
      <w:r>
        <w:rPr>
          <w:rFonts w:hint="eastAsia" w:ascii="仿宋_GB2312" w:hAnsi="黑体" w:eastAsia="仿宋_GB2312"/>
          <w:sz w:val="32"/>
          <w:szCs w:val="32"/>
          <w:highlight w:val="none"/>
          <w:lang w:eastAsia="zh-CN"/>
        </w:rPr>
        <w:t>项目所依据的政策内容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执行期间如遇国家、省、市有关政策调整的，按照上级有关规定执行</w:t>
      </w:r>
      <w:r>
        <w:rPr>
          <w:rFonts w:hint="eastAsia" w:ascii="仿宋_GB2312" w:hAnsi="黑体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pStyle w:val="1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黑体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</w:rPr>
        <w:t>申请本项目资助的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eastAsia="zh-CN"/>
        </w:rPr>
        <w:t>主体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</w:rPr>
        <w:t>应保证其申报材料的完整性、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真实性、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</w:rPr>
        <w:t>准确性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及合法性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并承担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因其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提交的项目申报材料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产生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的相关法律责任，如有虚假或侵权等行为，该项目申请无效，如事后发现存在以上行为，本资金主管部门将保留依法追究其法律责任的权利。</w:t>
      </w:r>
    </w:p>
    <w:p>
      <w:pPr>
        <w:pStyle w:val="1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highlight w:val="none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highlight w:val="none"/>
        </w:rPr>
        <w:t>九、附则</w:t>
      </w:r>
    </w:p>
    <w:p>
      <w:pPr>
        <w:pStyle w:val="1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</w:rPr>
        <w:t>本项目责任部门为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区文化广电旅游体育局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</w:rPr>
        <w:t>，本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eastAsia="zh-CN"/>
        </w:rPr>
        <w:t>操作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</w:rPr>
        <w:t>规程由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区文化广电旅游体育局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</w:rPr>
        <w:t>负责解释，自发布之日起施行。</w:t>
      </w:r>
    </w:p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长城仿宋">
    <w:altName w:val="方正仿宋_GBK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ˎ̥">
    <w:altName w:val="华文仿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</w:pPr>
    <w:r>
      <w:rPr>
        <w:rFonts w:hint="eastAsia" w:ascii="微软雅黑" w:hAnsi="微软雅黑" w:eastAsia="微软雅黑" w:cs="微软雅黑"/>
        <w:sz w:val="28"/>
        <w:szCs w:val="28"/>
      </w:rPr>
      <w:t>内部文件，请勿外传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CEF4C5"/>
    <w:multiLevelType w:val="singleLevel"/>
    <w:tmpl w:val="7FCEF4C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5NGFkM2YyYWUzMzNjMjllZDU5MWI1OGQ4ZmI3YjMifQ=="/>
  </w:docVars>
  <w:rsids>
    <w:rsidRoot w:val="ED5E3818"/>
    <w:rsid w:val="002A597F"/>
    <w:rsid w:val="003D45DE"/>
    <w:rsid w:val="00866216"/>
    <w:rsid w:val="009469BE"/>
    <w:rsid w:val="00B74DCC"/>
    <w:rsid w:val="00B932A8"/>
    <w:rsid w:val="00CA0E0F"/>
    <w:rsid w:val="00E7307D"/>
    <w:rsid w:val="02FD7C1C"/>
    <w:rsid w:val="038720C2"/>
    <w:rsid w:val="039E26A2"/>
    <w:rsid w:val="04414F49"/>
    <w:rsid w:val="045E1F2C"/>
    <w:rsid w:val="04FC43EA"/>
    <w:rsid w:val="0512299B"/>
    <w:rsid w:val="05CA3700"/>
    <w:rsid w:val="05D763F5"/>
    <w:rsid w:val="05FE6368"/>
    <w:rsid w:val="06161ABC"/>
    <w:rsid w:val="06371EF2"/>
    <w:rsid w:val="064041FE"/>
    <w:rsid w:val="0765356B"/>
    <w:rsid w:val="085B0E7D"/>
    <w:rsid w:val="09E964E0"/>
    <w:rsid w:val="0B556E48"/>
    <w:rsid w:val="0BA22A25"/>
    <w:rsid w:val="0CA4034F"/>
    <w:rsid w:val="0DC0434D"/>
    <w:rsid w:val="0DDE6A4B"/>
    <w:rsid w:val="0E20663F"/>
    <w:rsid w:val="0E5505FC"/>
    <w:rsid w:val="0ED54C49"/>
    <w:rsid w:val="0F595D19"/>
    <w:rsid w:val="0F7D27E3"/>
    <w:rsid w:val="0F8B3090"/>
    <w:rsid w:val="0FB96BE3"/>
    <w:rsid w:val="0FD1CA36"/>
    <w:rsid w:val="1028001E"/>
    <w:rsid w:val="108035FE"/>
    <w:rsid w:val="10AB1E2C"/>
    <w:rsid w:val="10B1077E"/>
    <w:rsid w:val="10B614C2"/>
    <w:rsid w:val="11F97FA7"/>
    <w:rsid w:val="123C5137"/>
    <w:rsid w:val="125025A2"/>
    <w:rsid w:val="13622204"/>
    <w:rsid w:val="13713C12"/>
    <w:rsid w:val="13766B2C"/>
    <w:rsid w:val="13BF4FF6"/>
    <w:rsid w:val="143040B0"/>
    <w:rsid w:val="149433E1"/>
    <w:rsid w:val="171DA900"/>
    <w:rsid w:val="190D2C12"/>
    <w:rsid w:val="192B6153"/>
    <w:rsid w:val="193B721D"/>
    <w:rsid w:val="19520625"/>
    <w:rsid w:val="19B15417"/>
    <w:rsid w:val="1A045DC3"/>
    <w:rsid w:val="1A8A79BE"/>
    <w:rsid w:val="1B2F16B7"/>
    <w:rsid w:val="1B79A6FE"/>
    <w:rsid w:val="1BCF0873"/>
    <w:rsid w:val="1C3B1BAD"/>
    <w:rsid w:val="1CD01F8C"/>
    <w:rsid w:val="1D0E0D07"/>
    <w:rsid w:val="1D186F33"/>
    <w:rsid w:val="1D1B6AEF"/>
    <w:rsid w:val="1D293D92"/>
    <w:rsid w:val="1D7E40DE"/>
    <w:rsid w:val="1DB41D02"/>
    <w:rsid w:val="1DE8617F"/>
    <w:rsid w:val="1E0C3D0A"/>
    <w:rsid w:val="1E6F12F7"/>
    <w:rsid w:val="1F0F06C9"/>
    <w:rsid w:val="1F4D0F97"/>
    <w:rsid w:val="1F5C2D2A"/>
    <w:rsid w:val="1FD34C25"/>
    <w:rsid w:val="1FF78E43"/>
    <w:rsid w:val="1FFE263C"/>
    <w:rsid w:val="21C81DCC"/>
    <w:rsid w:val="22D60519"/>
    <w:rsid w:val="23040BE2"/>
    <w:rsid w:val="234F717E"/>
    <w:rsid w:val="23A42E91"/>
    <w:rsid w:val="23E16607"/>
    <w:rsid w:val="244A2F6C"/>
    <w:rsid w:val="25357E44"/>
    <w:rsid w:val="25B74415"/>
    <w:rsid w:val="26167E02"/>
    <w:rsid w:val="269745A0"/>
    <w:rsid w:val="272711D7"/>
    <w:rsid w:val="29316CAD"/>
    <w:rsid w:val="29626872"/>
    <w:rsid w:val="297445E7"/>
    <w:rsid w:val="2A7C7BF7"/>
    <w:rsid w:val="2CDA6999"/>
    <w:rsid w:val="2CDB1F7C"/>
    <w:rsid w:val="2D314B9D"/>
    <w:rsid w:val="2EFA0CF2"/>
    <w:rsid w:val="2F25065C"/>
    <w:rsid w:val="2FC64A5C"/>
    <w:rsid w:val="300F506A"/>
    <w:rsid w:val="31B50B38"/>
    <w:rsid w:val="329A1E74"/>
    <w:rsid w:val="32B22EEC"/>
    <w:rsid w:val="32CF4EF3"/>
    <w:rsid w:val="33494CD3"/>
    <w:rsid w:val="34B45A22"/>
    <w:rsid w:val="34D72742"/>
    <w:rsid w:val="35132F06"/>
    <w:rsid w:val="35891707"/>
    <w:rsid w:val="35904365"/>
    <w:rsid w:val="35ED1EB8"/>
    <w:rsid w:val="360515C0"/>
    <w:rsid w:val="369569FE"/>
    <w:rsid w:val="37B81B43"/>
    <w:rsid w:val="38216F32"/>
    <w:rsid w:val="3907265E"/>
    <w:rsid w:val="3AB159EB"/>
    <w:rsid w:val="3AE72E4D"/>
    <w:rsid w:val="3BF27793"/>
    <w:rsid w:val="3C461E09"/>
    <w:rsid w:val="3DC9525E"/>
    <w:rsid w:val="3E0B37CE"/>
    <w:rsid w:val="3E99746B"/>
    <w:rsid w:val="3EFDAB66"/>
    <w:rsid w:val="3FF9AC90"/>
    <w:rsid w:val="40FC50AE"/>
    <w:rsid w:val="419D0727"/>
    <w:rsid w:val="42140C5D"/>
    <w:rsid w:val="42A828ED"/>
    <w:rsid w:val="42D86275"/>
    <w:rsid w:val="436C4FE6"/>
    <w:rsid w:val="43BC415D"/>
    <w:rsid w:val="44D35EC8"/>
    <w:rsid w:val="45257882"/>
    <w:rsid w:val="45AE289E"/>
    <w:rsid w:val="466B634C"/>
    <w:rsid w:val="46967132"/>
    <w:rsid w:val="4743767B"/>
    <w:rsid w:val="476D2D38"/>
    <w:rsid w:val="484D0086"/>
    <w:rsid w:val="49586B12"/>
    <w:rsid w:val="496C20F5"/>
    <w:rsid w:val="4AB93B72"/>
    <w:rsid w:val="4C392A55"/>
    <w:rsid w:val="4C40146E"/>
    <w:rsid w:val="4C5B7215"/>
    <w:rsid w:val="4C7D71E6"/>
    <w:rsid w:val="4CB73B6B"/>
    <w:rsid w:val="4D2F41FE"/>
    <w:rsid w:val="4D3C7046"/>
    <w:rsid w:val="4F406AB9"/>
    <w:rsid w:val="4FAF6635"/>
    <w:rsid w:val="4FF161D5"/>
    <w:rsid w:val="50497CF8"/>
    <w:rsid w:val="50955B46"/>
    <w:rsid w:val="521B6EE4"/>
    <w:rsid w:val="522679F4"/>
    <w:rsid w:val="537F77E9"/>
    <w:rsid w:val="53C01972"/>
    <w:rsid w:val="54091501"/>
    <w:rsid w:val="544022AA"/>
    <w:rsid w:val="55450A62"/>
    <w:rsid w:val="55ED3F85"/>
    <w:rsid w:val="55F85AD5"/>
    <w:rsid w:val="55FF0CEF"/>
    <w:rsid w:val="56183DA8"/>
    <w:rsid w:val="574F26FB"/>
    <w:rsid w:val="5795421A"/>
    <w:rsid w:val="57DF7044"/>
    <w:rsid w:val="57FBF114"/>
    <w:rsid w:val="58112E7E"/>
    <w:rsid w:val="581A6D84"/>
    <w:rsid w:val="593B7D6E"/>
    <w:rsid w:val="598C5A03"/>
    <w:rsid w:val="59905AD2"/>
    <w:rsid w:val="5AB87F28"/>
    <w:rsid w:val="5B0F3CAE"/>
    <w:rsid w:val="5B2E2E41"/>
    <w:rsid w:val="5BED3C9F"/>
    <w:rsid w:val="5C195537"/>
    <w:rsid w:val="5C5C6273"/>
    <w:rsid w:val="5C6A0EFE"/>
    <w:rsid w:val="5CBF3E7D"/>
    <w:rsid w:val="5DCF23A6"/>
    <w:rsid w:val="5DE21439"/>
    <w:rsid w:val="5F943A05"/>
    <w:rsid w:val="5FF36DB0"/>
    <w:rsid w:val="607E307A"/>
    <w:rsid w:val="61C47E4F"/>
    <w:rsid w:val="61C62FCD"/>
    <w:rsid w:val="62620EA5"/>
    <w:rsid w:val="63331DE7"/>
    <w:rsid w:val="63830506"/>
    <w:rsid w:val="63FD1CC8"/>
    <w:rsid w:val="64376ED5"/>
    <w:rsid w:val="646F0A29"/>
    <w:rsid w:val="64AC7241"/>
    <w:rsid w:val="65B869C4"/>
    <w:rsid w:val="65FF880D"/>
    <w:rsid w:val="661621F5"/>
    <w:rsid w:val="66DE0115"/>
    <w:rsid w:val="66DF38C6"/>
    <w:rsid w:val="686B0388"/>
    <w:rsid w:val="68AC2EBA"/>
    <w:rsid w:val="69A73642"/>
    <w:rsid w:val="69AC4EB1"/>
    <w:rsid w:val="6A590DE0"/>
    <w:rsid w:val="6AF77563"/>
    <w:rsid w:val="6B67B983"/>
    <w:rsid w:val="6C517895"/>
    <w:rsid w:val="6CEC68FA"/>
    <w:rsid w:val="6D284F74"/>
    <w:rsid w:val="6D315A58"/>
    <w:rsid w:val="6E10486A"/>
    <w:rsid w:val="6E416F57"/>
    <w:rsid w:val="6EA16C23"/>
    <w:rsid w:val="6EF30055"/>
    <w:rsid w:val="6EF72976"/>
    <w:rsid w:val="6F77784A"/>
    <w:rsid w:val="6FDAAA9F"/>
    <w:rsid w:val="6FFE2E31"/>
    <w:rsid w:val="703F566B"/>
    <w:rsid w:val="711C4915"/>
    <w:rsid w:val="71263C28"/>
    <w:rsid w:val="7134618A"/>
    <w:rsid w:val="71DE10E6"/>
    <w:rsid w:val="722241AD"/>
    <w:rsid w:val="72282659"/>
    <w:rsid w:val="72297604"/>
    <w:rsid w:val="72D03527"/>
    <w:rsid w:val="73BFDF30"/>
    <w:rsid w:val="74F39A9A"/>
    <w:rsid w:val="7528079C"/>
    <w:rsid w:val="757F61E1"/>
    <w:rsid w:val="75AF4821"/>
    <w:rsid w:val="75ED76EC"/>
    <w:rsid w:val="77061E93"/>
    <w:rsid w:val="77BB2EF4"/>
    <w:rsid w:val="78911745"/>
    <w:rsid w:val="793C42BB"/>
    <w:rsid w:val="7956473D"/>
    <w:rsid w:val="798F771C"/>
    <w:rsid w:val="79BEA830"/>
    <w:rsid w:val="7AB0029F"/>
    <w:rsid w:val="7AF719F4"/>
    <w:rsid w:val="7B29084C"/>
    <w:rsid w:val="7B4909FD"/>
    <w:rsid w:val="7B9DAD27"/>
    <w:rsid w:val="7DC43D39"/>
    <w:rsid w:val="7DF06F0E"/>
    <w:rsid w:val="7DFF9994"/>
    <w:rsid w:val="7EE30820"/>
    <w:rsid w:val="7F2A3A6C"/>
    <w:rsid w:val="7F39711B"/>
    <w:rsid w:val="7F890723"/>
    <w:rsid w:val="7FDF16EB"/>
    <w:rsid w:val="7FF53243"/>
    <w:rsid w:val="7FFD416C"/>
    <w:rsid w:val="83FEE8A1"/>
    <w:rsid w:val="8FFBCAEE"/>
    <w:rsid w:val="975B28D8"/>
    <w:rsid w:val="9EFE745B"/>
    <w:rsid w:val="9FD4FBA2"/>
    <w:rsid w:val="A8E72175"/>
    <w:rsid w:val="AEFFF55B"/>
    <w:rsid w:val="B6F5DCB5"/>
    <w:rsid w:val="B7FFBCA0"/>
    <w:rsid w:val="BB5C1CE0"/>
    <w:rsid w:val="BBDA6C53"/>
    <w:rsid w:val="BBFD5D5B"/>
    <w:rsid w:val="BF6CCEC0"/>
    <w:rsid w:val="BF6DD201"/>
    <w:rsid w:val="BFF6F647"/>
    <w:rsid w:val="CDF7870A"/>
    <w:rsid w:val="D6A53E3F"/>
    <w:rsid w:val="D7EA291F"/>
    <w:rsid w:val="DC5B46CB"/>
    <w:rsid w:val="DF9D0E21"/>
    <w:rsid w:val="DFBA7D2B"/>
    <w:rsid w:val="DFD66348"/>
    <w:rsid w:val="DFFF88BB"/>
    <w:rsid w:val="E58D9C68"/>
    <w:rsid w:val="E77DF9CE"/>
    <w:rsid w:val="E9BF7E1F"/>
    <w:rsid w:val="ED5E3818"/>
    <w:rsid w:val="EE8E5C1A"/>
    <w:rsid w:val="F1CD1712"/>
    <w:rsid w:val="F1DF7560"/>
    <w:rsid w:val="F2CBEA5E"/>
    <w:rsid w:val="F8DBB89A"/>
    <w:rsid w:val="FA755D20"/>
    <w:rsid w:val="FABDDEC2"/>
    <w:rsid w:val="FB1F9D02"/>
    <w:rsid w:val="FB6F9BFC"/>
    <w:rsid w:val="FB77D00C"/>
    <w:rsid w:val="FBBFCFA0"/>
    <w:rsid w:val="FBFA5372"/>
    <w:rsid w:val="FDDA12C6"/>
    <w:rsid w:val="FDF7213F"/>
    <w:rsid w:val="FEB5710B"/>
    <w:rsid w:val="FED6182C"/>
    <w:rsid w:val="FF7E2F10"/>
    <w:rsid w:val="FFAEF25E"/>
    <w:rsid w:val="FFFAEE95"/>
    <w:rsid w:val="FFFF287C"/>
    <w:rsid w:val="FFFF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60" w:lineRule="exact"/>
      <w:ind w:firstLine="640" w:firstLineChars="200"/>
      <w:jc w:val="left"/>
      <w:outlineLvl w:val="0"/>
    </w:pPr>
    <w:rPr>
      <w:rFonts w:ascii="黑体" w:hAnsi="黑体" w:eastAsia="黑体"/>
      <w:sz w:val="32"/>
      <w:szCs w:val="32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unhideWhenUsed/>
    <w:qFormat/>
    <w:uiPriority w:val="99"/>
    <w:pPr>
      <w:spacing w:after="120"/>
    </w:p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Body Text First Indent"/>
    <w:basedOn w:val="6"/>
    <w:unhideWhenUsed/>
    <w:qFormat/>
    <w:uiPriority w:val="99"/>
    <w:pPr>
      <w:ind w:firstLine="420" w:firstLineChars="100"/>
    </w:pPr>
    <w:rPr>
      <w:rFonts w:eastAsia="仿宋_GB2312"/>
      <w:sz w:val="32"/>
      <w:szCs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page number"/>
    <w:basedOn w:val="14"/>
    <w:qFormat/>
    <w:uiPriority w:val="0"/>
  </w:style>
  <w:style w:type="character" w:customStyle="1" w:styleId="17">
    <w:name w:val="标题 2 Char"/>
    <w:link w:val="3"/>
    <w:qFormat/>
    <w:uiPriority w:val="0"/>
    <w:rPr>
      <w:rFonts w:ascii="Arial" w:hAnsi="Arial" w:eastAsia="黑体"/>
      <w:b/>
      <w:sz w:val="32"/>
    </w:rPr>
  </w:style>
  <w:style w:type="paragraph" w:customStyle="1" w:styleId="18">
    <w:name w:val="文档正文"/>
    <w:qFormat/>
    <w:uiPriority w:val="0"/>
    <w:pPr>
      <w:widowControl w:val="0"/>
      <w:adjustRightInd w:val="0"/>
      <w:spacing w:line="480" w:lineRule="atLeast"/>
      <w:ind w:firstLine="567" w:firstLineChars="200"/>
      <w:jc w:val="both"/>
      <w:textAlignment w:val="baseline"/>
    </w:pPr>
    <w:rPr>
      <w:rFonts w:ascii="长城仿宋" w:hAnsi="Calibri" w:eastAsia="宋体" w:cs="Times New Roman"/>
      <w:kern w:val="0"/>
      <w:sz w:val="21"/>
      <w:szCs w:val="20"/>
      <w:lang w:val="en-US" w:eastAsia="zh-CN" w:bidi="ar-SA"/>
    </w:rPr>
  </w:style>
  <w:style w:type="paragraph" w:customStyle="1" w:styleId="19">
    <w:name w:val="Heading4"/>
    <w:basedOn w:val="1"/>
    <w:next w:val="1"/>
    <w:qFormat/>
    <w:uiPriority w:val="0"/>
    <w:pPr>
      <w:keepNext/>
      <w:keepLines/>
      <w:spacing w:before="280" w:after="290" w:line="376" w:lineRule="auto"/>
      <w:textAlignment w:val="baseline"/>
    </w:pPr>
    <w:rPr>
      <w:rFonts w:ascii="Cambria" w:hAnsi="Cambria" w:cs="Times New Roman"/>
      <w:b/>
      <w:bCs/>
      <w:sz w:val="28"/>
      <w:szCs w:val="28"/>
    </w:rPr>
  </w:style>
  <w:style w:type="paragraph" w:customStyle="1" w:styleId="20">
    <w:name w:val="Body text|1"/>
    <w:basedOn w:val="1"/>
    <w:qFormat/>
    <w:uiPriority w:val="0"/>
    <w:pPr>
      <w:spacing w:line="401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character" w:customStyle="1" w:styleId="21">
    <w:name w:val="font31"/>
    <w:basedOn w:val="1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22">
    <w:name w:val="font1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3">
    <w:name w:val="Revision"/>
    <w:hidden/>
    <w:unhideWhenUsed/>
    <w:qFormat/>
    <w:uiPriority w:val="99"/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customStyle="1" w:styleId="24">
    <w:name w:val="font01"/>
    <w:basedOn w:val="14"/>
    <w:qFormat/>
    <w:uiPriority w:val="0"/>
    <w:rPr>
      <w:rFonts w:hint="eastAsia"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25">
    <w:name w:val="font21"/>
    <w:basedOn w:val="14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1847</Words>
  <Characters>2052</Characters>
  <Lines>36</Lines>
  <Paragraphs>10</Paragraphs>
  <TotalTime>11</TotalTime>
  <ScaleCrop>false</ScaleCrop>
  <LinksUpToDate>false</LinksUpToDate>
  <CharactersWithSpaces>2053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2023-06-04T02:47:00Z</dcterms:created>
  <dc:creator>彭玮</dc:creator>
  <cp:lastModifiedBy>郑丽敏</cp:lastModifiedBy>
  <cp:lastPrinted>2026-02-24T23:42:00Z</cp:lastPrinted>
  <dcterms:modified xsi:type="dcterms:W3CDTF">2026-02-25T09:34:00Z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38CF4E01249A187686773D6824B03A45_43</vt:lpwstr>
  </property>
</Properties>
</file>