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51B19">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bookmarkStart w:id="1" w:name="_GoBack"/>
      <w:bookmarkEnd w:id="1"/>
      <w:r>
        <w:rPr>
          <w:rFonts w:hint="eastAsia" w:ascii="方正小标宋_GBK" w:hAnsi="宋体" w:eastAsia="方正小标宋_GBK"/>
          <w:sz w:val="44"/>
          <w:szCs w:val="44"/>
          <w:lang w:eastAsia="zh-CN"/>
        </w:rPr>
        <w:t>南山区促进产业高质量发展专项资金——区文化广电旅游体育局分项资金</w:t>
      </w:r>
    </w:p>
    <w:p w14:paraId="7BF44B73">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val="en-US" w:eastAsia="zh-CN"/>
        </w:rPr>
      </w:pPr>
      <w:r>
        <w:rPr>
          <w:rFonts w:hint="eastAsia" w:ascii="方正小标宋_GBK" w:hAnsi="宋体" w:eastAsia="方正小标宋_GBK"/>
          <w:sz w:val="44"/>
          <w:szCs w:val="44"/>
          <w:lang w:eastAsia="zh-CN"/>
        </w:rPr>
        <w:t>支持体育事业发展</w:t>
      </w:r>
      <w:r>
        <w:rPr>
          <w:rFonts w:hint="eastAsia" w:ascii="方正小标宋_GBK" w:hAnsi="宋体" w:eastAsia="方正小标宋_GBK"/>
          <w:sz w:val="44"/>
          <w:szCs w:val="44"/>
          <w:lang w:val="en-US" w:eastAsia="zh-CN"/>
        </w:rPr>
        <w:t>-支持举办</w:t>
      </w:r>
    </w:p>
    <w:p w14:paraId="7D23F122">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电竞赛事</w:t>
      </w:r>
      <w:r>
        <w:rPr>
          <w:rFonts w:hint="eastAsia" w:ascii="方正小标宋_GBK" w:hAnsi="方正小标宋_GBK" w:eastAsia="方正小标宋_GBK" w:cs="方正小标宋_GBK"/>
          <w:color w:val="000000" w:themeColor="text1"/>
          <w:spacing w:val="-14"/>
          <w:sz w:val="44"/>
          <w:szCs w:val="44"/>
          <w:highlight w:val="none"/>
          <w:lang w:val="en-US" w:eastAsia="zh-CN"/>
          <w14:textFill>
            <w14:solidFill>
              <w14:schemeClr w14:val="tx1"/>
            </w14:solidFill>
          </w14:textFill>
        </w:rPr>
        <w:t>项目</w:t>
      </w:r>
    </w:p>
    <w:p w14:paraId="23ACB347">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014C9A78">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26</w:t>
      </w:r>
      <w:r>
        <w:rPr>
          <w:rFonts w:hint="eastAsia" w:eastAsia="黑体"/>
          <w:b/>
          <w:bCs/>
          <w:color w:val="000000"/>
          <w:sz w:val="32"/>
          <w:szCs w:val="32"/>
        </w:rPr>
        <w:t>年）</w:t>
      </w:r>
    </w:p>
    <w:p w14:paraId="0574ADD2">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535CFF16">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14:paraId="2FD03C45">
      <w:pPr>
        <w:widowControl/>
        <w:spacing w:line="560" w:lineRule="exact"/>
        <w:ind w:firstLine="640" w:firstLineChars="200"/>
        <w:rPr>
          <w:rFonts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（一）承办政府主办的重大电竞赛事。支持行业协会、专业机构、企业承办南山区政府组织举办的重大电竞赛事，</w:t>
      </w:r>
      <w:r>
        <w:rPr>
          <w:rFonts w:ascii="仿宋_GB2312" w:hAnsi="仿宋" w:eastAsia="仿宋_GB2312" w:cs="仿宋"/>
          <w:color w:val="000000" w:themeColor="text1"/>
          <w:sz w:val="32"/>
          <w:szCs w:val="32"/>
          <w:highlight w:val="none"/>
          <w14:textFill>
            <w14:solidFill>
              <w14:schemeClr w14:val="tx1"/>
            </w14:solidFill>
          </w14:textFill>
        </w:rPr>
        <w:t>每</w:t>
      </w:r>
      <w:r>
        <w:rPr>
          <w:rFonts w:hint="eastAsia" w:ascii="仿宋_GB2312" w:hAnsi="仿宋" w:eastAsia="仿宋_GB2312" w:cs="仿宋"/>
          <w:color w:val="000000" w:themeColor="text1"/>
          <w:sz w:val="32"/>
          <w:szCs w:val="32"/>
          <w:highlight w:val="none"/>
          <w14:textFill>
            <w14:solidFill>
              <w14:schemeClr w14:val="tx1"/>
            </w14:solidFill>
          </w14:textFill>
        </w:rPr>
        <w:t>个赛事给予最高不超过</w:t>
      </w:r>
      <w:r>
        <w:rPr>
          <w:rFonts w:ascii="仿宋_GB2312" w:hAnsi="仿宋" w:eastAsia="仿宋_GB2312" w:cs="仿宋"/>
          <w:color w:val="000000" w:themeColor="text1"/>
          <w:sz w:val="32"/>
          <w:szCs w:val="32"/>
          <w:highlight w:val="none"/>
          <w14:textFill>
            <w14:solidFill>
              <w14:schemeClr w14:val="tx1"/>
            </w14:solidFill>
          </w14:textFill>
        </w:rPr>
        <w:t>800</w:t>
      </w:r>
      <w:r>
        <w:rPr>
          <w:rFonts w:hint="eastAsia" w:ascii="仿宋_GB2312" w:hAnsi="仿宋" w:eastAsia="仿宋_GB2312" w:cs="仿宋"/>
          <w:color w:val="000000" w:themeColor="text1"/>
          <w:sz w:val="32"/>
          <w:szCs w:val="32"/>
          <w:highlight w:val="none"/>
          <w14:textFill>
            <w14:solidFill>
              <w14:schemeClr w14:val="tx1"/>
            </w14:solidFill>
          </w14:textFill>
        </w:rPr>
        <w:t>万元资助。</w:t>
      </w:r>
    </w:p>
    <w:p w14:paraId="1245BC2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hAnsi="仿宋" w:eastAsia="仿宋"/>
          <w:color w:val="000000"/>
          <w:sz w:val="32"/>
          <w:szCs w:val="32"/>
          <w:lang w:eastAsia="zh-CN"/>
        </w:rPr>
      </w:pPr>
      <w:r>
        <w:rPr>
          <w:rFonts w:hint="eastAsia" w:ascii="仿宋_GB2312" w:hAnsi="仿宋" w:eastAsia="仿宋_GB2312" w:cs="仿宋"/>
          <w:color w:val="000000" w:themeColor="text1"/>
          <w:sz w:val="32"/>
          <w:szCs w:val="32"/>
          <w:highlight w:val="none"/>
          <w14:textFill>
            <w14:solidFill>
              <w14:schemeClr w14:val="tx1"/>
            </w14:solidFill>
          </w14:textFill>
        </w:rPr>
        <w:t>（二）举办职业赛和特色电竞赛事。支持行业协会、专业机构、企业举办国际性/全国顶级职业杯赛/联赛电竞赛事，或高校类、区域类、联盟主场赛事等特色电竞赛事，每个赛事按照不超过实际发生费用</w:t>
      </w:r>
      <w:r>
        <w:rPr>
          <w:rFonts w:ascii="仿宋_GB2312" w:hAnsi="仿宋" w:eastAsia="仿宋_GB2312" w:cs="仿宋"/>
          <w:color w:val="000000" w:themeColor="text1"/>
          <w:sz w:val="32"/>
          <w:szCs w:val="32"/>
          <w:highlight w:val="none"/>
          <w14:textFill>
            <w14:solidFill>
              <w14:schemeClr w14:val="tx1"/>
            </w14:solidFill>
          </w14:textFill>
        </w:rPr>
        <w:t>50%的比例</w:t>
      </w:r>
      <w:r>
        <w:rPr>
          <w:rFonts w:hint="eastAsia" w:ascii="仿宋_GB2312" w:hAnsi="仿宋" w:eastAsia="仿宋_GB2312" w:cs="仿宋"/>
          <w:color w:val="000000" w:themeColor="text1"/>
          <w:sz w:val="32"/>
          <w:szCs w:val="32"/>
          <w:highlight w:val="none"/>
          <w14:textFill>
            <w14:solidFill>
              <w14:schemeClr w14:val="tx1"/>
            </w14:solidFill>
          </w14:textFill>
        </w:rPr>
        <w:t>，</w:t>
      </w:r>
      <w:r>
        <w:rPr>
          <w:rFonts w:ascii="仿宋_GB2312" w:hAnsi="仿宋" w:eastAsia="仿宋_GB2312" w:cs="仿宋"/>
          <w:color w:val="000000" w:themeColor="text1"/>
          <w:sz w:val="32"/>
          <w:szCs w:val="32"/>
          <w:highlight w:val="none"/>
          <w14:textFill>
            <w14:solidFill>
              <w14:schemeClr w14:val="tx1"/>
            </w14:solidFill>
          </w14:textFill>
        </w:rPr>
        <w:t>给予最高不超过500万元资助</w:t>
      </w:r>
      <w:r>
        <w:rPr>
          <w:rFonts w:hint="eastAsia" w:ascii="仿宋_GB2312" w:hAnsi="仿宋" w:eastAsia="仿宋_GB2312" w:cs="仿宋"/>
          <w:color w:val="000000" w:themeColor="text1"/>
          <w:sz w:val="32"/>
          <w:szCs w:val="32"/>
          <w:highlight w:val="none"/>
          <w14:textFill>
            <w14:solidFill>
              <w14:schemeClr w14:val="tx1"/>
            </w14:solidFill>
          </w14:textFill>
        </w:rPr>
        <w:t>，</w:t>
      </w:r>
      <w:r>
        <w:rPr>
          <w:rFonts w:ascii="仿宋_GB2312" w:hAnsi="仿宋" w:eastAsia="仿宋_GB2312" w:cs="仿宋"/>
          <w:color w:val="000000" w:themeColor="text1"/>
          <w:sz w:val="32"/>
          <w:szCs w:val="32"/>
          <w:highlight w:val="none"/>
          <w14:textFill>
            <w14:solidFill>
              <w14:schemeClr w14:val="tx1"/>
            </w14:solidFill>
          </w14:textFill>
        </w:rPr>
        <w:t>每家单位每年资助金额最高不超过</w:t>
      </w:r>
      <w:r>
        <w:rPr>
          <w:rFonts w:hint="eastAsia" w:ascii="仿宋_GB2312" w:hAnsi="仿宋" w:eastAsia="仿宋_GB2312" w:cs="仿宋"/>
          <w:color w:val="000000" w:themeColor="text1"/>
          <w:sz w:val="32"/>
          <w:szCs w:val="32"/>
          <w:highlight w:val="none"/>
          <w14:textFill>
            <w14:solidFill>
              <w14:schemeClr w14:val="tx1"/>
            </w14:solidFill>
          </w14:textFill>
        </w:rPr>
        <w:t>1000</w:t>
      </w:r>
      <w:r>
        <w:rPr>
          <w:rFonts w:ascii="仿宋_GB2312" w:hAnsi="仿宋" w:eastAsia="仿宋_GB2312" w:cs="仿宋"/>
          <w:color w:val="000000" w:themeColor="text1"/>
          <w:sz w:val="32"/>
          <w:szCs w:val="32"/>
          <w:highlight w:val="none"/>
          <w14:textFill>
            <w14:solidFill>
              <w14:schemeClr w14:val="tx1"/>
            </w14:solidFill>
          </w14:textFill>
        </w:rPr>
        <w:t>万元。</w:t>
      </w:r>
    </w:p>
    <w:p w14:paraId="1ADA143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二、设定依据</w:t>
      </w:r>
    </w:p>
    <w:p w14:paraId="7FAF47E9">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lang w:eastAsia="zh-CN"/>
        </w:rPr>
      </w:pPr>
      <w:r>
        <w:rPr>
          <w:rFonts w:hint="eastAsia" w:ascii="仿宋_GB2312" w:hAnsi="仿宋" w:eastAsia="仿宋_GB2312"/>
          <w:color w:val="000000" w:themeColor="text1"/>
          <w:sz w:val="32"/>
          <w:szCs w:val="32"/>
          <w:highlight w:val="none"/>
          <w14:textFill>
            <w14:solidFill>
              <w14:schemeClr w14:val="tx1"/>
            </w14:solidFill>
          </w14:textFill>
        </w:rPr>
        <w:t>为支持承办政府主办的重大电竞赛事，支持举办重点电竞职业联赛，鼓励举办高校电竞赛、粤港澳大湾区电竞赛等特色赛事，增强区域合作和协同发展，扩大南山区电竞产业影响力，根据《南山区促进现代产业高质量发展专项资金管理办法》和《南山区促进电竞产业发展专项扶持措施》，制定本操作规程。</w:t>
      </w:r>
    </w:p>
    <w:p w14:paraId="56832A2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14:paraId="134BD5CA">
      <w:pPr>
        <w:adjustRightInd w:val="0"/>
        <w:snapToGrid w:val="0"/>
        <w:spacing w:line="560" w:lineRule="exact"/>
        <w:ind w:firstLine="640" w:firstLineChars="200"/>
        <w:rPr>
          <w:rFonts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（一）基本条件：</w:t>
      </w:r>
    </w:p>
    <w:p w14:paraId="1C919F6C">
      <w:pPr>
        <w:adjustRightInd w:val="0"/>
        <w:snapToGrid w:val="0"/>
        <w:spacing w:line="560" w:lineRule="exact"/>
        <w:ind w:firstLine="640" w:firstLineChars="200"/>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lang w:val="en-US" w:eastAsia="zh-CN"/>
          <w14:textFill>
            <w14:solidFill>
              <w14:schemeClr w14:val="tx1"/>
            </w14:solidFill>
          </w14:textFill>
        </w:rPr>
        <w:t>1.</w:t>
      </w:r>
      <w:r>
        <w:rPr>
          <w:rFonts w:hint="eastAsia" w:ascii="仿宋_GB2312" w:hAnsi="仿宋" w:eastAsia="仿宋_GB2312"/>
          <w:color w:val="000000" w:themeColor="text1"/>
          <w:sz w:val="32"/>
          <w:szCs w:val="32"/>
          <w:highlight w:val="none"/>
          <w14:textFill>
            <w14:solidFill>
              <w14:schemeClr w14:val="tx1"/>
            </w14:solidFill>
          </w14:textFill>
        </w:rPr>
        <w:t>在南山辖区依法实际从事经营、具有独立法人资格</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申请</w:t>
      </w:r>
      <w:r>
        <w:rPr>
          <w:rFonts w:hint="eastAsia" w:ascii="仿宋_GB2312" w:hAnsi="仿宋" w:eastAsia="仿宋_GB2312" w:cs="仿宋"/>
          <w:color w:val="000000" w:themeColor="text1"/>
          <w:sz w:val="32"/>
          <w:szCs w:val="32"/>
          <w:highlight w:val="none"/>
          <w14:textFill>
            <w14:solidFill>
              <w14:schemeClr w14:val="tx1"/>
            </w14:solidFill>
          </w14:textFill>
        </w:rPr>
        <w:t>承办政府主办的重大电竞赛事</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项目的，不受此项</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限制</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14:textFill>
            <w14:solidFill>
              <w14:schemeClr w14:val="tx1"/>
            </w14:solidFill>
          </w14:textFill>
        </w:rPr>
        <w:t>；</w:t>
      </w:r>
    </w:p>
    <w:p w14:paraId="2C3EE233">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 w:eastAsia="仿宋_GB2312"/>
          <w:color w:val="000000" w:themeColor="text1"/>
          <w:sz w:val="32"/>
          <w:szCs w:val="32"/>
          <w:highlight w:val="none"/>
          <w:lang w:val="en-US" w:eastAsia="zh-CN"/>
          <w14:textFill>
            <w14:solidFill>
              <w14:schemeClr w14:val="tx1"/>
            </w14:solidFill>
          </w14:textFill>
        </w:rPr>
        <w:t>2.</w:t>
      </w:r>
      <w:r>
        <w:rPr>
          <w:rFonts w:hint="eastAsia" w:ascii="仿宋_GB2312" w:hAnsi="仿宋" w:eastAsia="仿宋_GB2312"/>
          <w:color w:val="000000" w:themeColor="text1"/>
          <w:sz w:val="32"/>
          <w:szCs w:val="32"/>
          <w:highlight w:val="none"/>
          <w14:textFill>
            <w14:solidFill>
              <w14:schemeClr w14:val="tx1"/>
            </w14:solidFill>
          </w14:textFill>
        </w:rPr>
        <w:t>履行</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相关</w:t>
      </w:r>
      <w:r>
        <w:rPr>
          <w:rFonts w:hint="eastAsia" w:ascii="仿宋_GB2312" w:hAnsi="仿宋" w:eastAsia="仿宋_GB2312"/>
          <w:color w:val="000000" w:themeColor="text1"/>
          <w:sz w:val="32"/>
          <w:szCs w:val="32"/>
          <w:highlight w:val="none"/>
          <w14:textFill>
            <w14:solidFill>
              <w14:schemeClr w14:val="tx1"/>
            </w14:solidFill>
          </w14:textFill>
        </w:rPr>
        <w:t>数据申报义务、守法经营、诚实守信、有规范健全的财务制度</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申请</w:t>
      </w:r>
      <w:r>
        <w:rPr>
          <w:rFonts w:hint="eastAsia" w:ascii="仿宋_GB2312" w:hAnsi="仿宋" w:eastAsia="仿宋_GB2312" w:cs="仿宋"/>
          <w:color w:val="000000" w:themeColor="text1"/>
          <w:sz w:val="32"/>
          <w:szCs w:val="32"/>
          <w:highlight w:val="none"/>
          <w14:textFill>
            <w14:solidFill>
              <w14:schemeClr w14:val="tx1"/>
            </w14:solidFill>
          </w14:textFill>
        </w:rPr>
        <w:t>承办政府主办的重大电竞赛事</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项目的，不受</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olor w:val="000000" w:themeColor="text1"/>
          <w:sz w:val="32"/>
          <w:szCs w:val="32"/>
          <w:highlight w:val="none"/>
          <w14:textFill>
            <w14:solidFill>
              <w14:schemeClr w14:val="tx1"/>
            </w14:solidFill>
          </w14:textFill>
        </w:rPr>
        <w:t>履行</w:t>
      </w:r>
      <w:r>
        <w:rPr>
          <w:rFonts w:hint="eastAsia" w:ascii="仿宋_GB2312" w:hAnsi="仿宋" w:eastAsia="仿宋_GB2312"/>
          <w:color w:val="000000" w:themeColor="text1"/>
          <w:sz w:val="32"/>
          <w:szCs w:val="32"/>
          <w:highlight w:val="none"/>
          <w:lang w:eastAsia="zh-CN"/>
          <w14:textFill>
            <w14:solidFill>
              <w14:schemeClr w14:val="tx1"/>
            </w14:solidFill>
          </w14:textFill>
        </w:rPr>
        <w:t>相关</w:t>
      </w:r>
      <w:r>
        <w:rPr>
          <w:rFonts w:hint="eastAsia" w:ascii="仿宋_GB2312" w:hAnsi="仿宋" w:eastAsia="仿宋_GB2312"/>
          <w:color w:val="000000" w:themeColor="text1"/>
          <w:sz w:val="32"/>
          <w:szCs w:val="32"/>
          <w:highlight w:val="none"/>
          <w14:textFill>
            <w14:solidFill>
              <w14:schemeClr w14:val="tx1"/>
            </w14:solidFill>
          </w14:textFill>
        </w:rPr>
        <w:t>数据申报义务</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”限制</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14:textFill>
            <w14:solidFill>
              <w14:schemeClr w14:val="tx1"/>
            </w14:solidFill>
          </w14:textFill>
        </w:rPr>
        <w:t>；</w:t>
      </w:r>
    </w:p>
    <w:p w14:paraId="30AA2A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3.应积极配合区委、区政府相关工作</w:t>
      </w:r>
      <w:r>
        <w:rPr>
          <w:rFonts w:hint="eastAsia" w:ascii="仿宋" w:hAnsi="仿宋" w:eastAsia="仿宋"/>
          <w:color w:val="000000"/>
          <w:sz w:val="32"/>
          <w:szCs w:val="32"/>
          <w:lang w:eastAsia="zh-CN"/>
        </w:rPr>
        <w:t>。</w:t>
      </w:r>
    </w:p>
    <w:p w14:paraId="1A29A6CF">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21315437">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44C82EC0">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val="en-US" w:eastAsia="zh-CN" w:bidi="ar-SA"/>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r>
        <w:rPr>
          <w:rFonts w:hint="eastAsia" w:ascii="仿宋" w:hAnsi="仿宋" w:eastAsia="仿宋" w:cs="Times New Roman"/>
          <w:b w:val="0"/>
          <w:bCs w:val="0"/>
          <w:color w:val="000000"/>
          <w:kern w:val="2"/>
          <w:sz w:val="32"/>
          <w:szCs w:val="32"/>
          <w:lang w:val="en-US" w:eastAsia="zh-CN" w:bidi="ar-SA"/>
        </w:rPr>
        <w:t>。</w:t>
      </w:r>
    </w:p>
    <w:p w14:paraId="48CD127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黑体" w:eastAsia="黑体" w:cs="Times New Roman"/>
          <w:color w:val="000000"/>
          <w:sz w:val="32"/>
          <w:szCs w:val="32"/>
          <w:lang w:val="en-US" w:eastAsia="zh-CN"/>
        </w:rPr>
      </w:pPr>
      <w:r>
        <w:rPr>
          <w:rFonts w:hint="eastAsia" w:ascii="Times New Roman" w:hAnsi="黑体" w:eastAsia="黑体" w:cs="Times New Roman"/>
          <w:color w:val="000000"/>
          <w:sz w:val="32"/>
          <w:szCs w:val="32"/>
          <w:lang w:val="en-US" w:eastAsia="zh-CN"/>
        </w:rPr>
        <w:t>四、申报类别</w:t>
      </w:r>
    </w:p>
    <w:p w14:paraId="48FCDE4E">
      <w:pPr>
        <w:pStyle w:val="14"/>
        <w:tabs>
          <w:tab w:val="left" w:pos="0"/>
        </w:tabs>
        <w:spacing w:line="560" w:lineRule="exact"/>
        <w:ind w:firstLine="640"/>
        <w:rPr>
          <w:rFonts w:ascii="仿宋" w:hAnsi="仿宋" w:eastAsia="仿宋" w:cs="Times New Roman"/>
          <w:color w:val="00B0F0"/>
          <w:sz w:val="32"/>
          <w:szCs w:val="32"/>
          <w:highlight w:val="none"/>
        </w:rPr>
      </w:pPr>
      <w:r>
        <w:rPr>
          <w:rFonts w:hint="eastAsia" w:ascii="仿宋_GB2312" w:hAnsi="仿宋" w:eastAsia="仿宋_GB2312" w:cs="仿宋"/>
          <w:b/>
          <w:bCs/>
          <w:color w:val="000000" w:themeColor="text1"/>
          <w:sz w:val="32"/>
          <w:szCs w:val="32"/>
          <w:highlight w:val="none"/>
          <w:lang w:val="en-US" w:eastAsia="zh-CN"/>
          <w14:textFill>
            <w14:solidFill>
              <w14:schemeClr w14:val="tx1"/>
            </w14:solidFill>
          </w14:textFill>
        </w:rPr>
        <w:t>1.</w:t>
      </w:r>
      <w:r>
        <w:rPr>
          <w:rFonts w:hint="eastAsia" w:ascii="仿宋_GB2312" w:hAnsi="仿宋" w:eastAsia="仿宋_GB2312" w:cs="仿宋"/>
          <w:b/>
          <w:bCs/>
          <w:color w:val="000000" w:themeColor="text1"/>
          <w:sz w:val="32"/>
          <w:szCs w:val="32"/>
          <w:highlight w:val="none"/>
          <w14:textFill>
            <w14:solidFill>
              <w14:schemeClr w14:val="tx1"/>
            </w14:solidFill>
          </w14:textFill>
        </w:rPr>
        <w:t>承办政府主办的重大电竞赛事。</w:t>
      </w:r>
      <w:r>
        <w:rPr>
          <w:rFonts w:hint="eastAsia" w:ascii="仿宋_GB2312" w:hAnsi="仿宋" w:eastAsia="仿宋_GB2312" w:cs="仿宋"/>
          <w:color w:val="000000" w:themeColor="text1"/>
          <w:sz w:val="32"/>
          <w:szCs w:val="32"/>
          <w:highlight w:val="none"/>
          <w14:textFill>
            <w14:solidFill>
              <w14:schemeClr w14:val="tx1"/>
            </w14:solidFill>
          </w14:textFill>
        </w:rPr>
        <w:t>支持行业协会、专业机构、企业承办南山区政府组织主办的重大电竞赛事，</w:t>
      </w:r>
      <w:r>
        <w:rPr>
          <w:rFonts w:ascii="仿宋_GB2312" w:hAnsi="仿宋" w:eastAsia="仿宋_GB2312" w:cs="仿宋"/>
          <w:color w:val="000000" w:themeColor="text1"/>
          <w:sz w:val="32"/>
          <w:szCs w:val="32"/>
          <w:highlight w:val="none"/>
          <w14:textFill>
            <w14:solidFill>
              <w14:schemeClr w14:val="tx1"/>
            </w14:solidFill>
          </w14:textFill>
        </w:rPr>
        <w:t>每</w:t>
      </w:r>
      <w:r>
        <w:rPr>
          <w:rFonts w:hint="eastAsia" w:ascii="仿宋_GB2312" w:hAnsi="仿宋" w:eastAsia="仿宋_GB2312" w:cs="仿宋"/>
          <w:color w:val="000000" w:themeColor="text1"/>
          <w:sz w:val="32"/>
          <w:szCs w:val="32"/>
          <w:highlight w:val="none"/>
          <w14:textFill>
            <w14:solidFill>
              <w14:schemeClr w14:val="tx1"/>
            </w14:solidFill>
          </w14:textFill>
        </w:rPr>
        <w:t>个赛事给予最高不超过</w:t>
      </w:r>
      <w:r>
        <w:rPr>
          <w:rFonts w:ascii="仿宋_GB2312" w:hAnsi="仿宋" w:eastAsia="仿宋_GB2312" w:cs="仿宋"/>
          <w:color w:val="000000" w:themeColor="text1"/>
          <w:sz w:val="32"/>
          <w:szCs w:val="32"/>
          <w:highlight w:val="none"/>
          <w14:textFill>
            <w14:solidFill>
              <w14:schemeClr w14:val="tx1"/>
            </w14:solidFill>
          </w14:textFill>
        </w:rPr>
        <w:t>800</w:t>
      </w:r>
      <w:r>
        <w:rPr>
          <w:rFonts w:hint="eastAsia" w:ascii="仿宋_GB2312" w:hAnsi="仿宋" w:eastAsia="仿宋_GB2312" w:cs="仿宋"/>
          <w:color w:val="000000" w:themeColor="text1"/>
          <w:sz w:val="32"/>
          <w:szCs w:val="32"/>
          <w:highlight w:val="none"/>
          <w14:textFill>
            <w14:solidFill>
              <w14:schemeClr w14:val="tx1"/>
            </w14:solidFill>
          </w14:textFill>
        </w:rPr>
        <w:t>万元资助。</w:t>
      </w:r>
    </w:p>
    <w:p w14:paraId="41726386">
      <w:pPr>
        <w:adjustRightInd w:val="0"/>
        <w:snapToGrid w:val="0"/>
        <w:spacing w:line="560" w:lineRule="exact"/>
        <w:ind w:firstLine="640" w:firstLineChars="20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申报条件及说明：</w:t>
      </w:r>
    </w:p>
    <w:p w14:paraId="1A1BE39E">
      <w:pPr>
        <w:pStyle w:val="14"/>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1）</w:t>
      </w:r>
      <w:r>
        <w:rPr>
          <w:rFonts w:hint="eastAsia" w:ascii="仿宋_GB2312" w:hAnsi="仿宋" w:eastAsia="仿宋_GB2312" w:cs="仿宋"/>
          <w:color w:val="000000" w:themeColor="text1"/>
          <w:sz w:val="32"/>
          <w:szCs w:val="32"/>
          <w:highlight w:val="none"/>
          <w14:textFill>
            <w14:solidFill>
              <w14:schemeClr w14:val="tx1"/>
            </w14:solidFill>
          </w14:textFill>
        </w:rPr>
        <w:t>重大电竞赛事的标准</w:t>
      </w:r>
      <w:r>
        <w:rPr>
          <w:rFonts w:hint="eastAsia" w:ascii="仿宋_GB2312" w:hAnsi="仿宋" w:eastAsia="仿宋_GB2312" w:cs="Times New Roman"/>
          <w:color w:val="000000"/>
          <w:sz w:val="32"/>
          <w:szCs w:val="32"/>
          <w:highlight w:val="none"/>
        </w:rPr>
        <w:t>：由南山区政府主办的国际性/全国性/区域性/主题性的重大电竞赛事，最终解释权归南山区政府。</w:t>
      </w:r>
    </w:p>
    <w:p w14:paraId="078A3EF9">
      <w:pPr>
        <w:pStyle w:val="14"/>
        <w:tabs>
          <w:tab w:val="left" w:pos="0"/>
        </w:tabs>
        <w:spacing w:line="560" w:lineRule="exact"/>
        <w:ind w:firstLine="640"/>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2）</w:t>
      </w:r>
      <w:r>
        <w:rPr>
          <w:rFonts w:ascii="仿宋_GB2312" w:hAnsi="仿宋" w:eastAsia="仿宋_GB2312" w:cs="仿宋"/>
          <w:color w:val="000000" w:themeColor="text1"/>
          <w:sz w:val="32"/>
          <w:szCs w:val="32"/>
          <w:highlight w:val="none"/>
          <w14:textFill>
            <w14:solidFill>
              <w14:schemeClr w14:val="tx1"/>
            </w14:solidFill>
          </w14:textFill>
        </w:rPr>
        <w:t>每</w:t>
      </w:r>
      <w:r>
        <w:rPr>
          <w:rFonts w:hint="eastAsia" w:ascii="仿宋_GB2312" w:hAnsi="仿宋" w:eastAsia="仿宋_GB2312" w:cs="仿宋"/>
          <w:color w:val="000000" w:themeColor="text1"/>
          <w:sz w:val="32"/>
          <w:szCs w:val="32"/>
          <w:highlight w:val="none"/>
          <w14:textFill>
            <w14:solidFill>
              <w14:schemeClr w14:val="tx1"/>
            </w14:solidFill>
          </w14:textFill>
        </w:rPr>
        <w:t>个赛事给予最高不超过</w:t>
      </w:r>
      <w:r>
        <w:rPr>
          <w:rFonts w:ascii="仿宋_GB2312" w:hAnsi="仿宋" w:eastAsia="仿宋_GB2312" w:cs="仿宋"/>
          <w:color w:val="000000" w:themeColor="text1"/>
          <w:sz w:val="32"/>
          <w:szCs w:val="32"/>
          <w:highlight w:val="none"/>
          <w14:textFill>
            <w14:solidFill>
              <w14:schemeClr w14:val="tx1"/>
            </w14:solidFill>
          </w14:textFill>
        </w:rPr>
        <w:t>800</w:t>
      </w:r>
      <w:r>
        <w:rPr>
          <w:rFonts w:hint="eastAsia" w:ascii="仿宋_GB2312" w:hAnsi="仿宋" w:eastAsia="仿宋_GB2312" w:cs="仿宋"/>
          <w:color w:val="000000" w:themeColor="text1"/>
          <w:sz w:val="32"/>
          <w:szCs w:val="32"/>
          <w:highlight w:val="none"/>
          <w14:textFill>
            <w14:solidFill>
              <w14:schemeClr w14:val="tx1"/>
            </w14:solidFill>
          </w14:textFill>
        </w:rPr>
        <w:t>万元的事前资助</w:t>
      </w:r>
      <w:r>
        <w:rPr>
          <w:rFonts w:hint="eastAsia" w:ascii="仿宋_GB2312" w:hAnsi="仿宋" w:eastAsia="仿宋_GB2312" w:cs="Times New Roman"/>
          <w:color w:val="000000"/>
          <w:sz w:val="32"/>
          <w:szCs w:val="32"/>
          <w:highlight w:val="none"/>
        </w:rPr>
        <w:t>。</w:t>
      </w:r>
    </w:p>
    <w:p w14:paraId="11DD7AEA">
      <w:pPr>
        <w:pStyle w:val="14"/>
        <w:tabs>
          <w:tab w:val="left" w:pos="0"/>
        </w:tabs>
        <w:spacing w:line="560" w:lineRule="exact"/>
        <w:ind w:firstLine="640"/>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资助范围为本年度举办的重大电竞赛事。</w:t>
      </w:r>
    </w:p>
    <w:p w14:paraId="17AF7391">
      <w:pPr>
        <w:pStyle w:val="14"/>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4</w:t>
      </w:r>
      <w:r>
        <w:rPr>
          <w:rFonts w:hint="eastAsia" w:ascii="仿宋_GB2312" w:hAnsi="仿宋" w:eastAsia="仿宋_GB2312" w:cs="Times New Roman"/>
          <w:color w:val="000000"/>
          <w:sz w:val="32"/>
          <w:szCs w:val="32"/>
          <w:highlight w:val="none"/>
        </w:rPr>
        <w:t>）重大电竞赛事，需由南山区政府批准，由南山区文化广电旅游体育局组织，由</w:t>
      </w:r>
      <w:r>
        <w:rPr>
          <w:rFonts w:hint="eastAsia" w:ascii="仿宋_GB2312" w:hAnsi="仿宋" w:eastAsia="仿宋_GB2312" w:cs="仿宋"/>
          <w:color w:val="000000" w:themeColor="text1"/>
          <w:sz w:val="32"/>
          <w:szCs w:val="32"/>
          <w:highlight w:val="none"/>
          <w14:textFill>
            <w14:solidFill>
              <w14:schemeClr w14:val="tx1"/>
            </w14:solidFill>
          </w14:textFill>
        </w:rPr>
        <w:t>行业协会、专业机构、企业承办</w:t>
      </w:r>
      <w:r>
        <w:rPr>
          <w:rFonts w:hint="eastAsia" w:ascii="仿宋_GB2312" w:hAnsi="仿宋" w:eastAsia="仿宋_GB2312" w:cs="Times New Roman"/>
          <w:color w:val="000000"/>
          <w:sz w:val="32"/>
          <w:szCs w:val="32"/>
          <w:highlight w:val="none"/>
        </w:rPr>
        <w:t>。</w:t>
      </w:r>
    </w:p>
    <w:p w14:paraId="6D7A8CAC">
      <w:pPr>
        <w:widowControl/>
        <w:spacing w:line="560" w:lineRule="exact"/>
        <w:ind w:firstLine="643" w:firstLineChars="200"/>
        <w:rPr>
          <w:rFonts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b/>
          <w:bCs/>
          <w:color w:val="000000" w:themeColor="text1"/>
          <w:sz w:val="32"/>
          <w:szCs w:val="32"/>
          <w:highlight w:val="none"/>
          <w:lang w:val="en-US" w:eastAsia="zh-CN"/>
          <w14:textFill>
            <w14:solidFill>
              <w14:schemeClr w14:val="tx1"/>
            </w14:solidFill>
          </w14:textFill>
        </w:rPr>
        <w:t>2.</w:t>
      </w:r>
      <w:r>
        <w:rPr>
          <w:rFonts w:hint="eastAsia" w:ascii="仿宋_GB2312" w:hAnsi="仿宋" w:eastAsia="仿宋_GB2312" w:cs="仿宋"/>
          <w:b/>
          <w:bCs/>
          <w:color w:val="000000" w:themeColor="text1"/>
          <w:sz w:val="32"/>
          <w:szCs w:val="32"/>
          <w:highlight w:val="none"/>
          <w14:textFill>
            <w14:solidFill>
              <w14:schemeClr w14:val="tx1"/>
            </w14:solidFill>
          </w14:textFill>
        </w:rPr>
        <w:t>举办职业电竞赛事和特色电竞赛事。</w:t>
      </w:r>
      <w:r>
        <w:rPr>
          <w:rFonts w:hint="eastAsia" w:ascii="仿宋_GB2312" w:hAnsi="仿宋" w:eastAsia="仿宋_GB2312" w:cs="仿宋"/>
          <w:color w:val="000000" w:themeColor="text1"/>
          <w:sz w:val="32"/>
          <w:szCs w:val="32"/>
          <w:highlight w:val="none"/>
          <w14:textFill>
            <w14:solidFill>
              <w14:schemeClr w14:val="tx1"/>
            </w14:solidFill>
          </w14:textFill>
        </w:rPr>
        <w:t>支持行业协会、专业机构、企业举办国际性/全国性顶级职业电竞赛事，或高校类、区域类、联盟主场赛事等特色电竞赛事，每个赛事按照不超过实际发生费用</w:t>
      </w:r>
      <w:r>
        <w:rPr>
          <w:rFonts w:ascii="仿宋_GB2312" w:hAnsi="仿宋" w:eastAsia="仿宋_GB2312" w:cs="仿宋"/>
          <w:color w:val="000000" w:themeColor="text1"/>
          <w:sz w:val="32"/>
          <w:szCs w:val="32"/>
          <w:highlight w:val="none"/>
          <w14:textFill>
            <w14:solidFill>
              <w14:schemeClr w14:val="tx1"/>
            </w14:solidFill>
          </w14:textFill>
        </w:rPr>
        <w:t>50%的比例</w:t>
      </w:r>
      <w:r>
        <w:rPr>
          <w:rFonts w:hint="eastAsia" w:ascii="仿宋_GB2312" w:hAnsi="仿宋" w:eastAsia="仿宋_GB2312" w:cs="仿宋"/>
          <w:color w:val="000000" w:themeColor="text1"/>
          <w:sz w:val="32"/>
          <w:szCs w:val="32"/>
          <w:highlight w:val="none"/>
          <w14:textFill>
            <w14:solidFill>
              <w14:schemeClr w14:val="tx1"/>
            </w14:solidFill>
          </w14:textFill>
        </w:rPr>
        <w:t>，</w:t>
      </w:r>
      <w:r>
        <w:rPr>
          <w:rFonts w:ascii="仿宋_GB2312" w:hAnsi="仿宋" w:eastAsia="仿宋_GB2312" w:cs="仿宋"/>
          <w:color w:val="000000" w:themeColor="text1"/>
          <w:sz w:val="32"/>
          <w:szCs w:val="32"/>
          <w:highlight w:val="none"/>
          <w14:textFill>
            <w14:solidFill>
              <w14:schemeClr w14:val="tx1"/>
            </w14:solidFill>
          </w14:textFill>
        </w:rPr>
        <w:t>给予最高不超过500万元资助</w:t>
      </w:r>
      <w:r>
        <w:rPr>
          <w:rFonts w:hint="eastAsia" w:ascii="仿宋_GB2312" w:hAnsi="仿宋" w:eastAsia="仿宋_GB2312" w:cs="仿宋"/>
          <w:color w:val="000000" w:themeColor="text1"/>
          <w:sz w:val="32"/>
          <w:szCs w:val="32"/>
          <w:highlight w:val="none"/>
          <w14:textFill>
            <w14:solidFill>
              <w14:schemeClr w14:val="tx1"/>
            </w14:solidFill>
          </w14:textFill>
        </w:rPr>
        <w:t>，</w:t>
      </w:r>
      <w:r>
        <w:rPr>
          <w:rFonts w:ascii="仿宋_GB2312" w:hAnsi="仿宋" w:eastAsia="仿宋_GB2312" w:cs="仿宋"/>
          <w:color w:val="000000" w:themeColor="text1"/>
          <w:sz w:val="32"/>
          <w:szCs w:val="32"/>
          <w:highlight w:val="none"/>
          <w14:textFill>
            <w14:solidFill>
              <w14:schemeClr w14:val="tx1"/>
            </w14:solidFill>
          </w14:textFill>
        </w:rPr>
        <w:t>每家单位每年资助金额最高不超过</w:t>
      </w:r>
      <w:r>
        <w:rPr>
          <w:rFonts w:hint="eastAsia" w:ascii="仿宋_GB2312" w:hAnsi="仿宋" w:eastAsia="仿宋_GB2312" w:cs="仿宋"/>
          <w:color w:val="000000" w:themeColor="text1"/>
          <w:sz w:val="32"/>
          <w:szCs w:val="32"/>
          <w:highlight w:val="none"/>
          <w14:textFill>
            <w14:solidFill>
              <w14:schemeClr w14:val="tx1"/>
            </w14:solidFill>
          </w14:textFill>
        </w:rPr>
        <w:t>1000</w:t>
      </w:r>
      <w:r>
        <w:rPr>
          <w:rFonts w:ascii="仿宋_GB2312" w:hAnsi="仿宋" w:eastAsia="仿宋_GB2312" w:cs="仿宋"/>
          <w:color w:val="000000" w:themeColor="text1"/>
          <w:sz w:val="32"/>
          <w:szCs w:val="32"/>
          <w:highlight w:val="none"/>
          <w14:textFill>
            <w14:solidFill>
              <w14:schemeClr w14:val="tx1"/>
            </w14:solidFill>
          </w14:textFill>
        </w:rPr>
        <w:t>万元。</w:t>
      </w:r>
    </w:p>
    <w:p w14:paraId="44B461C6">
      <w:pPr>
        <w:pStyle w:val="14"/>
        <w:tabs>
          <w:tab w:val="left" w:pos="0"/>
        </w:tabs>
        <w:spacing w:line="560" w:lineRule="exact"/>
        <w:ind w:firstLine="64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申报条件及说明：</w:t>
      </w:r>
    </w:p>
    <w:p w14:paraId="738505E8">
      <w:pPr>
        <w:widowControl/>
        <w:ind w:firstLine="640" w:firstLineChars="200"/>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Times New Roman"/>
          <w:color w:val="000000"/>
          <w:sz w:val="32"/>
          <w:szCs w:val="32"/>
          <w:highlight w:val="none"/>
        </w:rPr>
        <w:t>1）</w:t>
      </w:r>
      <w:r>
        <w:rPr>
          <w:rFonts w:hint="eastAsia" w:ascii="仿宋_GB2312" w:hAnsi="仿宋" w:eastAsia="仿宋_GB2312" w:cs="仿宋"/>
          <w:color w:val="000000" w:themeColor="text1"/>
          <w:sz w:val="32"/>
          <w:szCs w:val="32"/>
          <w:highlight w:val="none"/>
          <w14:textFill>
            <w14:solidFill>
              <w14:schemeClr w14:val="tx1"/>
            </w14:solidFill>
          </w14:textFill>
        </w:rPr>
        <w:t>举办职业电竞赛事和特色电竞赛事</w:t>
      </w:r>
      <w:r>
        <w:rPr>
          <w:rFonts w:hint="eastAsia" w:ascii="仿宋_GB2312" w:hAnsi="仿宋" w:eastAsia="仿宋_GB2312" w:cs="Times New Roman"/>
          <w:color w:val="000000"/>
          <w:sz w:val="32"/>
          <w:szCs w:val="32"/>
          <w:highlight w:val="none"/>
        </w:rPr>
        <w:t>的</w:t>
      </w:r>
      <w:r>
        <w:rPr>
          <w:rFonts w:hint="eastAsia" w:ascii="仿宋_GB2312" w:hAnsi="仿宋" w:eastAsia="仿宋_GB2312" w:cs="Times New Roman"/>
          <w:color w:val="000000"/>
          <w:sz w:val="32"/>
          <w:szCs w:val="32"/>
          <w:highlight w:val="none"/>
          <w:lang w:val="en-US" w:eastAsia="zh-CN"/>
        </w:rPr>
        <w:t>资助</w:t>
      </w:r>
      <w:r>
        <w:rPr>
          <w:rFonts w:hint="eastAsia" w:ascii="仿宋_GB2312" w:hAnsi="仿宋" w:eastAsia="仿宋_GB2312" w:cs="Times New Roman"/>
          <w:color w:val="000000"/>
          <w:sz w:val="32"/>
          <w:szCs w:val="32"/>
          <w:highlight w:val="none"/>
        </w:rPr>
        <w:t>标准：</w:t>
      </w:r>
      <w:bookmarkStart w:id="0" w:name="_Hlk109896820"/>
      <w:r>
        <w:rPr>
          <w:rFonts w:hint="eastAsia" w:ascii="仿宋_GB2312" w:hAnsi="仿宋" w:eastAsia="仿宋_GB2312" w:cs="仿宋"/>
          <w:color w:val="000000" w:themeColor="text1"/>
          <w:sz w:val="32"/>
          <w:szCs w:val="32"/>
          <w:highlight w:val="none"/>
          <w14:textFill>
            <w14:solidFill>
              <w14:schemeClr w14:val="tx1"/>
            </w14:solidFill>
          </w14:textFill>
        </w:rPr>
        <w:t>举办国际性顶级职业赛事，给予每个赛事最高不超过500万元资助，每家单位每年资助总额不超过1000万元；举办全国性顶级职业赛事，给予每个赛事最高不超过300万元资助，每家单位每年资助总额不超过600万元；举办特色电竞赛事，给予每个赛事最高不超过100万元资助，每家单位每年资助总额不超过200万元</w:t>
      </w:r>
      <w:bookmarkEnd w:id="0"/>
      <w:r>
        <w:rPr>
          <w:rFonts w:hint="eastAsia" w:ascii="仿宋_GB2312" w:hAnsi="仿宋" w:eastAsia="仿宋_GB2312" w:cs="仿宋"/>
          <w:color w:val="000000" w:themeColor="text1"/>
          <w:sz w:val="32"/>
          <w:szCs w:val="32"/>
          <w:highlight w:val="none"/>
          <w14:textFill>
            <w14:solidFill>
              <w14:schemeClr w14:val="tx1"/>
            </w14:solidFill>
          </w14:textFill>
        </w:rPr>
        <w:t>。上述赛事，每个赛事按照不超过实际发生费用50%比例的给予资助</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w:t>
      </w:r>
      <w:r>
        <w:rPr>
          <w:rFonts w:hint="eastAsia" w:ascii="仿宋_GB2312" w:hAnsi="仿宋" w:eastAsia="仿宋_GB2312" w:cs="仿宋"/>
          <w:color w:val="000000" w:themeColor="text1"/>
          <w:sz w:val="32"/>
          <w:szCs w:val="32"/>
          <w:highlight w:val="none"/>
          <w14:textFill>
            <w14:solidFill>
              <w14:schemeClr w14:val="tx1"/>
            </w14:solidFill>
          </w14:textFill>
        </w:rPr>
        <w:t>每家单位每年资助金额最高不超过1000万元。</w:t>
      </w:r>
    </w:p>
    <w:p w14:paraId="56011375">
      <w:pPr>
        <w:pStyle w:val="14"/>
        <w:tabs>
          <w:tab w:val="left" w:pos="0"/>
        </w:tabs>
        <w:spacing w:line="560" w:lineRule="exact"/>
        <w:ind w:firstLine="640"/>
        <w:rPr>
          <w:rFonts w:hint="eastAsia" w:ascii="仿宋_GB2312" w:hAnsi="仿宋" w:eastAsia="仿宋_GB2312" w:cs="Times New Roman"/>
          <w:color w:val="000000"/>
          <w:kern w:val="2"/>
          <w:sz w:val="32"/>
          <w:szCs w:val="32"/>
          <w:highlight w:val="none"/>
          <w:lang w:val="en-US" w:eastAsia="zh-CN" w:bidi="ar-SA"/>
        </w:rPr>
      </w:pPr>
      <w:r>
        <w:rPr>
          <w:rFonts w:hint="eastAsia" w:ascii="仿宋_GB2312" w:hAnsi="仿宋" w:eastAsia="仿宋_GB2312" w:cs="Times New Roman"/>
          <w:color w:val="000000"/>
          <w:kern w:val="2"/>
          <w:sz w:val="32"/>
          <w:szCs w:val="32"/>
          <w:highlight w:val="none"/>
          <w:lang w:val="en-US" w:eastAsia="zh-CN" w:bidi="ar-SA"/>
        </w:rPr>
        <w:t>2）职业电竞赛事的标准：获得游戏版权官方授权，国际性赛事的总奖金不低于100万美元或600万元人民币，全国性赛事的总奖金不低于300万元人民币。</w:t>
      </w:r>
    </w:p>
    <w:p w14:paraId="73706772">
      <w:pPr>
        <w:pStyle w:val="14"/>
        <w:tabs>
          <w:tab w:val="left" w:pos="0"/>
        </w:tabs>
        <w:spacing w:line="560" w:lineRule="exact"/>
        <w:ind w:firstLine="640"/>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rPr>
        <w:t>）特色电竞赛事</w:t>
      </w:r>
      <w:r>
        <w:rPr>
          <w:rFonts w:hint="eastAsia" w:ascii="仿宋_GB2312" w:hAnsi="仿宋" w:eastAsia="仿宋_GB2312" w:cs="Times New Roman"/>
          <w:color w:val="000000"/>
          <w:sz w:val="32"/>
          <w:szCs w:val="32"/>
          <w:highlight w:val="none"/>
          <w:lang w:val="en-US" w:eastAsia="zh-CN"/>
        </w:rPr>
        <w:t>分以下类别</w:t>
      </w:r>
      <w:r>
        <w:rPr>
          <w:rFonts w:hint="eastAsia" w:ascii="仿宋_GB2312" w:hAnsi="仿宋" w:eastAsia="仿宋_GB2312" w:cs="Times New Roman"/>
          <w:color w:val="000000"/>
          <w:sz w:val="32"/>
          <w:szCs w:val="32"/>
          <w:highlight w:val="none"/>
        </w:rPr>
        <w:t>：</w:t>
      </w:r>
    </w:p>
    <w:p w14:paraId="44D1FA64">
      <w:pPr>
        <w:pStyle w:val="14"/>
        <w:tabs>
          <w:tab w:val="left" w:pos="0"/>
        </w:tabs>
        <w:spacing w:line="560" w:lineRule="exact"/>
        <w:ind w:firstLine="640"/>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1</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高校电竞赛，要求有</w:t>
      </w:r>
      <w:r>
        <w:rPr>
          <w:rFonts w:hint="eastAsia" w:ascii="仿宋_GB2312" w:hAnsi="仿宋" w:eastAsia="仿宋_GB2312" w:cs="Times New Roman"/>
          <w:color w:val="000000"/>
          <w:sz w:val="32"/>
          <w:szCs w:val="32"/>
          <w:highlight w:val="none"/>
          <w:lang w:val="en-US" w:eastAsia="zh-CN"/>
        </w:rPr>
        <w:t>10所以</w:t>
      </w:r>
      <w:r>
        <w:rPr>
          <w:rFonts w:hint="eastAsia" w:ascii="仿宋_GB2312" w:hAnsi="仿宋" w:eastAsia="仿宋_GB2312" w:cs="Times New Roman"/>
          <w:color w:val="000000"/>
          <w:sz w:val="32"/>
          <w:szCs w:val="32"/>
          <w:highlight w:val="none"/>
        </w:rPr>
        <w:t>上高校</w:t>
      </w:r>
      <w:r>
        <w:rPr>
          <w:rFonts w:hint="eastAsia" w:ascii="仿宋_GB2312" w:hAnsi="仿宋" w:eastAsia="仿宋_GB2312" w:cs="Times New Roman"/>
          <w:color w:val="000000"/>
          <w:sz w:val="32"/>
          <w:szCs w:val="32"/>
          <w:highlight w:val="none"/>
          <w:lang w:val="en-US" w:eastAsia="zh-CN"/>
        </w:rPr>
        <w:t>参与</w:t>
      </w:r>
      <w:r>
        <w:rPr>
          <w:rFonts w:hint="eastAsia" w:ascii="仿宋_GB2312" w:hAnsi="仿宋" w:eastAsia="仿宋_GB2312" w:cs="Times New Roman"/>
          <w:color w:val="000000"/>
          <w:sz w:val="32"/>
          <w:szCs w:val="32"/>
          <w:highlight w:val="none"/>
        </w:rPr>
        <w:t>、</w:t>
      </w:r>
      <w:r>
        <w:rPr>
          <w:rFonts w:hint="eastAsia" w:ascii="仿宋_GB2312" w:hAnsi="仿宋" w:eastAsia="仿宋_GB2312" w:cs="Times New Roman"/>
          <w:color w:val="000000"/>
          <w:sz w:val="32"/>
          <w:szCs w:val="32"/>
          <w:highlight w:val="none"/>
          <w:lang w:val="en-US" w:eastAsia="zh-CN"/>
        </w:rPr>
        <w:t>2000名以上选手</w:t>
      </w:r>
      <w:r>
        <w:rPr>
          <w:rFonts w:hint="eastAsia" w:ascii="仿宋_GB2312" w:hAnsi="仿宋" w:eastAsia="仿宋_GB2312" w:cs="Times New Roman"/>
          <w:color w:val="000000"/>
          <w:sz w:val="32"/>
          <w:szCs w:val="32"/>
          <w:highlight w:val="none"/>
        </w:rPr>
        <w:t>参加比赛；</w:t>
      </w:r>
    </w:p>
    <w:p w14:paraId="78F8C5CE">
      <w:pPr>
        <w:pStyle w:val="14"/>
        <w:tabs>
          <w:tab w:val="left" w:pos="0"/>
        </w:tabs>
        <w:spacing w:line="560" w:lineRule="exact"/>
        <w:ind w:firstLine="640"/>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区域类电竞赛，要求须含深圳在内的不少于10个地市级以上城市代表队、总选手人数不少于1000人参加比赛，或须含香港、澳门和深圳在内的地级市不少于5个以上城市代表队、总选手人数不少于500人参加的粤港澳大湾区电竞赛事；</w:t>
      </w:r>
    </w:p>
    <w:p w14:paraId="4E13EE36">
      <w:pPr>
        <w:pStyle w:val="14"/>
        <w:tabs>
          <w:tab w:val="left" w:pos="0"/>
        </w:tabs>
        <w:spacing w:line="560" w:lineRule="exact"/>
        <w:ind w:firstLine="640"/>
        <w:rPr>
          <w:rFonts w:hint="eastAsia" w:ascii="仿宋_GB2312" w:hAnsi="仿宋" w:eastAsia="仿宋_GB2312" w:cs="Times New Roman"/>
          <w:color w:val="000000"/>
          <w:sz w:val="32"/>
          <w:szCs w:val="32"/>
          <w:highlight w:val="none"/>
          <w:lang w:eastAsia="zh-CN"/>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经备案的</w:t>
      </w:r>
      <w:r>
        <w:rPr>
          <w:rFonts w:hint="eastAsia" w:ascii="仿宋_GB2312" w:hAnsi="仿宋" w:eastAsia="仿宋_GB2312" w:cs="Times New Roman"/>
          <w:color w:val="000000"/>
          <w:sz w:val="32"/>
          <w:szCs w:val="32"/>
          <w:highlight w:val="none"/>
        </w:rPr>
        <w:t>主场落户南山区的电竞俱乐部，在南山区举办的联盟主场赛事</w:t>
      </w:r>
      <w:r>
        <w:rPr>
          <w:rFonts w:hint="eastAsia" w:ascii="仿宋_GB2312" w:hAnsi="仿宋" w:eastAsia="仿宋_GB2312" w:cs="Times New Roman"/>
          <w:color w:val="000000"/>
          <w:sz w:val="32"/>
          <w:szCs w:val="32"/>
          <w:highlight w:val="none"/>
          <w:lang w:eastAsia="zh-CN"/>
        </w:rPr>
        <w:t>；</w:t>
      </w:r>
    </w:p>
    <w:p w14:paraId="1B4762FB">
      <w:pPr>
        <w:pStyle w:val="14"/>
        <w:tabs>
          <w:tab w:val="left" w:pos="0"/>
        </w:tabs>
        <w:spacing w:line="560" w:lineRule="exact"/>
        <w:ind w:firstLine="640"/>
        <w:rPr>
          <w:rFonts w:hint="eastAsia" w:ascii="仿宋_GB2312" w:hAnsi="仿宋" w:eastAsia="仿宋_GB2312" w:cs="Times New Roman"/>
          <w:color w:val="000000"/>
          <w:sz w:val="32"/>
          <w:szCs w:val="32"/>
          <w:highlight w:val="none"/>
          <w:lang w:val="en-US" w:eastAsia="zh-CN"/>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4</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机器人格斗、虚拟无人机等电子体育赛事，要求总选手人数不少于200人；</w:t>
      </w:r>
    </w:p>
    <w:p w14:paraId="181FF93C">
      <w:pPr>
        <w:pStyle w:val="14"/>
        <w:tabs>
          <w:tab w:val="left" w:pos="0"/>
        </w:tabs>
        <w:spacing w:line="560" w:lineRule="exact"/>
        <w:ind w:firstLine="640"/>
        <w:rPr>
          <w:rFonts w:hint="default" w:ascii="仿宋_GB2312" w:hAnsi="仿宋" w:eastAsia="仿宋_GB2312" w:cs="Times New Roman"/>
          <w:color w:val="000000"/>
          <w:sz w:val="32"/>
          <w:szCs w:val="32"/>
          <w:highlight w:val="none"/>
          <w:lang w:val="en-US" w:eastAsia="zh-CN"/>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5</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符合南山区电竞产业发展需求和发展方向其他特色电竞赛事。</w:t>
      </w:r>
    </w:p>
    <w:p w14:paraId="348D33CD">
      <w:pPr>
        <w:pStyle w:val="14"/>
        <w:tabs>
          <w:tab w:val="left" w:pos="0"/>
        </w:tabs>
        <w:spacing w:line="560" w:lineRule="exact"/>
        <w:ind w:firstLine="640"/>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4）实际发生费用包括场地费、搭建费、直转播费、设备租赁费、网络费、宣传推广费、安保费、其他临时人员劳务费等费用，不包括电竞赛事奖金。场地费用限定在南山区。</w:t>
      </w:r>
    </w:p>
    <w:p w14:paraId="2AE6D039">
      <w:pPr>
        <w:pStyle w:val="14"/>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5</w:t>
      </w:r>
      <w:r>
        <w:rPr>
          <w:rFonts w:hint="eastAsia" w:ascii="仿宋_GB2312" w:hAnsi="仿宋" w:eastAsia="仿宋_GB2312" w:cs="Times New Roman"/>
          <w:color w:val="000000"/>
          <w:sz w:val="32"/>
          <w:szCs w:val="32"/>
          <w:highlight w:val="none"/>
        </w:rPr>
        <w:t>）</w:t>
      </w:r>
      <w:r>
        <w:rPr>
          <w:rFonts w:hint="eastAsia" w:ascii="仿宋_GB2312" w:hAnsi="仿宋" w:eastAsia="仿宋_GB2312" w:cs="Times New Roman"/>
          <w:color w:val="000000"/>
          <w:sz w:val="32"/>
          <w:szCs w:val="32"/>
          <w:highlight w:val="none"/>
          <w:lang w:val="en-US" w:eastAsia="zh-CN"/>
        </w:rPr>
        <w:t>资助范围为上年度举办的电竞赛事。</w:t>
      </w:r>
    </w:p>
    <w:p w14:paraId="2FD6CC2F">
      <w:pPr>
        <w:pStyle w:val="14"/>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6</w:t>
      </w:r>
      <w:r>
        <w:rPr>
          <w:rFonts w:hint="eastAsia" w:ascii="仿宋_GB2312" w:hAnsi="仿宋" w:eastAsia="仿宋_GB2312" w:cs="Times New Roman"/>
          <w:color w:val="000000"/>
          <w:sz w:val="32"/>
          <w:szCs w:val="32"/>
          <w:highlight w:val="none"/>
        </w:rPr>
        <w:t>）职业电竞赛事和特色电竞赛事，需先报南山区文化广电旅游体育局备案。</w:t>
      </w:r>
    </w:p>
    <w:p w14:paraId="38B83F56">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253F03C3">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5D6ABE8A">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default"/>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0434142C">
      <w:pPr>
        <w:pageBreakBefore w:val="0"/>
        <w:kinsoku/>
        <w:wordWrap/>
        <w:overflowPunct/>
        <w:topLinePunct w:val="0"/>
        <w:autoSpaceDE/>
        <w:autoSpaceDN/>
        <w:bidi w:val="0"/>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0799C72C">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3FCCBCA3">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3C1D138D">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3CBAF884">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59BC1FDA">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631367F5">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398F53D2">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21B27D9D">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04CF02F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56015556">
      <w:pPr>
        <w:numPr>
          <w:ilvl w:val="0"/>
          <w:numId w:val="0"/>
        </w:numPr>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支持</w:t>
      </w:r>
      <w:r>
        <w:rPr>
          <w:rFonts w:hint="eastAsia" w:ascii="仿宋_GB2312" w:hAnsi="宋体" w:eastAsia="仿宋_GB2312" w:cs="宋体"/>
          <w:spacing w:val="4"/>
          <w:kern w:val="0"/>
          <w:sz w:val="32"/>
          <w:szCs w:val="32"/>
          <w:lang w:val="en-US" w:eastAsia="zh-CN"/>
        </w:rPr>
        <w:t>举办电竞赛事</w:t>
      </w:r>
      <w:r>
        <w:rPr>
          <w:rFonts w:hint="eastAsia" w:ascii="仿宋_GB2312" w:hAnsi="宋体" w:eastAsia="仿宋_GB2312" w:cs="宋体"/>
          <w:spacing w:val="4"/>
          <w:kern w:val="0"/>
          <w:sz w:val="32"/>
          <w:szCs w:val="32"/>
          <w:lang w:eastAsia="zh-CN"/>
        </w:rPr>
        <w:t>项目</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eastAsia="zh-CN"/>
        </w:rPr>
        <w:t>申请书</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p w14:paraId="2A435591">
      <w:pPr>
        <w:numPr>
          <w:ilvl w:val="0"/>
          <w:numId w:val="0"/>
        </w:numPr>
        <w:rPr>
          <w:rFonts w:hint="eastAsia" w:ascii="仿宋_GB2312" w:hAnsi="宋体" w:eastAsia="仿宋_GB2312" w:cs="宋体"/>
          <w:spacing w:val="4"/>
          <w:kern w:val="0"/>
          <w:sz w:val="32"/>
          <w:szCs w:val="32"/>
          <w:lang w:val="en-US" w:eastAsia="zh-CN"/>
        </w:rPr>
      </w:pPr>
    </w:p>
    <w:p w14:paraId="66DC64A0">
      <w:pPr>
        <w:numPr>
          <w:ilvl w:val="0"/>
          <w:numId w:val="0"/>
        </w:numPr>
        <w:rPr>
          <w:rFonts w:hint="eastAsia" w:ascii="仿宋_GB2312" w:hAnsi="宋体" w:eastAsia="仿宋_GB2312" w:cs="宋体"/>
          <w:spacing w:val="4"/>
          <w:kern w:val="0"/>
          <w:sz w:val="32"/>
          <w:szCs w:val="32"/>
          <w:lang w:val="en-US" w:eastAsia="zh-CN"/>
        </w:rPr>
      </w:pPr>
    </w:p>
    <w:p w14:paraId="4EC43A63">
      <w:pPr>
        <w:keepNext w:val="0"/>
        <w:keepLines w:val="0"/>
        <w:pageBreakBefore w:val="0"/>
        <w:widowControl w:val="0"/>
        <w:numPr>
          <w:ilvl w:val="0"/>
          <w:numId w:val="0"/>
        </w:numPr>
        <w:kinsoku/>
        <w:wordWrap/>
        <w:overflowPunct/>
        <w:topLinePunct w:val="0"/>
        <w:autoSpaceDE/>
        <w:autoSpaceDN/>
        <w:bidi w:val="0"/>
        <w:adjustRightInd/>
        <w:snapToGrid/>
        <w:ind w:firstLine="656" w:firstLineChars="200"/>
        <w:textAlignment w:val="auto"/>
        <w:rPr>
          <w:rFonts w:hint="eastAsia"/>
          <w:b/>
          <w:color w:val="auto"/>
          <w:sz w:val="28"/>
          <w:u w:val="none"/>
        </w:rPr>
      </w:pP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①申请类别为</w:t>
      </w:r>
      <w:r>
        <w:rPr>
          <w:rFonts w:hint="eastAsia" w:ascii="仿宋_GB2312" w:hAnsi="仿宋" w:eastAsia="仿宋_GB2312" w:cs="仿宋"/>
          <w:color w:val="000000" w:themeColor="text1"/>
          <w:sz w:val="32"/>
          <w:szCs w:val="32"/>
          <w:highlight w:val="none"/>
          <w14:textFill>
            <w14:solidFill>
              <w14:schemeClr w14:val="tx1"/>
            </w14:solidFill>
          </w14:textFill>
        </w:rPr>
        <w:t>承办政府主办的重大电竞</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赛事</w:t>
      </w:r>
      <w:r>
        <w:rPr>
          <w:rFonts w:hint="eastAsia" w:ascii="仿宋_GB2312" w:hAnsi="仿宋" w:eastAsia="仿宋_GB2312" w:cs="仿宋"/>
          <w:bCs/>
          <w:color w:val="000000" w:themeColor="text1"/>
          <w:sz w:val="32"/>
          <w:szCs w:val="32"/>
          <w:highlight w:val="none"/>
          <w14:textFill>
            <w14:solidFill>
              <w14:schemeClr w14:val="tx1"/>
            </w14:solidFill>
          </w14:textFill>
        </w:rPr>
        <w:t>，需</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提供以下资料：</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4590"/>
        <w:gridCol w:w="1185"/>
        <w:gridCol w:w="1674"/>
      </w:tblGrid>
      <w:tr w14:paraId="5D5E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916BC10">
            <w:pPr>
              <w:jc w:val="center"/>
              <w:rPr>
                <w:rFonts w:ascii="楷体" w:hAnsi="楷体" w:eastAsia="楷体"/>
                <w:b/>
                <w:bCs/>
                <w:sz w:val="24"/>
              </w:rPr>
            </w:pPr>
            <w:r>
              <w:rPr>
                <w:rFonts w:hint="eastAsia" w:ascii="楷体" w:hAnsi="楷体" w:eastAsia="楷体"/>
                <w:b/>
                <w:bCs/>
                <w:sz w:val="24"/>
              </w:rPr>
              <w:t>序号</w:t>
            </w:r>
          </w:p>
        </w:tc>
        <w:tc>
          <w:tcPr>
            <w:tcW w:w="4590" w:type="dxa"/>
            <w:vAlign w:val="center"/>
          </w:tcPr>
          <w:p w14:paraId="28DB5D3A">
            <w:pPr>
              <w:jc w:val="center"/>
              <w:rPr>
                <w:rFonts w:ascii="楷体" w:hAnsi="楷体" w:eastAsia="楷体"/>
                <w:b/>
                <w:bCs/>
                <w:sz w:val="24"/>
              </w:rPr>
            </w:pPr>
            <w:r>
              <w:rPr>
                <w:rFonts w:hint="eastAsia" w:ascii="楷体" w:hAnsi="楷体" w:eastAsia="楷体"/>
                <w:b/>
                <w:bCs/>
                <w:sz w:val="24"/>
              </w:rPr>
              <w:t>附件名称</w:t>
            </w:r>
          </w:p>
        </w:tc>
        <w:tc>
          <w:tcPr>
            <w:tcW w:w="1185" w:type="dxa"/>
            <w:vAlign w:val="center"/>
          </w:tcPr>
          <w:p w14:paraId="13483ADF">
            <w:pPr>
              <w:jc w:val="center"/>
              <w:rPr>
                <w:rFonts w:ascii="楷体" w:hAnsi="楷体" w:eastAsia="楷体"/>
                <w:b/>
                <w:bCs/>
                <w:sz w:val="24"/>
              </w:rPr>
            </w:pPr>
            <w:r>
              <w:rPr>
                <w:rFonts w:hint="eastAsia" w:ascii="楷体" w:hAnsi="楷体" w:eastAsia="楷体"/>
                <w:b/>
                <w:bCs/>
                <w:sz w:val="24"/>
              </w:rPr>
              <w:t>是否必备材料</w:t>
            </w:r>
          </w:p>
        </w:tc>
        <w:tc>
          <w:tcPr>
            <w:tcW w:w="1674" w:type="dxa"/>
            <w:vAlign w:val="center"/>
          </w:tcPr>
          <w:p w14:paraId="160AB3C7">
            <w:pPr>
              <w:jc w:val="center"/>
              <w:rPr>
                <w:rFonts w:hint="eastAsia" w:ascii="楷体" w:hAnsi="楷体" w:eastAsia="楷体"/>
                <w:b/>
                <w:bCs/>
                <w:sz w:val="24"/>
              </w:rPr>
            </w:pPr>
            <w:r>
              <w:rPr>
                <w:rFonts w:hint="eastAsia" w:ascii="楷体" w:hAnsi="楷体" w:eastAsia="楷体"/>
                <w:b/>
                <w:bCs/>
                <w:sz w:val="24"/>
              </w:rPr>
              <w:t>网上提交资料要求</w:t>
            </w:r>
          </w:p>
        </w:tc>
      </w:tr>
      <w:tr w14:paraId="7C38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25F4D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590" w:type="dxa"/>
            <w:vAlign w:val="center"/>
          </w:tcPr>
          <w:p w14:paraId="623F7F1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《南山区促进产业高质量发展专项资金—区文化广电旅游体育局分项资金-</w:t>
            </w:r>
            <w:r>
              <w:rPr>
                <w:rFonts w:hint="eastAsia" w:ascii="宋体" w:hAnsi="宋体" w:cs="宋体"/>
                <w:color w:val="auto"/>
                <w:sz w:val="21"/>
                <w:szCs w:val="21"/>
                <w:highlight w:val="none"/>
                <w:lang w:val="en-US" w:eastAsia="zh-CN"/>
              </w:rPr>
              <w:t>支持举办电竞赛事</w:t>
            </w:r>
            <w:r>
              <w:rPr>
                <w:rFonts w:hint="eastAsia" w:ascii="宋体" w:hAnsi="宋体" w:eastAsia="宋体" w:cs="宋体"/>
                <w:color w:val="auto"/>
                <w:sz w:val="21"/>
                <w:szCs w:val="21"/>
                <w:highlight w:val="none"/>
              </w:rPr>
              <w:t>申请书》</w:t>
            </w:r>
          </w:p>
        </w:tc>
        <w:tc>
          <w:tcPr>
            <w:tcW w:w="1185" w:type="dxa"/>
            <w:vAlign w:val="center"/>
          </w:tcPr>
          <w:p w14:paraId="1569961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0EEBD38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法定代表人签字并加盖单位公章后，原件彩色扫描成PDF文件上传</w:t>
            </w:r>
          </w:p>
        </w:tc>
      </w:tr>
      <w:tr w14:paraId="444D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10BD333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590" w:type="dxa"/>
            <w:vAlign w:val="center"/>
          </w:tcPr>
          <w:p w14:paraId="079875E8">
            <w:pPr>
              <w:jc w:val="left"/>
              <w:rPr>
                <w:rFonts w:hint="eastAsia" w:ascii="宋体" w:hAnsi="宋体" w:eastAsia="宋体" w:cs="宋体"/>
                <w:color w:val="auto"/>
                <w:sz w:val="21"/>
                <w:szCs w:val="21"/>
                <w:highlight w:val="none"/>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1185" w:type="dxa"/>
            <w:vAlign w:val="center"/>
          </w:tcPr>
          <w:p w14:paraId="4685AE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54D8FC9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2008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17AE18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590" w:type="dxa"/>
            <w:vAlign w:val="center"/>
          </w:tcPr>
          <w:p w14:paraId="3A7FADE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w:t>
            </w:r>
          </w:p>
        </w:tc>
        <w:tc>
          <w:tcPr>
            <w:tcW w:w="1185" w:type="dxa"/>
            <w:vAlign w:val="center"/>
          </w:tcPr>
          <w:p w14:paraId="43D342B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23BC72F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35BC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A2174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590" w:type="dxa"/>
            <w:vAlign w:val="center"/>
          </w:tcPr>
          <w:p w14:paraId="7060E4A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val="en-US" w:eastAsia="zh-CN"/>
              </w:rPr>
              <w:t>完</w:t>
            </w:r>
            <w:r>
              <w:rPr>
                <w:rFonts w:hint="eastAsia" w:ascii="宋体" w:hAnsi="宋体" w:eastAsia="宋体" w:cs="宋体"/>
                <w:color w:val="auto"/>
                <w:sz w:val="21"/>
                <w:szCs w:val="21"/>
                <w:highlight w:val="none"/>
              </w:rPr>
              <w:t>税证明，事业单位除外</w:t>
            </w:r>
          </w:p>
        </w:tc>
        <w:tc>
          <w:tcPr>
            <w:tcW w:w="1185" w:type="dxa"/>
            <w:vAlign w:val="center"/>
          </w:tcPr>
          <w:p w14:paraId="718425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302480C3">
            <w:pPr>
              <w:jc w:val="left"/>
              <w:rPr>
                <w:rFonts w:hint="default" w:ascii="宋体" w:hAnsi="宋体" w:eastAsia="宋体" w:cs="宋体"/>
                <w:color w:val="auto"/>
                <w:sz w:val="21"/>
                <w:szCs w:val="21"/>
                <w:highlight w:val="none"/>
                <w:lang w:val="en"/>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058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D9CBE0B">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5</w:t>
            </w:r>
          </w:p>
        </w:tc>
        <w:tc>
          <w:tcPr>
            <w:tcW w:w="4590" w:type="dxa"/>
            <w:vAlign w:val="center"/>
          </w:tcPr>
          <w:p w14:paraId="4174B43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南山区委托行业协会/专业机构/企业承办重大电竞赛事的证明材料，包括中标通知书等</w:t>
            </w:r>
          </w:p>
        </w:tc>
        <w:tc>
          <w:tcPr>
            <w:tcW w:w="1185" w:type="dxa"/>
            <w:vAlign w:val="center"/>
          </w:tcPr>
          <w:p w14:paraId="692DB477">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restart"/>
            <w:vAlign w:val="center"/>
          </w:tcPr>
          <w:p w14:paraId="698C0CE5">
            <w:pPr>
              <w:jc w:val="center"/>
              <w:rPr>
                <w:rFonts w:hint="eastAsia"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2D1B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132F994">
            <w:pPr>
              <w:jc w:val="cente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2</w:t>
            </w:r>
          </w:p>
        </w:tc>
        <w:tc>
          <w:tcPr>
            <w:tcW w:w="4590" w:type="dxa"/>
            <w:vAlign w:val="center"/>
          </w:tcPr>
          <w:p w14:paraId="205C958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1185" w:type="dxa"/>
            <w:vAlign w:val="center"/>
          </w:tcPr>
          <w:p w14:paraId="02CFD9BE">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5864DB7C">
            <w:pPr>
              <w:jc w:val="center"/>
              <w:rPr>
                <w:rFonts w:hint="eastAsia" w:ascii="楷体" w:hAnsi="楷体" w:eastAsia="楷体"/>
                <w:sz w:val="24"/>
              </w:rPr>
            </w:pPr>
          </w:p>
        </w:tc>
      </w:tr>
    </w:tbl>
    <w:p w14:paraId="39F41F36">
      <w:pPr>
        <w:numPr>
          <w:ilvl w:val="0"/>
          <w:numId w:val="0"/>
        </w:numP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pPr>
    </w:p>
    <w:p w14:paraId="177E7F0D">
      <w:pPr>
        <w:keepNext w:val="0"/>
        <w:keepLines w:val="0"/>
        <w:pageBreakBefore w:val="0"/>
        <w:widowControl w:val="0"/>
        <w:numPr>
          <w:ilvl w:val="0"/>
          <w:numId w:val="0"/>
        </w:numPr>
        <w:kinsoku/>
        <w:wordWrap/>
        <w:overflowPunct/>
        <w:topLinePunct w:val="0"/>
        <w:autoSpaceDE/>
        <w:autoSpaceDN/>
        <w:bidi w:val="0"/>
        <w:adjustRightInd/>
        <w:snapToGrid/>
        <w:ind w:firstLine="656" w:firstLineChars="200"/>
        <w:textAlignment w:val="auto"/>
        <w:rPr>
          <w:rFonts w:hint="eastAsia"/>
          <w:b/>
          <w:color w:val="auto"/>
          <w:sz w:val="28"/>
          <w:u w:val="none"/>
        </w:rPr>
      </w:pP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②申请类别为</w:t>
      </w:r>
      <w:r>
        <w:rPr>
          <w:rFonts w:hint="eastAsia" w:ascii="仿宋_GB2312" w:hAnsi="仿宋" w:eastAsia="仿宋_GB2312" w:cs="仿宋"/>
          <w:color w:val="000000" w:themeColor="text1"/>
          <w:sz w:val="32"/>
          <w:szCs w:val="32"/>
          <w:highlight w:val="none"/>
          <w14:textFill>
            <w14:solidFill>
              <w14:schemeClr w14:val="tx1"/>
            </w14:solidFill>
          </w14:textFill>
        </w:rPr>
        <w:t>承办政府主办的重大电竞</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赛事</w:t>
      </w:r>
      <w:r>
        <w:rPr>
          <w:rFonts w:hint="eastAsia" w:ascii="仿宋_GB2312" w:hAnsi="仿宋" w:eastAsia="仿宋_GB2312" w:cs="仿宋"/>
          <w:bCs/>
          <w:color w:val="000000" w:themeColor="text1"/>
          <w:sz w:val="32"/>
          <w:szCs w:val="32"/>
          <w:highlight w:val="none"/>
          <w14:textFill>
            <w14:solidFill>
              <w14:schemeClr w14:val="tx1"/>
            </w14:solidFill>
          </w14:textFill>
        </w:rPr>
        <w:t>，需</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提供以下资料：</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4590"/>
        <w:gridCol w:w="1185"/>
        <w:gridCol w:w="1674"/>
      </w:tblGrid>
      <w:tr w14:paraId="1742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DBB3D16">
            <w:pPr>
              <w:jc w:val="center"/>
              <w:rPr>
                <w:rFonts w:ascii="楷体" w:hAnsi="楷体" w:eastAsia="楷体"/>
                <w:b/>
                <w:bCs/>
                <w:sz w:val="24"/>
              </w:rPr>
            </w:pPr>
            <w:r>
              <w:rPr>
                <w:rFonts w:hint="eastAsia" w:ascii="楷体" w:hAnsi="楷体" w:eastAsia="楷体"/>
                <w:b/>
                <w:bCs/>
                <w:sz w:val="24"/>
              </w:rPr>
              <w:t>序号</w:t>
            </w:r>
          </w:p>
        </w:tc>
        <w:tc>
          <w:tcPr>
            <w:tcW w:w="4590" w:type="dxa"/>
            <w:vAlign w:val="center"/>
          </w:tcPr>
          <w:p w14:paraId="55D353D4">
            <w:pPr>
              <w:jc w:val="center"/>
              <w:rPr>
                <w:rFonts w:ascii="楷体" w:hAnsi="楷体" w:eastAsia="楷体"/>
                <w:b/>
                <w:bCs/>
                <w:sz w:val="24"/>
              </w:rPr>
            </w:pPr>
            <w:r>
              <w:rPr>
                <w:rFonts w:hint="eastAsia" w:ascii="楷体" w:hAnsi="楷体" w:eastAsia="楷体"/>
                <w:b/>
                <w:bCs/>
                <w:sz w:val="24"/>
              </w:rPr>
              <w:t>附件名称</w:t>
            </w:r>
          </w:p>
        </w:tc>
        <w:tc>
          <w:tcPr>
            <w:tcW w:w="1185" w:type="dxa"/>
            <w:vAlign w:val="center"/>
          </w:tcPr>
          <w:p w14:paraId="777F0316">
            <w:pPr>
              <w:jc w:val="center"/>
              <w:rPr>
                <w:rFonts w:ascii="楷体" w:hAnsi="楷体" w:eastAsia="楷体"/>
                <w:b/>
                <w:bCs/>
                <w:sz w:val="24"/>
              </w:rPr>
            </w:pPr>
            <w:r>
              <w:rPr>
                <w:rFonts w:hint="eastAsia" w:ascii="楷体" w:hAnsi="楷体" w:eastAsia="楷体"/>
                <w:b/>
                <w:bCs/>
                <w:sz w:val="24"/>
              </w:rPr>
              <w:t>是否必备材料</w:t>
            </w:r>
          </w:p>
        </w:tc>
        <w:tc>
          <w:tcPr>
            <w:tcW w:w="1674" w:type="dxa"/>
            <w:vAlign w:val="center"/>
          </w:tcPr>
          <w:p w14:paraId="2D673ECF">
            <w:pPr>
              <w:jc w:val="center"/>
              <w:rPr>
                <w:rFonts w:hint="eastAsia" w:ascii="楷体" w:hAnsi="楷体" w:eastAsia="楷体"/>
                <w:b/>
                <w:bCs/>
                <w:sz w:val="24"/>
              </w:rPr>
            </w:pPr>
            <w:r>
              <w:rPr>
                <w:rFonts w:hint="eastAsia" w:ascii="楷体" w:hAnsi="楷体" w:eastAsia="楷体"/>
                <w:b/>
                <w:bCs/>
                <w:sz w:val="24"/>
              </w:rPr>
              <w:t>网上提交资料要求</w:t>
            </w:r>
          </w:p>
        </w:tc>
      </w:tr>
      <w:tr w14:paraId="23E4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7542DE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590" w:type="dxa"/>
            <w:vAlign w:val="center"/>
          </w:tcPr>
          <w:p w14:paraId="6CCD8D4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《南山区促进产业高质量发展专项资金—区文化广电旅游体育局分项资金-</w:t>
            </w:r>
            <w:r>
              <w:rPr>
                <w:rFonts w:hint="eastAsia" w:ascii="宋体" w:hAnsi="宋体" w:cs="宋体"/>
                <w:color w:val="auto"/>
                <w:sz w:val="21"/>
                <w:szCs w:val="21"/>
                <w:highlight w:val="none"/>
                <w:lang w:val="en-US" w:eastAsia="zh-CN"/>
              </w:rPr>
              <w:t>支持举办电竞赛事</w:t>
            </w:r>
            <w:r>
              <w:rPr>
                <w:rFonts w:hint="eastAsia" w:ascii="宋体" w:hAnsi="宋体" w:eastAsia="宋体" w:cs="宋体"/>
                <w:color w:val="auto"/>
                <w:sz w:val="21"/>
                <w:szCs w:val="21"/>
                <w:highlight w:val="none"/>
              </w:rPr>
              <w:t>申请书》</w:t>
            </w:r>
          </w:p>
        </w:tc>
        <w:tc>
          <w:tcPr>
            <w:tcW w:w="1185" w:type="dxa"/>
            <w:vAlign w:val="center"/>
          </w:tcPr>
          <w:p w14:paraId="3E0802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0D2288F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法定代表人签字并加盖单位公章后，原件彩色扫描成PDF文件上传</w:t>
            </w:r>
          </w:p>
        </w:tc>
      </w:tr>
      <w:tr w14:paraId="6986D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1E1D44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590" w:type="dxa"/>
            <w:vAlign w:val="center"/>
          </w:tcPr>
          <w:p w14:paraId="7E8D3CC9">
            <w:pPr>
              <w:jc w:val="left"/>
              <w:rPr>
                <w:rFonts w:hint="eastAsia" w:ascii="宋体" w:hAnsi="宋体" w:eastAsia="宋体" w:cs="宋体"/>
                <w:color w:val="auto"/>
                <w:sz w:val="21"/>
                <w:szCs w:val="21"/>
                <w:highlight w:val="none"/>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1185" w:type="dxa"/>
            <w:vAlign w:val="center"/>
          </w:tcPr>
          <w:p w14:paraId="6F77A3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369A1AE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627E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7DB3DB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590" w:type="dxa"/>
            <w:vAlign w:val="center"/>
          </w:tcPr>
          <w:p w14:paraId="04C1C6A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w:t>
            </w:r>
          </w:p>
        </w:tc>
        <w:tc>
          <w:tcPr>
            <w:tcW w:w="1185" w:type="dxa"/>
            <w:vAlign w:val="center"/>
          </w:tcPr>
          <w:p w14:paraId="28EE8E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6C07394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24AD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F81E6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590" w:type="dxa"/>
            <w:vAlign w:val="center"/>
          </w:tcPr>
          <w:p w14:paraId="242E21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val="en-US" w:eastAsia="zh-CN"/>
              </w:rPr>
              <w:t>完</w:t>
            </w:r>
            <w:r>
              <w:rPr>
                <w:rFonts w:hint="eastAsia" w:ascii="宋体" w:hAnsi="宋体" w:eastAsia="宋体" w:cs="宋体"/>
                <w:color w:val="auto"/>
                <w:sz w:val="21"/>
                <w:szCs w:val="21"/>
                <w:highlight w:val="none"/>
              </w:rPr>
              <w:t>税证明，事业单位除外</w:t>
            </w:r>
          </w:p>
        </w:tc>
        <w:tc>
          <w:tcPr>
            <w:tcW w:w="1185" w:type="dxa"/>
            <w:vAlign w:val="center"/>
          </w:tcPr>
          <w:p w14:paraId="0869C3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5655E4A4">
            <w:pPr>
              <w:jc w:val="left"/>
              <w:rPr>
                <w:rFonts w:hint="default" w:ascii="宋体" w:hAnsi="宋体" w:eastAsia="宋体" w:cs="宋体"/>
                <w:color w:val="auto"/>
                <w:sz w:val="21"/>
                <w:szCs w:val="21"/>
                <w:highlight w:val="none"/>
                <w:lang w:val="en"/>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2CFE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08ADA1A">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5</w:t>
            </w:r>
          </w:p>
        </w:tc>
        <w:tc>
          <w:tcPr>
            <w:tcW w:w="4590" w:type="dxa"/>
            <w:vAlign w:val="center"/>
          </w:tcPr>
          <w:p w14:paraId="2EB9C24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获得游戏版权官方授权的授权书</w:t>
            </w:r>
          </w:p>
        </w:tc>
        <w:tc>
          <w:tcPr>
            <w:tcW w:w="1185" w:type="dxa"/>
            <w:vAlign w:val="center"/>
          </w:tcPr>
          <w:p w14:paraId="71FA9EF3">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restart"/>
            <w:vAlign w:val="center"/>
          </w:tcPr>
          <w:p w14:paraId="63A913FC">
            <w:pPr>
              <w:jc w:val="center"/>
              <w:rPr>
                <w:rFonts w:hint="eastAsia"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01FC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F2B82B3">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6</w:t>
            </w:r>
          </w:p>
        </w:tc>
        <w:tc>
          <w:tcPr>
            <w:tcW w:w="4590" w:type="dxa"/>
            <w:vAlign w:val="center"/>
          </w:tcPr>
          <w:p w14:paraId="45C2B20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实际发生费用相关合同及发票、付款凭证；</w:t>
            </w:r>
          </w:p>
        </w:tc>
        <w:tc>
          <w:tcPr>
            <w:tcW w:w="1185" w:type="dxa"/>
            <w:vAlign w:val="center"/>
          </w:tcPr>
          <w:p w14:paraId="42BB3557">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是</w:t>
            </w:r>
          </w:p>
        </w:tc>
        <w:tc>
          <w:tcPr>
            <w:tcW w:w="1674" w:type="dxa"/>
            <w:vMerge w:val="continue"/>
            <w:vAlign w:val="center"/>
          </w:tcPr>
          <w:p w14:paraId="7BEB29D4">
            <w:pPr>
              <w:jc w:val="center"/>
              <w:rPr>
                <w:rFonts w:hint="eastAsia" w:ascii="楷体" w:hAnsi="楷体" w:eastAsia="楷体"/>
                <w:sz w:val="24"/>
              </w:rPr>
            </w:pPr>
          </w:p>
        </w:tc>
      </w:tr>
      <w:tr w14:paraId="7140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C656852">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7</w:t>
            </w:r>
          </w:p>
        </w:tc>
        <w:tc>
          <w:tcPr>
            <w:tcW w:w="4590" w:type="dxa"/>
            <w:vAlign w:val="center"/>
          </w:tcPr>
          <w:p w14:paraId="62AB70E3">
            <w:pPr>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比赛举办场地照片</w:t>
            </w:r>
          </w:p>
        </w:tc>
        <w:tc>
          <w:tcPr>
            <w:tcW w:w="1185" w:type="dxa"/>
            <w:vAlign w:val="center"/>
          </w:tcPr>
          <w:p w14:paraId="3F43D89A">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continue"/>
            <w:vAlign w:val="center"/>
          </w:tcPr>
          <w:p w14:paraId="7B51E359">
            <w:pPr>
              <w:jc w:val="center"/>
              <w:rPr>
                <w:rFonts w:hint="eastAsia" w:ascii="楷体" w:hAnsi="楷体" w:eastAsia="楷体"/>
                <w:sz w:val="24"/>
              </w:rPr>
            </w:pPr>
          </w:p>
        </w:tc>
      </w:tr>
      <w:tr w14:paraId="6D43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3F88892">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8</w:t>
            </w:r>
          </w:p>
        </w:tc>
        <w:tc>
          <w:tcPr>
            <w:tcW w:w="4590" w:type="dxa"/>
            <w:vAlign w:val="center"/>
          </w:tcPr>
          <w:p w14:paraId="65336D9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在南山区文化广电旅游体育局备案的证明材料</w:t>
            </w:r>
          </w:p>
        </w:tc>
        <w:tc>
          <w:tcPr>
            <w:tcW w:w="1185" w:type="dxa"/>
            <w:vAlign w:val="center"/>
          </w:tcPr>
          <w:p w14:paraId="7913B898">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continue"/>
            <w:vAlign w:val="center"/>
          </w:tcPr>
          <w:p w14:paraId="68D88675">
            <w:pPr>
              <w:jc w:val="center"/>
              <w:rPr>
                <w:rFonts w:hint="eastAsia" w:ascii="楷体" w:hAnsi="楷体" w:eastAsia="楷体"/>
                <w:sz w:val="24"/>
              </w:rPr>
            </w:pPr>
          </w:p>
        </w:tc>
      </w:tr>
      <w:tr w14:paraId="5D82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C5BE8F4">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eastAsia="zh-CN"/>
              </w:rPr>
              <w:t>9</w:t>
            </w:r>
          </w:p>
        </w:tc>
        <w:tc>
          <w:tcPr>
            <w:tcW w:w="4590" w:type="dxa"/>
            <w:vAlign w:val="center"/>
          </w:tcPr>
          <w:p w14:paraId="67BF426B">
            <w:pPr>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比赛</w:t>
            </w:r>
            <w:r>
              <w:rPr>
                <w:rFonts w:hint="eastAsia" w:ascii="宋体" w:hAnsi="宋体" w:eastAsia="宋体" w:cs="宋体"/>
                <w:color w:val="auto"/>
                <w:sz w:val="21"/>
                <w:szCs w:val="21"/>
                <w:highlight w:val="none"/>
              </w:rPr>
              <w:t>总奖金</w:t>
            </w:r>
            <w:r>
              <w:rPr>
                <w:rFonts w:hint="eastAsia" w:ascii="宋体" w:hAnsi="宋体" w:cs="宋体"/>
                <w:color w:val="auto"/>
                <w:sz w:val="21"/>
                <w:szCs w:val="21"/>
                <w:highlight w:val="none"/>
                <w:lang w:val="en-US" w:eastAsia="zh-CN"/>
              </w:rPr>
              <w:t>证明材料</w:t>
            </w:r>
          </w:p>
        </w:tc>
        <w:tc>
          <w:tcPr>
            <w:tcW w:w="1185" w:type="dxa"/>
            <w:vAlign w:val="center"/>
          </w:tcPr>
          <w:p w14:paraId="5B6FE426">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0930F002">
            <w:pPr>
              <w:jc w:val="center"/>
              <w:rPr>
                <w:rFonts w:hint="eastAsia" w:ascii="楷体" w:hAnsi="楷体" w:eastAsia="楷体"/>
                <w:sz w:val="24"/>
              </w:rPr>
            </w:pPr>
          </w:p>
        </w:tc>
      </w:tr>
      <w:tr w14:paraId="239F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629D06A">
            <w:pPr>
              <w:jc w:val="cente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eastAsia="zh-CN"/>
              </w:rPr>
              <w:t>10</w:t>
            </w:r>
          </w:p>
        </w:tc>
        <w:tc>
          <w:tcPr>
            <w:tcW w:w="4590" w:type="dxa"/>
            <w:vAlign w:val="center"/>
          </w:tcPr>
          <w:p w14:paraId="33384311">
            <w:pPr>
              <w:jc w:val="lef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参赛选手人员名单</w:t>
            </w:r>
          </w:p>
        </w:tc>
        <w:tc>
          <w:tcPr>
            <w:tcW w:w="1185" w:type="dxa"/>
            <w:vAlign w:val="center"/>
          </w:tcPr>
          <w:p w14:paraId="26AF3F64">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42E45D20">
            <w:pPr>
              <w:jc w:val="center"/>
              <w:rPr>
                <w:rFonts w:hint="eastAsia" w:ascii="楷体" w:hAnsi="楷体" w:eastAsia="楷体"/>
                <w:sz w:val="24"/>
              </w:rPr>
            </w:pPr>
          </w:p>
        </w:tc>
      </w:tr>
      <w:tr w14:paraId="18CE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45FEB1D">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p>
        </w:tc>
        <w:tc>
          <w:tcPr>
            <w:tcW w:w="4590" w:type="dxa"/>
            <w:vAlign w:val="center"/>
          </w:tcPr>
          <w:p w14:paraId="1197273C">
            <w:pPr>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电竞俱乐部主场落户材料</w:t>
            </w:r>
          </w:p>
        </w:tc>
        <w:tc>
          <w:tcPr>
            <w:tcW w:w="1185" w:type="dxa"/>
            <w:vAlign w:val="center"/>
          </w:tcPr>
          <w:p w14:paraId="2335E319">
            <w:pPr>
              <w:jc w:val="center"/>
              <w:rPr>
                <w:rFonts w:hint="eastAsia" w:eastAsia="宋体"/>
                <w:color w:val="000000" w:themeColor="text1"/>
                <w:highlight w:val="none"/>
                <w:lang w:eastAsia="zh-CN"/>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72E8FBE2">
            <w:pPr>
              <w:jc w:val="center"/>
              <w:rPr>
                <w:rFonts w:hint="eastAsia" w:ascii="楷体" w:hAnsi="楷体" w:eastAsia="楷体"/>
                <w:sz w:val="24"/>
              </w:rPr>
            </w:pPr>
          </w:p>
        </w:tc>
      </w:tr>
      <w:tr w14:paraId="2FDD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14DC8DB">
            <w:pPr>
              <w:jc w:val="cente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2</w:t>
            </w:r>
          </w:p>
        </w:tc>
        <w:tc>
          <w:tcPr>
            <w:tcW w:w="4590" w:type="dxa"/>
            <w:vAlign w:val="center"/>
          </w:tcPr>
          <w:p w14:paraId="38613C1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1185" w:type="dxa"/>
            <w:vAlign w:val="center"/>
          </w:tcPr>
          <w:p w14:paraId="3584BF73">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57420F70">
            <w:pPr>
              <w:jc w:val="center"/>
              <w:rPr>
                <w:rFonts w:hint="eastAsia" w:ascii="楷体" w:hAnsi="楷体" w:eastAsia="楷体"/>
                <w:sz w:val="24"/>
              </w:rPr>
            </w:pPr>
          </w:p>
        </w:tc>
      </w:tr>
    </w:tbl>
    <w:p w14:paraId="589A233A">
      <w:pPr>
        <w:adjustRightInd w:val="0"/>
        <w:snapToGrid w:val="0"/>
        <w:spacing w:line="560" w:lineRule="exact"/>
        <w:ind w:firstLine="640" w:firstLineChars="200"/>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pPr>
    </w:p>
    <w:p w14:paraId="337E5725">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1175ED2">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13F0B55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651AF771">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0E551FA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100F20CC">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209516D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2266FC56">
      <w:pPr>
        <w:spacing w:after="0" w:line="560" w:lineRule="exact"/>
        <w:ind w:firstLine="640" w:firstLineChars="200"/>
        <w:contextualSpacing/>
        <w:rPr>
          <w:rFonts w:hint="eastAsia" w:ascii="仿宋_GB2312" w:hAnsi="宋体" w:eastAsia="仿宋_GB2312" w:cs="宋体"/>
          <w:spacing w:val="4"/>
          <w:kern w:val="0"/>
          <w:sz w:val="32"/>
          <w:szCs w:val="32"/>
          <w:lang w:val="en-US" w:eastAsia="zh-CN" w:bidi="ar-SA"/>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337ABD0E">
      <w:pPr>
        <w:pageBreakBefore w:val="0"/>
        <w:kinsoku/>
        <w:wordWrap/>
        <w:overflowPunct/>
        <w:topLinePunct w:val="0"/>
        <w:autoSpaceDE/>
        <w:autoSpaceDN/>
        <w:bidi w:val="0"/>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800002BF" w:usb1="184F6CF8" w:usb2="00000012" w:usb3="00000000" w:csb0="0002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ˎ̥">
    <w:altName w:val="宋体"/>
    <w:panose1 w:val="00000000000000000000"/>
    <w:charset w:val="00"/>
    <w:family w:val="roman"/>
    <w:pitch w:val="default"/>
    <w:sig w:usb0="00000000" w:usb1="00000000" w:usb2="00000000"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522414A"/>
    <w:rsid w:val="095C7285"/>
    <w:rsid w:val="104D08F5"/>
    <w:rsid w:val="168B0344"/>
    <w:rsid w:val="1B4076EF"/>
    <w:rsid w:val="1E395720"/>
    <w:rsid w:val="1E9B000F"/>
    <w:rsid w:val="22B036B3"/>
    <w:rsid w:val="2AAF4F1E"/>
    <w:rsid w:val="2C443913"/>
    <w:rsid w:val="305D51DA"/>
    <w:rsid w:val="32880B83"/>
    <w:rsid w:val="365F39E8"/>
    <w:rsid w:val="38446E2A"/>
    <w:rsid w:val="3AA4543E"/>
    <w:rsid w:val="3BFEECA1"/>
    <w:rsid w:val="3FD20798"/>
    <w:rsid w:val="42D91274"/>
    <w:rsid w:val="431D4C7D"/>
    <w:rsid w:val="432C2634"/>
    <w:rsid w:val="4F7B410F"/>
    <w:rsid w:val="4FDCE1CB"/>
    <w:rsid w:val="52640406"/>
    <w:rsid w:val="53CF1F51"/>
    <w:rsid w:val="549F928D"/>
    <w:rsid w:val="56A7AF15"/>
    <w:rsid w:val="57F05DAE"/>
    <w:rsid w:val="594D7C04"/>
    <w:rsid w:val="59896CCD"/>
    <w:rsid w:val="5CBA6428"/>
    <w:rsid w:val="62A72E7A"/>
    <w:rsid w:val="6C0E3290"/>
    <w:rsid w:val="6D3414FD"/>
    <w:rsid w:val="6ED9300F"/>
    <w:rsid w:val="6F360564"/>
    <w:rsid w:val="70257FF6"/>
    <w:rsid w:val="797E9B95"/>
    <w:rsid w:val="7CB38529"/>
    <w:rsid w:val="7D9C7CC2"/>
    <w:rsid w:val="7E5BE828"/>
    <w:rsid w:val="8DFF3921"/>
    <w:rsid w:val="B5D6AE18"/>
    <w:rsid w:val="BEEE2269"/>
    <w:rsid w:val="BFFB36E9"/>
    <w:rsid w:val="EABD5E6B"/>
    <w:rsid w:val="EB662668"/>
    <w:rsid w:val="EDF7BC56"/>
    <w:rsid w:val="EE24E235"/>
    <w:rsid w:val="EFFA6E20"/>
    <w:rsid w:val="F7EF2B42"/>
    <w:rsid w:val="FDDE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jc w:val="center"/>
    </w:pPr>
    <w:rPr>
      <w:rFonts w:eastAsia="华文中宋"/>
      <w:sz w:val="44"/>
    </w:rPr>
  </w:style>
  <w:style w:type="paragraph" w:styleId="5">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w:basedOn w:val="4"/>
    <w:unhideWhenUsed/>
    <w:qFormat/>
    <w:uiPriority w:val="99"/>
    <w:pPr>
      <w:ind w:firstLine="420" w:firstLineChars="100"/>
    </w:pPr>
    <w:rPr>
      <w:rFonts w:eastAsia="仿宋_GB2312"/>
      <w:sz w:val="32"/>
      <w:szCs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3">
    <w:name w:val="font51"/>
    <w:basedOn w:val="11"/>
    <w:qFormat/>
    <w:uiPriority w:val="0"/>
    <w:rPr>
      <w:rFonts w:hint="eastAsia" w:ascii="宋体" w:hAnsi="宋体" w:eastAsia="宋体" w:cs="宋体"/>
      <w:color w:val="000000"/>
      <w:sz w:val="24"/>
      <w:szCs w:val="24"/>
      <w:u w:val="none"/>
    </w:rPr>
  </w:style>
  <w:style w:type="paragraph" w:customStyle="1" w:styleId="14">
    <w:name w:val="列出段落1"/>
    <w:basedOn w:val="1"/>
    <w:qFormat/>
    <w:uiPriority w:val="34"/>
    <w:pPr>
      <w:ind w:firstLine="420" w:firstLineChars="200"/>
    </w:pPr>
    <w:rPr>
      <w:rFonts w:ascii="Calibri" w:hAnsi="Calibri"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3387</Words>
  <Characters>3530</Characters>
  <Lines>0</Lines>
  <Paragraphs>0</Paragraphs>
  <TotalTime>4</TotalTime>
  <ScaleCrop>false</ScaleCrop>
  <LinksUpToDate>false</LinksUpToDate>
  <CharactersWithSpaces>3531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2021-04-30T17:41:00Z</dcterms:created>
  <dc:creator>王榕</dc:creator>
  <cp:lastModifiedBy>hjx</cp:lastModifiedBy>
  <cp:lastPrinted>2025-01-03T22:20:00Z</cp:lastPrinted>
  <dcterms:modified xsi:type="dcterms:W3CDTF">2026-03-16T12:22:14Z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F61FABADBB6F36DB8A34A9699F22249D_43</vt:lpwstr>
  </property>
  <property fmtid="{D5CDD505-2E9C-101B-9397-08002B2CF9AE}" pid="4" name="KSOTemplateDocerSaveRecord">
    <vt:lpwstr>eyJoZGlkIjoiNzliOTU0NTc3ZTM1ZTYyZGY3YzYzMmZkODc4MjgyZWMiLCJ1c2VySWQiOiIzMjk0MTYzNTUifQ==</vt:lpwstr>
  </property>
</Properties>
</file>