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CE324">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eastAsia="zh-CN"/>
        </w:rPr>
      </w:pPr>
      <w:bookmarkStart w:id="1" w:name="_GoBack"/>
      <w:bookmarkEnd w:id="1"/>
      <w:r>
        <w:rPr>
          <w:rFonts w:hint="eastAsia" w:ascii="方正小标宋_GBK" w:hAnsi="宋体" w:eastAsia="方正小标宋_GBK"/>
          <w:sz w:val="44"/>
          <w:szCs w:val="44"/>
          <w:lang w:eastAsia="zh-CN"/>
        </w:rPr>
        <w:t>南山区促进产业高质量发展专项资金——区文化广电旅游体育局分项资金</w:t>
      </w:r>
    </w:p>
    <w:p w14:paraId="1CA528F5">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val="en-US" w:eastAsia="zh-CN"/>
        </w:rPr>
      </w:pPr>
      <w:r>
        <w:rPr>
          <w:rFonts w:hint="eastAsia" w:ascii="方正小标宋_GBK" w:hAnsi="宋体" w:eastAsia="方正小标宋_GBK"/>
          <w:sz w:val="44"/>
          <w:szCs w:val="44"/>
          <w:lang w:eastAsia="zh-CN"/>
        </w:rPr>
        <w:t>支持体育事业发展</w:t>
      </w:r>
      <w:r>
        <w:rPr>
          <w:rFonts w:hint="eastAsia" w:ascii="方正小标宋_GBK" w:hAnsi="宋体" w:eastAsia="方正小标宋_GBK"/>
          <w:sz w:val="44"/>
          <w:szCs w:val="44"/>
          <w:lang w:val="en-US" w:eastAsia="zh-CN"/>
        </w:rPr>
        <w:t>-支持举办</w:t>
      </w:r>
    </w:p>
    <w:p w14:paraId="404D8282">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val="en-US" w:eastAsia="zh-CN"/>
        </w:rPr>
        <w:t>电竞产业活动项目</w:t>
      </w:r>
    </w:p>
    <w:p w14:paraId="3654A98B">
      <w:pPr>
        <w:pageBreakBefore w:val="0"/>
        <w:kinsoku/>
        <w:wordWrap/>
        <w:overflowPunct/>
        <w:topLinePunct w:val="0"/>
        <w:autoSpaceDE/>
        <w:autoSpaceDN/>
        <w:bidi w:val="0"/>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操作规程</w:t>
      </w:r>
    </w:p>
    <w:p w14:paraId="19DC04FA">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eastAsia="黑体"/>
          <w:color w:val="000000"/>
          <w:sz w:val="32"/>
          <w:szCs w:val="32"/>
        </w:rPr>
      </w:pPr>
      <w:r>
        <w:rPr>
          <w:rFonts w:hint="eastAsia" w:eastAsia="黑体"/>
          <w:b/>
          <w:bCs/>
          <w:color w:val="000000"/>
          <w:sz w:val="32"/>
          <w:szCs w:val="32"/>
        </w:rPr>
        <w:t>（</w:t>
      </w:r>
      <w:r>
        <w:rPr>
          <w:rFonts w:eastAsia="黑体"/>
          <w:b/>
          <w:bCs/>
          <w:color w:val="000000"/>
          <w:sz w:val="32"/>
          <w:szCs w:val="32"/>
        </w:rPr>
        <w:t>20</w:t>
      </w:r>
      <w:r>
        <w:rPr>
          <w:rFonts w:hint="eastAsia" w:eastAsia="黑体"/>
          <w:b/>
          <w:bCs/>
          <w:color w:val="000000"/>
          <w:sz w:val="32"/>
          <w:szCs w:val="32"/>
          <w:lang w:val="en-US" w:eastAsia="zh-CN"/>
        </w:rPr>
        <w:t>26</w:t>
      </w:r>
      <w:r>
        <w:rPr>
          <w:rFonts w:hint="eastAsia" w:eastAsia="黑体"/>
          <w:b/>
          <w:bCs/>
          <w:color w:val="000000"/>
          <w:sz w:val="32"/>
          <w:szCs w:val="32"/>
        </w:rPr>
        <w:t>年）</w:t>
      </w:r>
    </w:p>
    <w:p w14:paraId="2BB6C91C">
      <w:pPr>
        <w:keepNext w:val="0"/>
        <w:keepLines w:val="0"/>
        <w:pageBreakBefore w:val="0"/>
        <w:kinsoku/>
        <w:wordWrap/>
        <w:overflowPunct/>
        <w:topLinePunct w:val="0"/>
        <w:autoSpaceDE/>
        <w:autoSpaceDN/>
        <w:bidi w:val="0"/>
        <w:adjustRightInd w:val="0"/>
        <w:snapToGrid w:val="0"/>
        <w:spacing w:line="560" w:lineRule="exact"/>
        <w:textAlignment w:val="auto"/>
        <w:rPr>
          <w:rFonts w:hint="eastAsia" w:hAnsi="仿宋" w:eastAsia="仿宋"/>
          <w:color w:val="000000"/>
          <w:sz w:val="32"/>
          <w:szCs w:val="32"/>
        </w:rPr>
      </w:pPr>
    </w:p>
    <w:p w14:paraId="36AA61E2">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rPr>
        <w:t>一、政策内容</w:t>
      </w:r>
    </w:p>
    <w:p w14:paraId="629C73D2">
      <w:pPr>
        <w:widowControl/>
        <w:spacing w:line="560" w:lineRule="exact"/>
        <w:ind w:firstLine="640" w:firstLineChars="200"/>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（一）承办政府主办的重大电竞产业活动。支持行业协会、专业机构和企业承办南山区政府组织举办的重大电竞产业展会、论坛活动，每个活动给予资助不超过800万元。</w:t>
      </w:r>
    </w:p>
    <w:p w14:paraId="6BAC8F52">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hAnsi="仿宋" w:eastAsia="仿宋"/>
          <w:color w:val="000000"/>
          <w:sz w:val="32"/>
          <w:szCs w:val="32"/>
          <w:lang w:eastAsia="zh-CN"/>
        </w:rPr>
      </w:pPr>
      <w:r>
        <w:rPr>
          <w:rFonts w:hint="eastAsia" w:ascii="仿宋_GB2312" w:hAnsi="仿宋" w:eastAsia="仿宋_GB2312" w:cs="仿宋"/>
          <w:color w:val="000000" w:themeColor="text1"/>
          <w:sz w:val="32"/>
          <w:szCs w:val="32"/>
          <w:highlight w:val="none"/>
          <w14:textFill>
            <w14:solidFill>
              <w14:schemeClr w14:val="tx1"/>
            </w14:solidFill>
          </w14:textFill>
        </w:rPr>
        <w:t>（二）举办特色电竞产业活动。支持行业协会、专业机构和企业举办符合南山电竞产业发展方向，具备一定规模和影响力，有助于推动南山电竞产业发展的电竞产业展会、论坛等特色活动，每个按不超过实际发生费用50%的比例给予资助，每家单位每年不超过200万元。</w:t>
      </w:r>
    </w:p>
    <w:p w14:paraId="51CD8654">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二、设定依据</w:t>
      </w:r>
    </w:p>
    <w:p w14:paraId="62C8BCC5">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eastAsia="仿宋_GB2312"/>
          <w:lang w:eastAsia="zh-CN"/>
        </w:rPr>
      </w:pPr>
      <w:r>
        <w:rPr>
          <w:rFonts w:hint="eastAsia" w:ascii="仿宋_GB2312" w:hAnsi="仿宋" w:eastAsia="仿宋_GB2312"/>
          <w:color w:val="000000" w:themeColor="text1"/>
          <w:sz w:val="32"/>
          <w:szCs w:val="32"/>
          <w:highlight w:val="none"/>
          <w14:textFill>
            <w14:solidFill>
              <w14:schemeClr w14:val="tx1"/>
            </w14:solidFill>
          </w14:textFill>
        </w:rPr>
        <w:t>为支持承办政府主办的重大电竞产业活动，鼓励举办有一定规模和影响力的特色电竞产业活动，优化营商环境，加强招商引资，完善南山区电竞产业链，根据《南山区促进现代产业高质量发展专项资金管理办法》和《南山区促进电竞产业发展专项扶持措施》，制定本操作规程。</w:t>
      </w:r>
    </w:p>
    <w:p w14:paraId="5E36858C">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sz w:val="32"/>
          <w:szCs w:val="32"/>
        </w:rPr>
      </w:pPr>
      <w:r>
        <w:rPr>
          <w:rFonts w:hint="eastAsia" w:hAnsi="黑体" w:eastAsia="黑体"/>
          <w:color w:val="000000"/>
          <w:sz w:val="32"/>
          <w:szCs w:val="32"/>
          <w:lang w:eastAsia="zh-CN"/>
        </w:rPr>
        <w:t>三、</w:t>
      </w:r>
      <w:r>
        <w:rPr>
          <w:rFonts w:hint="eastAsia" w:hAnsi="黑体" w:eastAsia="黑体"/>
          <w:color w:val="000000"/>
          <w:sz w:val="32"/>
          <w:szCs w:val="32"/>
        </w:rPr>
        <w:t>申请条件</w:t>
      </w:r>
    </w:p>
    <w:p w14:paraId="7AFA153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w:t>
      </w:r>
      <w:r>
        <w:rPr>
          <w:rFonts w:hint="eastAsia" w:ascii="仿宋" w:hAnsi="仿宋" w:eastAsia="仿宋" w:cs="Times New Roman"/>
          <w:color w:val="000000"/>
          <w:sz w:val="32"/>
          <w:szCs w:val="32"/>
          <w:lang w:eastAsia="zh-CN"/>
        </w:rPr>
        <w:t>基本条件</w:t>
      </w:r>
      <w:r>
        <w:rPr>
          <w:rFonts w:hint="eastAsia" w:ascii="仿宋" w:hAnsi="仿宋" w:eastAsia="仿宋" w:cs="Times New Roman"/>
          <w:color w:val="000000"/>
          <w:sz w:val="32"/>
          <w:szCs w:val="32"/>
        </w:rPr>
        <w:t>：</w:t>
      </w:r>
    </w:p>
    <w:p w14:paraId="6A8904C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rPr>
      </w:pPr>
      <w:r>
        <w:rPr>
          <w:rFonts w:hint="eastAsia" w:ascii="仿宋" w:hAnsi="仿宋" w:eastAsia="仿宋"/>
          <w:color w:val="000000"/>
          <w:sz w:val="32"/>
          <w:szCs w:val="32"/>
        </w:rPr>
        <w:t>1.在南山区依法从事实际经营，并具有独立法人资格（申请承办政府主办的重大电竞产业活动项目的，不受此项限制）；</w:t>
      </w:r>
    </w:p>
    <w:p w14:paraId="49210BB5">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 w:hAnsi="仿宋" w:eastAsia="仿宋"/>
          <w:color w:val="000000"/>
          <w:sz w:val="32"/>
          <w:szCs w:val="32"/>
        </w:rPr>
        <w:t>2.</w:t>
      </w:r>
      <w:r>
        <w:rPr>
          <w:rFonts w:hint="eastAsia" w:ascii="仿宋_GB2312" w:hAnsi="仿宋_GB2312" w:eastAsia="仿宋_GB2312" w:cs="仿宋_GB2312"/>
          <w:sz w:val="32"/>
          <w:szCs w:val="32"/>
        </w:rPr>
        <w:t>履行相关数据申报义务、守法经营、诚实守信、有规范的财务管理制度</w:t>
      </w:r>
      <w:r>
        <w:rPr>
          <w:rFonts w:hint="eastAsia" w:ascii="仿宋_GB2312" w:hAnsi="仿宋" w:eastAsia="仿宋_GB2312"/>
          <w:color w:val="000000" w:themeColor="text1"/>
          <w:sz w:val="32"/>
          <w:szCs w:val="32"/>
          <w:highlight w:val="none"/>
          <w:lang w:eastAsia="zh-CN"/>
          <w14:textFill>
            <w14:solidFill>
              <w14:schemeClr w14:val="tx1"/>
            </w14:solidFill>
          </w14:textFill>
        </w:rPr>
        <w:t>（</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申请</w:t>
      </w:r>
      <w:r>
        <w:rPr>
          <w:rFonts w:hint="eastAsia" w:ascii="仿宋_GB2312" w:hAnsi="仿宋" w:eastAsia="仿宋_GB2312" w:cs="仿宋"/>
          <w:color w:val="000000" w:themeColor="text1"/>
          <w:sz w:val="32"/>
          <w:szCs w:val="32"/>
          <w:highlight w:val="none"/>
          <w14:textFill>
            <w14:solidFill>
              <w14:schemeClr w14:val="tx1"/>
            </w14:solidFill>
          </w14:textFill>
        </w:rPr>
        <w:t>承办政府主办的重大电竞产业活动</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项目的，不受</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sz w:val="32"/>
          <w:szCs w:val="32"/>
        </w:rPr>
        <w:t>履行相关数据申报义务</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”限制</w:t>
      </w:r>
      <w:r>
        <w:rPr>
          <w:rFonts w:hint="eastAsia" w:ascii="仿宋_GB2312" w:hAnsi="仿宋" w:eastAsia="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sz w:val="32"/>
          <w:szCs w:val="32"/>
        </w:rPr>
        <w:t>；</w:t>
      </w:r>
    </w:p>
    <w:p w14:paraId="33E5769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eastAsia="zh-CN"/>
        </w:rPr>
      </w:pPr>
      <w:r>
        <w:rPr>
          <w:rFonts w:hint="eastAsia" w:ascii="仿宋" w:hAnsi="仿宋" w:eastAsia="仿宋"/>
          <w:color w:val="000000"/>
          <w:sz w:val="32"/>
          <w:szCs w:val="32"/>
        </w:rPr>
        <w:t>3.应积极配合区委、区政府相关工作</w:t>
      </w:r>
      <w:r>
        <w:rPr>
          <w:rFonts w:hint="eastAsia" w:ascii="仿宋" w:hAnsi="仿宋" w:eastAsia="仿宋"/>
          <w:color w:val="000000"/>
          <w:sz w:val="32"/>
          <w:szCs w:val="32"/>
          <w:lang w:eastAsia="zh-CN"/>
        </w:rPr>
        <w:t>。</w:t>
      </w:r>
    </w:p>
    <w:p w14:paraId="22833006">
      <w:pPr>
        <w:pageBreakBefore w:val="0"/>
        <w:kinsoku/>
        <w:wordWrap/>
        <w:overflowPunct/>
        <w:topLinePunct w:val="0"/>
        <w:autoSpaceDE/>
        <w:autoSpaceDN/>
        <w:bidi w:val="0"/>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（二）有下列情况之一的，本项资金不予资助：</w:t>
      </w:r>
    </w:p>
    <w:p w14:paraId="4CCC17A0">
      <w:pPr>
        <w:pageBreakBefore w:val="0"/>
        <w:kinsoku/>
        <w:wordWrap/>
        <w:overflowPunct/>
        <w:topLinePunct w:val="0"/>
        <w:autoSpaceDE/>
        <w:autoSpaceDN/>
        <w:bidi w:val="0"/>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w:t>
      </w:r>
      <w:r>
        <w:rPr>
          <w:rFonts w:hint="eastAsia" w:ascii="仿宋" w:hAnsi="仿宋" w:eastAsia="仿宋"/>
          <w:color w:val="000000"/>
          <w:sz w:val="32"/>
          <w:szCs w:val="32"/>
        </w:rPr>
        <w:t>被依法依规纳入严重失信主体名单或失信惩戒措施清单的；</w:t>
      </w:r>
    </w:p>
    <w:p w14:paraId="553C8AB0">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eastAsia="zh-CN"/>
        </w:rPr>
      </w:pPr>
      <w:r>
        <w:rPr>
          <w:rFonts w:hint="eastAsia" w:ascii="仿宋" w:hAnsi="仿宋" w:eastAsia="仿宋"/>
          <w:color w:val="000000"/>
          <w:sz w:val="32"/>
          <w:szCs w:val="32"/>
        </w:rPr>
        <w:t>2</w:t>
      </w:r>
      <w:r>
        <w:rPr>
          <w:rFonts w:hint="eastAsia" w:ascii="仿宋" w:hAnsi="仿宋" w:eastAsia="仿宋"/>
          <w:color w:val="000000"/>
          <w:sz w:val="32"/>
          <w:szCs w:val="32"/>
          <w:lang w:eastAsia="zh-CN"/>
        </w:rPr>
        <w:t>.</w:t>
      </w:r>
      <w:r>
        <w:rPr>
          <w:rFonts w:hint="eastAsia" w:ascii="仿宋" w:hAnsi="仿宋" w:eastAsia="仿宋"/>
          <w:color w:val="000000"/>
          <w:sz w:val="32"/>
          <w:szCs w:val="32"/>
        </w:rPr>
        <w:t>提出资助申请后，申报主体项目实施地或数据申报地发生变化，不再符合申报条件的</w:t>
      </w:r>
      <w:r>
        <w:rPr>
          <w:rFonts w:hint="eastAsia" w:ascii="仿宋" w:hAnsi="仿宋" w:eastAsia="仿宋"/>
          <w:color w:val="000000"/>
          <w:sz w:val="32"/>
          <w:szCs w:val="32"/>
          <w:lang w:eastAsia="zh-CN"/>
        </w:rPr>
        <w:t>；</w:t>
      </w:r>
    </w:p>
    <w:p w14:paraId="508E6D75">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b w:val="0"/>
          <w:bCs w:val="0"/>
          <w:color w:val="000000"/>
          <w:kern w:val="2"/>
          <w:sz w:val="32"/>
          <w:szCs w:val="32"/>
          <w:lang w:val="en-US" w:eastAsia="zh-CN" w:bidi="ar-SA"/>
        </w:rPr>
      </w:pPr>
      <w:r>
        <w:rPr>
          <w:rFonts w:hint="eastAsia" w:ascii="仿宋" w:hAnsi="仿宋" w:eastAsia="仿宋" w:cs="Times New Roman"/>
          <w:b w:val="0"/>
          <w:bCs w:val="0"/>
          <w:color w:val="000000"/>
          <w:kern w:val="2"/>
          <w:sz w:val="32"/>
          <w:szCs w:val="32"/>
          <w:lang w:val="en-US" w:eastAsia="zh-CN" w:bidi="ar-SA"/>
        </w:rPr>
        <w:t>3.已获得区政府办赛资金支持的赛事。</w:t>
      </w:r>
    </w:p>
    <w:p w14:paraId="00EBBB56">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黑体" w:eastAsia="黑体" w:cs="Times New Roman"/>
          <w:color w:val="000000"/>
          <w:sz w:val="32"/>
          <w:szCs w:val="32"/>
          <w:lang w:val="en-US" w:eastAsia="zh-CN"/>
        </w:rPr>
      </w:pPr>
      <w:r>
        <w:rPr>
          <w:rFonts w:hint="eastAsia" w:ascii="Times New Roman" w:hAnsi="黑体" w:eastAsia="黑体" w:cs="Times New Roman"/>
          <w:color w:val="000000"/>
          <w:sz w:val="32"/>
          <w:szCs w:val="32"/>
          <w:lang w:val="en-US" w:eastAsia="zh-CN"/>
        </w:rPr>
        <w:t>四、申报类别</w:t>
      </w:r>
    </w:p>
    <w:p w14:paraId="54389D81">
      <w:pPr>
        <w:widowControl/>
        <w:spacing w:line="560" w:lineRule="exact"/>
        <w:ind w:firstLine="643" w:firstLineChars="200"/>
        <w:rPr>
          <w:rFonts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b/>
          <w:bCs/>
          <w:color w:val="000000" w:themeColor="text1"/>
          <w:sz w:val="32"/>
          <w:szCs w:val="32"/>
          <w:highlight w:val="none"/>
          <w:lang w:val="en-US" w:eastAsia="zh-CN"/>
          <w14:textFill>
            <w14:solidFill>
              <w14:schemeClr w14:val="tx1"/>
            </w14:solidFill>
          </w14:textFill>
        </w:rPr>
        <w:t>1.</w:t>
      </w:r>
      <w:r>
        <w:rPr>
          <w:rFonts w:hint="eastAsia" w:ascii="仿宋_GB2312" w:hAnsi="仿宋" w:eastAsia="仿宋_GB2312" w:cs="仿宋"/>
          <w:b/>
          <w:bCs/>
          <w:color w:val="000000" w:themeColor="text1"/>
          <w:sz w:val="32"/>
          <w:szCs w:val="32"/>
          <w:highlight w:val="none"/>
          <w14:textFill>
            <w14:solidFill>
              <w14:schemeClr w14:val="tx1"/>
            </w14:solidFill>
          </w14:textFill>
        </w:rPr>
        <w:t>承办政府主办的重大电竞产业活动。</w:t>
      </w:r>
      <w:r>
        <w:rPr>
          <w:rFonts w:hint="eastAsia" w:ascii="仿宋_GB2312" w:hAnsi="仿宋" w:eastAsia="仿宋_GB2312" w:cs="仿宋"/>
          <w:color w:val="000000" w:themeColor="text1"/>
          <w:sz w:val="32"/>
          <w:szCs w:val="32"/>
          <w:highlight w:val="none"/>
          <w14:textFill>
            <w14:solidFill>
              <w14:schemeClr w14:val="tx1"/>
            </w14:solidFill>
          </w14:textFill>
        </w:rPr>
        <w:t>支持行业协会、专业机构、企业承办南山区政府组织主办的展会、论坛等重大电竞产业活动，</w:t>
      </w:r>
      <w:r>
        <w:rPr>
          <w:rFonts w:ascii="仿宋_GB2312" w:hAnsi="仿宋" w:eastAsia="仿宋_GB2312" w:cs="仿宋"/>
          <w:color w:val="000000" w:themeColor="text1"/>
          <w:sz w:val="32"/>
          <w:szCs w:val="32"/>
          <w:highlight w:val="none"/>
          <w14:textFill>
            <w14:solidFill>
              <w14:schemeClr w14:val="tx1"/>
            </w14:solidFill>
          </w14:textFill>
        </w:rPr>
        <w:t>每</w:t>
      </w:r>
      <w:r>
        <w:rPr>
          <w:rFonts w:hint="eastAsia" w:ascii="仿宋_GB2312" w:hAnsi="仿宋" w:eastAsia="仿宋_GB2312" w:cs="仿宋"/>
          <w:color w:val="000000" w:themeColor="text1"/>
          <w:sz w:val="32"/>
          <w:szCs w:val="32"/>
          <w:highlight w:val="none"/>
          <w14:textFill>
            <w14:solidFill>
              <w14:schemeClr w14:val="tx1"/>
            </w14:solidFill>
          </w14:textFill>
        </w:rPr>
        <w:t>个活动给予最高不超过</w:t>
      </w:r>
      <w:r>
        <w:rPr>
          <w:rFonts w:ascii="仿宋_GB2312" w:hAnsi="仿宋" w:eastAsia="仿宋_GB2312" w:cs="仿宋"/>
          <w:color w:val="000000" w:themeColor="text1"/>
          <w:sz w:val="32"/>
          <w:szCs w:val="32"/>
          <w:highlight w:val="none"/>
          <w14:textFill>
            <w14:solidFill>
              <w14:schemeClr w14:val="tx1"/>
            </w14:solidFill>
          </w14:textFill>
        </w:rPr>
        <w:t>800</w:t>
      </w:r>
      <w:r>
        <w:rPr>
          <w:rFonts w:hint="eastAsia" w:ascii="仿宋_GB2312" w:hAnsi="仿宋" w:eastAsia="仿宋_GB2312" w:cs="仿宋"/>
          <w:color w:val="000000" w:themeColor="text1"/>
          <w:sz w:val="32"/>
          <w:szCs w:val="32"/>
          <w:highlight w:val="none"/>
          <w14:textFill>
            <w14:solidFill>
              <w14:schemeClr w14:val="tx1"/>
            </w14:solidFill>
          </w14:textFill>
        </w:rPr>
        <w:t>万元资助。</w:t>
      </w:r>
    </w:p>
    <w:p w14:paraId="60368997">
      <w:pPr>
        <w:adjustRightInd w:val="0"/>
        <w:snapToGrid w:val="0"/>
        <w:spacing w:line="560" w:lineRule="exact"/>
        <w:ind w:firstLine="640" w:firstLineChars="20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申报条件及说明：</w:t>
      </w:r>
    </w:p>
    <w:p w14:paraId="24D0FBF2">
      <w:pPr>
        <w:pStyle w:val="12"/>
        <w:tabs>
          <w:tab w:val="left" w:pos="0"/>
        </w:tabs>
        <w:spacing w:line="560" w:lineRule="exact"/>
        <w:ind w:firstLine="640"/>
        <w:rPr>
          <w:rFonts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1）</w:t>
      </w:r>
      <w:r>
        <w:rPr>
          <w:rFonts w:hint="eastAsia" w:ascii="仿宋_GB2312" w:hAnsi="仿宋" w:eastAsia="仿宋_GB2312" w:cs="仿宋"/>
          <w:color w:val="000000" w:themeColor="text1"/>
          <w:sz w:val="32"/>
          <w:szCs w:val="32"/>
          <w:highlight w:val="none"/>
          <w14:textFill>
            <w14:solidFill>
              <w14:schemeClr w14:val="tx1"/>
            </w14:solidFill>
          </w14:textFill>
        </w:rPr>
        <w:t>重大电竞产业活动的标准</w:t>
      </w:r>
      <w:r>
        <w:rPr>
          <w:rFonts w:hint="eastAsia" w:ascii="仿宋_GB2312" w:hAnsi="仿宋" w:eastAsia="仿宋_GB2312" w:cs="Times New Roman"/>
          <w:color w:val="000000"/>
          <w:sz w:val="32"/>
          <w:szCs w:val="32"/>
          <w:highlight w:val="none"/>
        </w:rPr>
        <w:t>：由南山区政府主办的国际性/全国性/区域性/主题性的展会、论坛等重大电竞产业活动，最终解释权归南山区政府。</w:t>
      </w:r>
    </w:p>
    <w:p w14:paraId="6D9DB6CC">
      <w:pPr>
        <w:pStyle w:val="12"/>
        <w:tabs>
          <w:tab w:val="left" w:pos="0"/>
        </w:tabs>
        <w:spacing w:line="560" w:lineRule="exact"/>
        <w:ind w:firstLine="640"/>
        <w:rPr>
          <w:rFonts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2）</w:t>
      </w:r>
      <w:r>
        <w:rPr>
          <w:rFonts w:ascii="仿宋_GB2312" w:hAnsi="仿宋" w:eastAsia="仿宋_GB2312" w:cs="仿宋"/>
          <w:color w:val="000000" w:themeColor="text1"/>
          <w:sz w:val="32"/>
          <w:szCs w:val="32"/>
          <w:highlight w:val="none"/>
          <w14:textFill>
            <w14:solidFill>
              <w14:schemeClr w14:val="tx1"/>
            </w14:solidFill>
          </w14:textFill>
        </w:rPr>
        <w:t>每</w:t>
      </w:r>
      <w:r>
        <w:rPr>
          <w:rFonts w:hint="eastAsia" w:ascii="仿宋_GB2312" w:hAnsi="仿宋" w:eastAsia="仿宋_GB2312" w:cs="仿宋"/>
          <w:color w:val="000000" w:themeColor="text1"/>
          <w:sz w:val="32"/>
          <w:szCs w:val="32"/>
          <w:highlight w:val="none"/>
          <w14:textFill>
            <w14:solidFill>
              <w14:schemeClr w14:val="tx1"/>
            </w14:solidFill>
          </w14:textFill>
        </w:rPr>
        <w:t>个活动给予最高不超过</w:t>
      </w:r>
      <w:r>
        <w:rPr>
          <w:rFonts w:ascii="仿宋_GB2312" w:hAnsi="仿宋" w:eastAsia="仿宋_GB2312" w:cs="仿宋"/>
          <w:color w:val="000000" w:themeColor="text1"/>
          <w:sz w:val="32"/>
          <w:szCs w:val="32"/>
          <w:highlight w:val="none"/>
          <w14:textFill>
            <w14:solidFill>
              <w14:schemeClr w14:val="tx1"/>
            </w14:solidFill>
          </w14:textFill>
        </w:rPr>
        <w:t>800</w:t>
      </w:r>
      <w:r>
        <w:rPr>
          <w:rFonts w:hint="eastAsia" w:ascii="仿宋_GB2312" w:hAnsi="仿宋" w:eastAsia="仿宋_GB2312" w:cs="仿宋"/>
          <w:color w:val="000000" w:themeColor="text1"/>
          <w:sz w:val="32"/>
          <w:szCs w:val="32"/>
          <w:highlight w:val="none"/>
          <w14:textFill>
            <w14:solidFill>
              <w14:schemeClr w14:val="tx1"/>
            </w14:solidFill>
          </w14:textFill>
        </w:rPr>
        <w:t>万元的事前资助</w:t>
      </w:r>
      <w:r>
        <w:rPr>
          <w:rFonts w:hint="eastAsia" w:ascii="仿宋_GB2312" w:hAnsi="仿宋" w:eastAsia="仿宋_GB2312" w:cs="Times New Roman"/>
          <w:color w:val="000000"/>
          <w:sz w:val="32"/>
          <w:szCs w:val="32"/>
          <w:highlight w:val="none"/>
        </w:rPr>
        <w:t>。</w:t>
      </w:r>
    </w:p>
    <w:p w14:paraId="4A1D1C45">
      <w:pPr>
        <w:pStyle w:val="12"/>
        <w:tabs>
          <w:tab w:val="left" w:pos="0"/>
        </w:tabs>
        <w:spacing w:line="560" w:lineRule="exact"/>
        <w:ind w:firstLine="640"/>
        <w:rPr>
          <w:rFonts w:ascii="仿宋_GB2312" w:hAnsi="仿宋" w:eastAsia="仿宋_GB2312" w:cs="Times New Roman"/>
          <w:color w:val="000000"/>
          <w:sz w:val="32"/>
          <w:szCs w:val="32"/>
          <w:highlight w:val="none"/>
        </w:rPr>
      </w:pPr>
      <w:r>
        <w:rPr>
          <w:rFonts w:ascii="仿宋_GB2312" w:hAnsi="仿宋" w:eastAsia="仿宋_GB2312" w:cs="Times New Roman"/>
          <w:color w:val="000000"/>
          <w:sz w:val="32"/>
          <w:szCs w:val="32"/>
          <w:highlight w:val="none"/>
        </w:rPr>
        <w:t>3</w:t>
      </w:r>
      <w:r>
        <w:rPr>
          <w:rFonts w:hint="eastAsia" w:ascii="仿宋_GB2312" w:hAnsi="仿宋" w:eastAsia="仿宋_GB2312" w:cs="Times New Roman"/>
          <w:color w:val="000000"/>
          <w:sz w:val="32"/>
          <w:szCs w:val="32"/>
          <w:highlight w:val="none"/>
        </w:rPr>
        <w:t>）重大电竞产业活动，需由南山区政府批准，由南山区文化广电旅游体育局组织，由</w:t>
      </w:r>
      <w:r>
        <w:rPr>
          <w:rFonts w:hint="eastAsia" w:ascii="仿宋_GB2312" w:hAnsi="仿宋" w:eastAsia="仿宋_GB2312" w:cs="仿宋"/>
          <w:color w:val="000000" w:themeColor="text1"/>
          <w:sz w:val="32"/>
          <w:szCs w:val="32"/>
          <w:highlight w:val="none"/>
          <w14:textFill>
            <w14:solidFill>
              <w14:schemeClr w14:val="tx1"/>
            </w14:solidFill>
          </w14:textFill>
        </w:rPr>
        <w:t>行业协会、专业机构、企业承办</w:t>
      </w:r>
      <w:r>
        <w:rPr>
          <w:rFonts w:hint="eastAsia" w:ascii="仿宋_GB2312" w:hAnsi="仿宋" w:eastAsia="仿宋_GB2312" w:cs="Times New Roman"/>
          <w:color w:val="000000"/>
          <w:sz w:val="32"/>
          <w:szCs w:val="32"/>
          <w:highlight w:val="none"/>
        </w:rPr>
        <w:t>。</w:t>
      </w:r>
    </w:p>
    <w:p w14:paraId="7767A0ED">
      <w:pPr>
        <w:widowControl/>
        <w:spacing w:line="560" w:lineRule="exact"/>
        <w:ind w:firstLine="643" w:firstLineChars="200"/>
        <w:rPr>
          <w:rFonts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b/>
          <w:bCs/>
          <w:color w:val="000000" w:themeColor="text1"/>
          <w:sz w:val="32"/>
          <w:szCs w:val="32"/>
          <w:highlight w:val="none"/>
          <w:lang w:val="en-US" w:eastAsia="zh-CN"/>
          <w14:textFill>
            <w14:solidFill>
              <w14:schemeClr w14:val="tx1"/>
            </w14:solidFill>
          </w14:textFill>
        </w:rPr>
        <w:t>2.</w:t>
      </w:r>
      <w:r>
        <w:rPr>
          <w:rFonts w:hint="eastAsia" w:ascii="仿宋_GB2312" w:hAnsi="仿宋" w:eastAsia="仿宋_GB2312" w:cs="仿宋"/>
          <w:b/>
          <w:bCs/>
          <w:color w:val="000000" w:themeColor="text1"/>
          <w:sz w:val="32"/>
          <w:szCs w:val="32"/>
          <w:highlight w:val="none"/>
          <w14:textFill>
            <w14:solidFill>
              <w14:schemeClr w14:val="tx1"/>
            </w14:solidFill>
          </w14:textFill>
        </w:rPr>
        <w:t>举办特色电竞产业活动。</w:t>
      </w:r>
      <w:r>
        <w:rPr>
          <w:rFonts w:hint="eastAsia" w:ascii="仿宋_GB2312" w:hAnsi="仿宋" w:eastAsia="仿宋_GB2312" w:cs="仿宋"/>
          <w:color w:val="000000" w:themeColor="text1"/>
          <w:sz w:val="32"/>
          <w:szCs w:val="32"/>
          <w:highlight w:val="none"/>
          <w14:textFill>
            <w14:solidFill>
              <w14:schemeClr w14:val="tx1"/>
            </w14:solidFill>
          </w14:textFill>
        </w:rPr>
        <w:t>支持行业协会、专业机构、企业举办符合南山电竞产业发展方向，具备一定规模和影响力，有助于推动南山电竞产业发展的展会、论坛等特色电竞产业活动，</w:t>
      </w:r>
      <w:bookmarkStart w:id="0" w:name="_Hlk109470474"/>
      <w:r>
        <w:rPr>
          <w:rFonts w:hint="eastAsia" w:ascii="仿宋_GB2312" w:hAnsi="仿宋" w:eastAsia="仿宋_GB2312" w:cs="仿宋"/>
          <w:color w:val="000000" w:themeColor="text1"/>
          <w:sz w:val="32"/>
          <w:szCs w:val="32"/>
          <w:highlight w:val="none"/>
          <w14:textFill>
            <w14:solidFill>
              <w14:schemeClr w14:val="tx1"/>
            </w14:solidFill>
          </w14:textFill>
        </w:rPr>
        <w:t>每个活动按照</w:t>
      </w:r>
      <w:bookmarkEnd w:id="0"/>
      <w:r>
        <w:rPr>
          <w:rFonts w:hint="eastAsia" w:ascii="仿宋_GB2312" w:hAnsi="仿宋" w:eastAsia="仿宋_GB2312" w:cs="仿宋"/>
          <w:color w:val="000000" w:themeColor="text1"/>
          <w:sz w:val="32"/>
          <w:szCs w:val="32"/>
          <w:highlight w:val="none"/>
          <w14:textFill>
            <w14:solidFill>
              <w14:schemeClr w14:val="tx1"/>
            </w14:solidFill>
          </w14:textFill>
        </w:rPr>
        <w:t>不超过实际发生费用50%的比例给予资助，每家单位每年资助金额最高不超过200万元。</w:t>
      </w:r>
    </w:p>
    <w:p w14:paraId="36A9107B">
      <w:pPr>
        <w:pStyle w:val="12"/>
        <w:tabs>
          <w:tab w:val="left" w:pos="0"/>
        </w:tabs>
        <w:spacing w:line="560" w:lineRule="exact"/>
        <w:ind w:firstLine="64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申报条件及说明：</w:t>
      </w:r>
    </w:p>
    <w:p w14:paraId="551636E8">
      <w:pPr>
        <w:pStyle w:val="12"/>
        <w:tabs>
          <w:tab w:val="left" w:pos="0"/>
        </w:tabs>
        <w:spacing w:line="560" w:lineRule="exact"/>
        <w:ind w:firstLine="640"/>
        <w:rPr>
          <w:rFonts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1）</w:t>
      </w:r>
      <w:r>
        <w:rPr>
          <w:rFonts w:hint="eastAsia" w:ascii="仿宋_GB2312" w:hAnsi="仿宋" w:eastAsia="仿宋_GB2312" w:cs="仿宋"/>
          <w:color w:val="000000" w:themeColor="text1"/>
          <w:sz w:val="32"/>
          <w:szCs w:val="32"/>
          <w:highlight w:val="none"/>
          <w14:textFill>
            <w14:solidFill>
              <w14:schemeClr w14:val="tx1"/>
            </w14:solidFill>
          </w14:textFill>
        </w:rPr>
        <w:t>特色电竞产业活动</w:t>
      </w:r>
      <w:r>
        <w:rPr>
          <w:rFonts w:hint="eastAsia" w:ascii="仿宋_GB2312" w:hAnsi="仿宋" w:eastAsia="仿宋_GB2312" w:cs="Times New Roman"/>
          <w:color w:val="000000"/>
          <w:sz w:val="32"/>
          <w:szCs w:val="32"/>
          <w:highlight w:val="none"/>
        </w:rPr>
        <w:t>的标准：与电竞产业直接相关的展会、论坛等活动</w:t>
      </w:r>
      <w:r>
        <w:rPr>
          <w:rFonts w:hint="eastAsia" w:ascii="仿宋_GB2312" w:hAnsi="仿宋" w:eastAsia="仿宋_GB2312" w:cs="仿宋"/>
          <w:color w:val="000000" w:themeColor="text1"/>
          <w:sz w:val="32"/>
          <w:szCs w:val="32"/>
          <w:highlight w:val="none"/>
          <w14:textFill>
            <w14:solidFill>
              <w14:schemeClr w14:val="tx1"/>
            </w14:solidFill>
          </w14:textFill>
        </w:rPr>
        <w:t>；参加展会的企事业单位不少于5</w:t>
      </w:r>
      <w:r>
        <w:rPr>
          <w:rFonts w:ascii="仿宋_GB2312" w:hAnsi="仿宋" w:eastAsia="仿宋_GB2312" w:cs="仿宋"/>
          <w:color w:val="000000" w:themeColor="text1"/>
          <w:sz w:val="32"/>
          <w:szCs w:val="32"/>
          <w:highlight w:val="none"/>
          <w14:textFill>
            <w14:solidFill>
              <w14:schemeClr w14:val="tx1"/>
            </w14:solidFill>
          </w14:textFill>
        </w:rPr>
        <w:t>0</w:t>
      </w:r>
      <w:r>
        <w:rPr>
          <w:rFonts w:hint="eastAsia" w:ascii="仿宋_GB2312" w:hAnsi="仿宋" w:eastAsia="仿宋_GB2312" w:cs="仿宋"/>
          <w:color w:val="000000" w:themeColor="text1"/>
          <w:sz w:val="32"/>
          <w:szCs w:val="32"/>
          <w:highlight w:val="none"/>
          <w14:textFill>
            <w14:solidFill>
              <w14:schemeClr w14:val="tx1"/>
            </w14:solidFill>
          </w14:textFill>
        </w:rPr>
        <w:t>家，参加论坛的线上线下嘉宾</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和专业观众</w:t>
      </w:r>
      <w:r>
        <w:rPr>
          <w:rFonts w:hint="eastAsia" w:ascii="仿宋_GB2312" w:hAnsi="仿宋" w:eastAsia="仿宋_GB2312" w:cs="仿宋"/>
          <w:color w:val="000000" w:themeColor="text1"/>
          <w:sz w:val="32"/>
          <w:szCs w:val="32"/>
          <w:highlight w:val="none"/>
          <w14:textFill>
            <w14:solidFill>
              <w14:schemeClr w14:val="tx1"/>
            </w14:solidFill>
          </w14:textFill>
        </w:rPr>
        <w:t>总数不低于1</w:t>
      </w:r>
      <w:r>
        <w:rPr>
          <w:rFonts w:ascii="仿宋_GB2312" w:hAnsi="仿宋" w:eastAsia="仿宋_GB2312" w:cs="仿宋"/>
          <w:color w:val="000000" w:themeColor="text1"/>
          <w:sz w:val="32"/>
          <w:szCs w:val="32"/>
          <w:highlight w:val="none"/>
          <w14:textFill>
            <w14:solidFill>
              <w14:schemeClr w14:val="tx1"/>
            </w14:solidFill>
          </w14:textFill>
        </w:rPr>
        <w:t>00</w:t>
      </w:r>
      <w:r>
        <w:rPr>
          <w:rFonts w:hint="eastAsia" w:ascii="仿宋_GB2312" w:hAnsi="仿宋" w:eastAsia="仿宋_GB2312" w:cs="仿宋"/>
          <w:color w:val="000000" w:themeColor="text1"/>
          <w:sz w:val="32"/>
          <w:szCs w:val="32"/>
          <w:highlight w:val="none"/>
          <w14:textFill>
            <w14:solidFill>
              <w14:schemeClr w14:val="tx1"/>
            </w14:solidFill>
          </w14:textFill>
        </w:rPr>
        <w:t>人</w:t>
      </w:r>
      <w:r>
        <w:rPr>
          <w:rFonts w:hint="eastAsia" w:ascii="仿宋_GB2312" w:hAnsi="仿宋" w:eastAsia="仿宋_GB2312" w:cs="Times New Roman"/>
          <w:color w:val="000000"/>
          <w:sz w:val="32"/>
          <w:szCs w:val="32"/>
          <w:highlight w:val="none"/>
        </w:rPr>
        <w:t>。</w:t>
      </w:r>
    </w:p>
    <w:p w14:paraId="74E056CE">
      <w:pPr>
        <w:pStyle w:val="12"/>
        <w:tabs>
          <w:tab w:val="left" w:pos="0"/>
        </w:tabs>
        <w:spacing w:line="560" w:lineRule="exact"/>
        <w:ind w:firstLine="640"/>
        <w:rPr>
          <w:rFonts w:ascii="仿宋_GB2312" w:hAnsi="仿宋" w:eastAsia="仿宋_GB2312" w:cs="Times New Roman"/>
          <w:color w:val="000000"/>
          <w:sz w:val="32"/>
          <w:szCs w:val="32"/>
          <w:highlight w:val="none"/>
        </w:rPr>
      </w:pPr>
      <w:r>
        <w:rPr>
          <w:rFonts w:ascii="仿宋_GB2312" w:hAnsi="仿宋" w:eastAsia="仿宋_GB2312" w:cs="Times New Roman"/>
          <w:color w:val="000000"/>
          <w:sz w:val="32"/>
          <w:szCs w:val="32"/>
          <w:highlight w:val="none"/>
        </w:rPr>
        <w:t>2</w:t>
      </w:r>
      <w:r>
        <w:rPr>
          <w:rFonts w:hint="eastAsia" w:ascii="仿宋_GB2312" w:hAnsi="仿宋" w:eastAsia="仿宋_GB2312" w:cs="Times New Roman"/>
          <w:color w:val="000000"/>
          <w:sz w:val="32"/>
          <w:szCs w:val="32"/>
          <w:highlight w:val="none"/>
        </w:rPr>
        <w:t>）</w:t>
      </w:r>
      <w:r>
        <w:rPr>
          <w:rFonts w:hint="eastAsia" w:ascii="仿宋_GB2312" w:hAnsi="仿宋" w:eastAsia="仿宋_GB2312" w:cs="Times New Roman"/>
          <w:color w:val="000000"/>
          <w:sz w:val="32"/>
          <w:szCs w:val="32"/>
          <w:highlight w:val="none"/>
          <w:lang w:val="en-US" w:eastAsia="zh-CN"/>
        </w:rPr>
        <w:t>对于南山区政府指导或支持的</w:t>
      </w:r>
      <w:r>
        <w:rPr>
          <w:rFonts w:hint="eastAsia" w:ascii="仿宋_GB2312" w:hAnsi="仿宋" w:eastAsia="仿宋_GB2312" w:cs="仿宋"/>
          <w:color w:val="000000" w:themeColor="text1"/>
          <w:sz w:val="32"/>
          <w:szCs w:val="32"/>
          <w:highlight w:val="none"/>
          <w14:textFill>
            <w14:solidFill>
              <w14:schemeClr w14:val="tx1"/>
            </w14:solidFill>
          </w14:textFill>
        </w:rPr>
        <w:t>特色电竞产业活动</w:t>
      </w:r>
      <w:r>
        <w:rPr>
          <w:rFonts w:hint="eastAsia" w:ascii="仿宋_GB2312" w:hAnsi="仿宋" w:eastAsia="仿宋_GB2312" w:cs="仿宋"/>
          <w:color w:val="000000" w:themeColor="text1"/>
          <w:sz w:val="32"/>
          <w:szCs w:val="32"/>
          <w:highlight w:val="none"/>
          <w:lang w:eastAsia="zh-CN"/>
          <w14:textFill>
            <w14:solidFill>
              <w14:schemeClr w14:val="tx1"/>
            </w14:solidFill>
          </w14:textFill>
        </w:rPr>
        <w:t>，</w:t>
      </w: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给予每个活动最高不超过200万元资助；对于南山区文化广电旅游体育局指导或支持的特色电竞产业活动，给予每个活动最高不超过100万元资助。上述活动，</w:t>
      </w:r>
      <w:r>
        <w:rPr>
          <w:rFonts w:hint="eastAsia" w:ascii="仿宋_GB2312" w:hAnsi="仿宋" w:eastAsia="仿宋_GB2312" w:cs="仿宋"/>
          <w:color w:val="000000" w:themeColor="text1"/>
          <w:sz w:val="32"/>
          <w:szCs w:val="32"/>
          <w:highlight w:val="none"/>
          <w14:textFill>
            <w14:solidFill>
              <w14:schemeClr w14:val="tx1"/>
            </w14:solidFill>
          </w14:textFill>
        </w:rPr>
        <w:t>按照不超过实际发生费用50%的比例给予事后资助，每家单位每年资助金额最高不超过200万元。</w:t>
      </w:r>
    </w:p>
    <w:p w14:paraId="090BABEC">
      <w:pPr>
        <w:pStyle w:val="12"/>
        <w:tabs>
          <w:tab w:val="left" w:pos="0"/>
        </w:tabs>
        <w:spacing w:line="560" w:lineRule="exact"/>
        <w:ind w:firstLine="640"/>
        <w:rPr>
          <w:rFonts w:ascii="仿宋_GB2312" w:hAnsi="仿宋" w:eastAsia="仿宋_GB2312" w:cs="Times New Roman"/>
          <w:color w:val="000000"/>
          <w:sz w:val="32"/>
          <w:szCs w:val="32"/>
          <w:highlight w:val="none"/>
        </w:rPr>
      </w:pPr>
      <w:r>
        <w:rPr>
          <w:rFonts w:ascii="仿宋_GB2312" w:hAnsi="仿宋" w:eastAsia="仿宋_GB2312" w:cs="Times New Roman"/>
          <w:color w:val="000000"/>
          <w:sz w:val="32"/>
          <w:szCs w:val="32"/>
          <w:highlight w:val="none"/>
        </w:rPr>
        <w:t>3</w:t>
      </w:r>
      <w:r>
        <w:rPr>
          <w:rFonts w:hint="eastAsia" w:ascii="仿宋_GB2312" w:hAnsi="仿宋" w:eastAsia="仿宋_GB2312" w:cs="Times New Roman"/>
          <w:color w:val="000000"/>
          <w:sz w:val="32"/>
          <w:szCs w:val="32"/>
          <w:highlight w:val="none"/>
        </w:rPr>
        <w:t>）实际发生费用包括场地费、搭建费、</w:t>
      </w:r>
      <w:r>
        <w:rPr>
          <w:rFonts w:hint="eastAsia" w:ascii="仿宋_GB2312" w:hAnsi="仿宋" w:eastAsia="仿宋_GB2312" w:cs="Times New Roman"/>
          <w:color w:val="000000"/>
          <w:sz w:val="32"/>
          <w:szCs w:val="32"/>
          <w:highlight w:val="none"/>
          <w:lang w:val="en-US" w:eastAsia="zh-CN"/>
        </w:rPr>
        <w:t>策展费、</w:t>
      </w:r>
      <w:r>
        <w:rPr>
          <w:rFonts w:hint="eastAsia" w:ascii="仿宋_GB2312" w:hAnsi="仿宋" w:eastAsia="仿宋_GB2312" w:cs="Times New Roman"/>
          <w:color w:val="000000"/>
          <w:sz w:val="32"/>
          <w:szCs w:val="32"/>
          <w:highlight w:val="none"/>
        </w:rPr>
        <w:t>宣传推广费、安保费、其他临时人员劳务费等费用。场地费用限定在南山区。</w:t>
      </w:r>
    </w:p>
    <w:p w14:paraId="6F701A33">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lang w:eastAsia="zh-CN"/>
        </w:rPr>
        <w:t>五</w:t>
      </w:r>
      <w:r>
        <w:rPr>
          <w:rFonts w:hint="eastAsia" w:hAnsi="黑体" w:eastAsia="黑体"/>
          <w:color w:val="000000"/>
          <w:sz w:val="32"/>
          <w:szCs w:val="32"/>
        </w:rPr>
        <w:t>、资助方式</w:t>
      </w:r>
    </w:p>
    <w:p w14:paraId="7506067C">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 w:hAnsi="仿宋" w:eastAsia="仿宋"/>
          <w:sz w:val="32"/>
          <w:szCs w:val="32"/>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14:paraId="17D0025C">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default"/>
        </w:rPr>
      </w:pPr>
      <w:r>
        <w:rPr>
          <w:rFonts w:hint="eastAsia" w:ascii="仿宋" w:hAnsi="仿宋" w:eastAsia="仿宋"/>
          <w:sz w:val="32"/>
          <w:szCs w:val="32"/>
        </w:rPr>
        <w:t>本项资助受年度资金预算控制，区文化广电旅游体育局视申报情况和预算安排，可以对资助金额、支持比例和拨付进度等进行统一调整，申报主体应无条件同意调整结果。</w:t>
      </w:r>
    </w:p>
    <w:p w14:paraId="0F7FD9C1">
      <w:pPr>
        <w:pageBreakBefore w:val="0"/>
        <w:kinsoku/>
        <w:wordWrap/>
        <w:overflowPunct/>
        <w:topLinePunct w:val="0"/>
        <w:autoSpaceDE/>
        <w:autoSpaceDN/>
        <w:bidi w:val="0"/>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14:paraId="1D24BE9E">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12A27C1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14:paraId="6B65E22A">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39B0809B">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73044044">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33FC32A7">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3C1A08F7">
      <w:pPr>
        <w:spacing w:after="0" w:line="560" w:lineRule="exact"/>
        <w:ind w:firstLine="640" w:firstLineChars="200"/>
        <w:contextualSpacing/>
        <w:jc w:val="both"/>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10A20372">
      <w:pPr>
        <w:spacing w:after="0" w:line="560" w:lineRule="exact"/>
        <w:ind w:firstLine="640" w:firstLineChars="200"/>
        <w:contextualSpacing/>
        <w:jc w:val="both"/>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0B0946E3">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rPr>
      </w:pPr>
      <w:r>
        <w:rPr>
          <w:rFonts w:hint="eastAsia" w:hAnsi="黑体" w:eastAsia="黑体"/>
          <w:color w:val="000000"/>
          <w:sz w:val="32"/>
          <w:szCs w:val="32"/>
          <w:lang w:eastAsia="zh-CN"/>
        </w:rPr>
        <w:t>七</w:t>
      </w:r>
      <w:r>
        <w:rPr>
          <w:rFonts w:hint="eastAsia" w:hAnsi="黑体" w:eastAsia="黑体"/>
          <w:color w:val="000000"/>
          <w:sz w:val="32"/>
          <w:szCs w:val="32"/>
        </w:rPr>
        <w:t>、所需材料</w:t>
      </w:r>
    </w:p>
    <w:p w14:paraId="0966F0DB">
      <w:pPr>
        <w:adjustRightInd w:val="0"/>
        <w:snapToGrid w:val="0"/>
        <w:spacing w:line="560" w:lineRule="exact"/>
        <w:ind w:firstLine="656" w:firstLineChars="200"/>
        <w:rPr>
          <w:rFonts w:hint="eastAsia" w:ascii="仿宋_GB2312" w:hAnsi="宋体" w:eastAsia="仿宋_GB2312" w:cs="宋体"/>
          <w:color w:val="000000" w:themeColor="text1"/>
          <w:spacing w:val="4"/>
          <w:kern w:val="0"/>
          <w:sz w:val="32"/>
          <w:szCs w:val="32"/>
          <w:highlight w:val="none"/>
          <w:lang w:eastAsia="zh-CN"/>
          <w14:textFill>
            <w14:solidFill>
              <w14:schemeClr w14:val="tx1"/>
            </w14:solidFill>
          </w14:textFill>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w:t>
      </w:r>
      <w:r>
        <w:rPr>
          <w:rFonts w:hint="eastAsia" w:ascii="仿宋_GB2312" w:hAnsi="仿宋" w:eastAsia="仿宋_GB2312" w:cs="仿宋"/>
          <w:bCs/>
          <w:color w:val="000000" w:themeColor="text1"/>
          <w:sz w:val="32"/>
          <w:highlight w:val="none"/>
          <w14:textFill>
            <w14:solidFill>
              <w14:schemeClr w14:val="tx1"/>
            </w14:solidFill>
          </w14:textFill>
        </w:rPr>
        <w:t>支持举办电竞</w:t>
      </w:r>
      <w:r>
        <w:rPr>
          <w:rFonts w:hint="eastAsia" w:ascii="仿宋_GB2312" w:hAnsi="仿宋" w:eastAsia="仿宋_GB2312" w:cs="仿宋"/>
          <w:bCs/>
          <w:color w:val="000000" w:themeColor="text1"/>
          <w:sz w:val="32"/>
          <w:highlight w:val="none"/>
          <w:lang w:val="en-US" w:eastAsia="zh-CN"/>
          <w14:textFill>
            <w14:solidFill>
              <w14:schemeClr w14:val="tx1"/>
            </w14:solidFill>
          </w14:textFill>
        </w:rPr>
        <w:t>产业活动</w:t>
      </w:r>
      <w:r>
        <w:rPr>
          <w:rFonts w:hint="eastAsia" w:ascii="仿宋_GB2312" w:hAnsi="仿宋" w:eastAsia="仿宋_GB2312" w:cs="仿宋"/>
          <w:bCs/>
          <w:color w:val="000000" w:themeColor="text1"/>
          <w:sz w:val="32"/>
          <w:highlight w:val="none"/>
          <w14:textFill>
            <w14:solidFill>
              <w14:schemeClr w14:val="tx1"/>
            </w14:solidFill>
          </w14:textFill>
        </w:rPr>
        <w:t>项目</w:t>
      </w:r>
      <w: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t>》申请书</w:t>
      </w:r>
      <w:r>
        <w:rPr>
          <w:rFonts w:hint="eastAsia" w:ascii="仿宋_GB2312" w:hAnsi="宋体" w:eastAsia="仿宋_GB2312" w:cs="宋体"/>
          <w:color w:val="000000" w:themeColor="text1"/>
          <w:spacing w:val="4"/>
          <w:kern w:val="0"/>
          <w:sz w:val="32"/>
          <w:szCs w:val="32"/>
          <w:highlight w:val="none"/>
          <w:lang w:eastAsia="zh-CN"/>
          <w14:textFill>
            <w14:solidFill>
              <w14:schemeClr w14:val="tx1"/>
            </w14:solidFill>
          </w14:textFill>
        </w:rPr>
        <w:t>。</w:t>
      </w:r>
    </w:p>
    <w:p w14:paraId="62E5DA40">
      <w:pPr>
        <w:adjustRightInd w:val="0"/>
        <w:snapToGrid w:val="0"/>
        <w:spacing w:line="560" w:lineRule="exact"/>
        <w:ind w:firstLine="656" w:firstLineChars="200"/>
        <w:rPr>
          <w:rFonts w:hint="eastAsia" w:ascii="仿宋_GB2312" w:hAnsi="宋体" w:eastAsia="仿宋_GB2312" w:cs="宋体"/>
          <w:color w:val="000000" w:themeColor="text1"/>
          <w:spacing w:val="4"/>
          <w:kern w:val="0"/>
          <w:sz w:val="32"/>
          <w:szCs w:val="32"/>
          <w:highlight w:val="none"/>
          <w14:textFill>
            <w14:solidFill>
              <w14:schemeClr w14:val="tx1"/>
            </w14:solidFill>
          </w14:textFill>
        </w:rPr>
      </w:pPr>
      <w: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t>①申请类别为</w:t>
      </w:r>
      <w:r>
        <w:rPr>
          <w:rFonts w:hint="eastAsia" w:ascii="仿宋_GB2312" w:hAnsi="仿宋" w:eastAsia="仿宋_GB2312" w:cs="仿宋"/>
          <w:color w:val="000000" w:themeColor="text1"/>
          <w:sz w:val="32"/>
          <w:szCs w:val="32"/>
          <w:highlight w:val="none"/>
          <w14:textFill>
            <w14:solidFill>
              <w14:schemeClr w14:val="tx1"/>
            </w14:solidFill>
          </w14:textFill>
        </w:rPr>
        <w:t>承办政府主办的重大电竞产业活动</w:t>
      </w:r>
      <w:r>
        <w:rPr>
          <w:rFonts w:hint="eastAsia" w:ascii="仿宋_GB2312" w:hAnsi="仿宋" w:eastAsia="仿宋_GB2312" w:cs="仿宋"/>
          <w:bCs/>
          <w:color w:val="000000" w:themeColor="text1"/>
          <w:sz w:val="32"/>
          <w:highlight w:val="none"/>
          <w14:textFill>
            <w14:solidFill>
              <w14:schemeClr w14:val="tx1"/>
            </w14:solidFill>
          </w14:textFill>
        </w:rPr>
        <w:t>，需</w:t>
      </w:r>
      <w: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t>提供以下资料：</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4590"/>
        <w:gridCol w:w="1185"/>
        <w:gridCol w:w="1674"/>
      </w:tblGrid>
      <w:tr w14:paraId="5BD9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22A89FCE">
            <w:pPr>
              <w:jc w:val="center"/>
              <w:rPr>
                <w:rFonts w:ascii="楷体" w:hAnsi="楷体" w:eastAsia="楷体"/>
                <w:b/>
                <w:bCs/>
                <w:sz w:val="24"/>
              </w:rPr>
            </w:pPr>
            <w:r>
              <w:rPr>
                <w:rFonts w:hint="eastAsia" w:ascii="楷体" w:hAnsi="楷体" w:eastAsia="楷体"/>
                <w:b/>
                <w:bCs/>
                <w:sz w:val="24"/>
              </w:rPr>
              <w:t>序号</w:t>
            </w:r>
          </w:p>
        </w:tc>
        <w:tc>
          <w:tcPr>
            <w:tcW w:w="4590" w:type="dxa"/>
            <w:vAlign w:val="center"/>
          </w:tcPr>
          <w:p w14:paraId="6BB0B1BA">
            <w:pPr>
              <w:jc w:val="center"/>
              <w:rPr>
                <w:rFonts w:ascii="楷体" w:hAnsi="楷体" w:eastAsia="楷体"/>
                <w:b/>
                <w:bCs/>
                <w:sz w:val="24"/>
              </w:rPr>
            </w:pPr>
            <w:r>
              <w:rPr>
                <w:rFonts w:hint="eastAsia" w:ascii="楷体" w:hAnsi="楷体" w:eastAsia="楷体"/>
                <w:b/>
                <w:bCs/>
                <w:sz w:val="24"/>
              </w:rPr>
              <w:t>附件名称</w:t>
            </w:r>
          </w:p>
        </w:tc>
        <w:tc>
          <w:tcPr>
            <w:tcW w:w="1185" w:type="dxa"/>
            <w:vAlign w:val="center"/>
          </w:tcPr>
          <w:p w14:paraId="2CC0771A">
            <w:pPr>
              <w:jc w:val="center"/>
              <w:rPr>
                <w:rFonts w:ascii="楷体" w:hAnsi="楷体" w:eastAsia="楷体"/>
                <w:b/>
                <w:bCs/>
                <w:sz w:val="24"/>
              </w:rPr>
            </w:pPr>
            <w:r>
              <w:rPr>
                <w:rFonts w:hint="eastAsia" w:ascii="楷体" w:hAnsi="楷体" w:eastAsia="楷体"/>
                <w:b/>
                <w:bCs/>
                <w:sz w:val="24"/>
              </w:rPr>
              <w:t>是否必备材料</w:t>
            </w:r>
          </w:p>
        </w:tc>
        <w:tc>
          <w:tcPr>
            <w:tcW w:w="1674" w:type="dxa"/>
            <w:vAlign w:val="center"/>
          </w:tcPr>
          <w:p w14:paraId="018359BC">
            <w:pPr>
              <w:jc w:val="center"/>
              <w:rPr>
                <w:rFonts w:hint="eastAsia" w:ascii="楷体" w:hAnsi="楷体" w:eastAsia="楷体"/>
                <w:b/>
                <w:bCs/>
                <w:sz w:val="24"/>
              </w:rPr>
            </w:pPr>
            <w:r>
              <w:rPr>
                <w:rFonts w:hint="eastAsia" w:ascii="楷体" w:hAnsi="楷体" w:eastAsia="楷体"/>
                <w:b/>
                <w:bCs/>
                <w:sz w:val="24"/>
              </w:rPr>
              <w:t>网上提交资料要求</w:t>
            </w:r>
          </w:p>
        </w:tc>
      </w:tr>
      <w:tr w14:paraId="5926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6F9647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590" w:type="dxa"/>
            <w:vAlign w:val="center"/>
          </w:tcPr>
          <w:p w14:paraId="167970D7">
            <w:pPr>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《南山区促进产业高质量发展专项资金—区文化广电旅游体育局分项资金-支持举办电竞产业活动项目》</w:t>
            </w:r>
            <w:r>
              <w:rPr>
                <w:rFonts w:hint="eastAsia" w:ascii="宋体" w:hAnsi="宋体" w:eastAsia="宋体" w:cs="宋体"/>
                <w:color w:val="auto"/>
                <w:sz w:val="21"/>
                <w:szCs w:val="21"/>
                <w:highlight w:val="none"/>
                <w:lang w:val="en-US" w:eastAsia="zh-CN"/>
              </w:rPr>
              <w:t>申请书</w:t>
            </w:r>
          </w:p>
        </w:tc>
        <w:tc>
          <w:tcPr>
            <w:tcW w:w="1185" w:type="dxa"/>
            <w:vAlign w:val="center"/>
          </w:tcPr>
          <w:p w14:paraId="64D19C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74A331E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法定代表人签字并加盖单位公章后，原件彩色扫描成PDF文件上传</w:t>
            </w:r>
          </w:p>
        </w:tc>
      </w:tr>
      <w:tr w14:paraId="1B52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2077766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590" w:type="dxa"/>
            <w:vAlign w:val="center"/>
          </w:tcPr>
          <w:p w14:paraId="6F48B87F">
            <w:pPr>
              <w:jc w:val="left"/>
              <w:rPr>
                <w:rFonts w:hint="eastAsia" w:ascii="宋体" w:hAnsi="宋体" w:eastAsia="宋体" w:cs="宋体"/>
                <w:color w:val="auto"/>
                <w:sz w:val="21"/>
                <w:szCs w:val="21"/>
                <w:highlight w:val="none"/>
              </w:rPr>
            </w:pPr>
            <w:r>
              <w:rPr>
                <w:rFonts w:hint="eastAsia"/>
                <w:color w:val="000000" w:themeColor="text1"/>
                <w:highlight w:val="none"/>
                <w14:textFill>
                  <w14:solidFill>
                    <w14:schemeClr w14:val="tx1"/>
                  </w14:solidFill>
                </w14:textFill>
              </w:rPr>
              <w:t>统一社会信用代码证书（新版“三证合一”营业执照、事业单位提交新版“三证合一”法人证书；未换领“三证合一”新版营业执照的，提交原旧版营业执照、组织机构代码证书、税务登记证书）</w:t>
            </w:r>
          </w:p>
        </w:tc>
        <w:tc>
          <w:tcPr>
            <w:tcW w:w="1185" w:type="dxa"/>
            <w:vAlign w:val="center"/>
          </w:tcPr>
          <w:p w14:paraId="1622012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43A5533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原件（或复印件加盖单位公章）彩色扫描成PDF文件上传</w:t>
            </w:r>
          </w:p>
        </w:tc>
      </w:tr>
      <w:tr w14:paraId="3383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2FFAC4C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590" w:type="dxa"/>
            <w:vAlign w:val="center"/>
          </w:tcPr>
          <w:p w14:paraId="1AFF72C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w:t>
            </w:r>
          </w:p>
        </w:tc>
        <w:tc>
          <w:tcPr>
            <w:tcW w:w="1185" w:type="dxa"/>
            <w:vAlign w:val="center"/>
          </w:tcPr>
          <w:p w14:paraId="230521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3B88E69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原件（或复印件加盖单位公章）彩色扫描成PDF文件上传</w:t>
            </w:r>
          </w:p>
        </w:tc>
      </w:tr>
      <w:tr w14:paraId="4C077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4FE46E7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4590" w:type="dxa"/>
            <w:vAlign w:val="center"/>
          </w:tcPr>
          <w:p w14:paraId="492A0D8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申报主体由税务部门开具的单位上年度</w:t>
            </w:r>
            <w:r>
              <w:rPr>
                <w:rFonts w:hint="eastAsia" w:ascii="宋体" w:hAnsi="宋体" w:cs="宋体"/>
                <w:color w:val="auto"/>
                <w:sz w:val="21"/>
                <w:szCs w:val="21"/>
                <w:highlight w:val="none"/>
                <w:lang w:val="en-US" w:eastAsia="zh-CN"/>
              </w:rPr>
              <w:t>完税</w:t>
            </w:r>
            <w:r>
              <w:rPr>
                <w:rFonts w:hint="eastAsia" w:ascii="宋体" w:hAnsi="宋体" w:eastAsia="宋体" w:cs="宋体"/>
                <w:color w:val="auto"/>
                <w:sz w:val="21"/>
                <w:szCs w:val="21"/>
                <w:highlight w:val="none"/>
              </w:rPr>
              <w:t>证明，事业单位除外</w:t>
            </w:r>
          </w:p>
        </w:tc>
        <w:tc>
          <w:tcPr>
            <w:tcW w:w="1185" w:type="dxa"/>
            <w:vAlign w:val="center"/>
          </w:tcPr>
          <w:p w14:paraId="485E618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46B37636">
            <w:pPr>
              <w:jc w:val="left"/>
              <w:rPr>
                <w:rFonts w:hint="default" w:ascii="宋体" w:hAnsi="宋体" w:eastAsia="宋体" w:cs="宋体"/>
                <w:color w:val="auto"/>
                <w:sz w:val="21"/>
                <w:szCs w:val="21"/>
                <w:highlight w:val="none"/>
                <w:lang w:val="en"/>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14:paraId="5D3EB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23F0FF05">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rPr>
              <w:t>5</w:t>
            </w:r>
          </w:p>
        </w:tc>
        <w:tc>
          <w:tcPr>
            <w:tcW w:w="4590" w:type="dxa"/>
            <w:vAlign w:val="center"/>
          </w:tcPr>
          <w:p w14:paraId="28B3E2A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南山区委托行业协会/专业机构/企业承办重大电竞产业活动的证明材料。包括委托合同等</w:t>
            </w:r>
          </w:p>
        </w:tc>
        <w:tc>
          <w:tcPr>
            <w:tcW w:w="1185" w:type="dxa"/>
            <w:vAlign w:val="center"/>
          </w:tcPr>
          <w:p w14:paraId="78B32400">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是</w:t>
            </w:r>
          </w:p>
        </w:tc>
        <w:tc>
          <w:tcPr>
            <w:tcW w:w="1674" w:type="dxa"/>
            <w:vMerge w:val="restart"/>
            <w:vAlign w:val="center"/>
          </w:tcPr>
          <w:p w14:paraId="5E09564E">
            <w:pPr>
              <w:jc w:val="center"/>
              <w:rPr>
                <w:rFonts w:hint="eastAsia"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770B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45B49BF7">
            <w:pPr>
              <w:jc w:val="cente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6</w:t>
            </w:r>
          </w:p>
        </w:tc>
        <w:tc>
          <w:tcPr>
            <w:tcW w:w="4590" w:type="dxa"/>
            <w:vAlign w:val="center"/>
          </w:tcPr>
          <w:p w14:paraId="6A3C16F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审核部门认为需要提供的其</w:t>
            </w:r>
            <w:r>
              <w:rPr>
                <w:rFonts w:hint="eastAsia" w:ascii="宋体" w:hAnsi="宋体" w:cs="宋体"/>
                <w:color w:val="auto"/>
                <w:sz w:val="21"/>
                <w:szCs w:val="21"/>
                <w:highlight w:val="none"/>
                <w:lang w:eastAsia="zh-CN"/>
              </w:rPr>
              <w:t>他</w:t>
            </w:r>
            <w:r>
              <w:rPr>
                <w:rFonts w:hint="eastAsia" w:ascii="宋体" w:hAnsi="宋体" w:eastAsia="宋体" w:cs="宋体"/>
                <w:color w:val="auto"/>
                <w:sz w:val="21"/>
                <w:szCs w:val="21"/>
                <w:highlight w:val="none"/>
              </w:rPr>
              <w:t>材料</w:t>
            </w:r>
          </w:p>
        </w:tc>
        <w:tc>
          <w:tcPr>
            <w:tcW w:w="1185" w:type="dxa"/>
            <w:vAlign w:val="center"/>
          </w:tcPr>
          <w:p w14:paraId="25238BF9">
            <w:pPr>
              <w:jc w:val="center"/>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否</w:t>
            </w:r>
          </w:p>
        </w:tc>
        <w:tc>
          <w:tcPr>
            <w:tcW w:w="1674" w:type="dxa"/>
            <w:vMerge w:val="continue"/>
            <w:vAlign w:val="center"/>
          </w:tcPr>
          <w:p w14:paraId="5E2A121F">
            <w:pPr>
              <w:jc w:val="center"/>
              <w:rPr>
                <w:rFonts w:hint="eastAsia" w:ascii="楷体" w:hAnsi="楷体" w:eastAsia="楷体"/>
                <w:sz w:val="24"/>
              </w:rPr>
            </w:pPr>
          </w:p>
        </w:tc>
      </w:tr>
    </w:tbl>
    <w:p w14:paraId="653B28C7">
      <w:pPr>
        <w:adjustRightInd w:val="0"/>
        <w:snapToGrid w:val="0"/>
        <w:spacing w:line="560" w:lineRule="exact"/>
        <w:ind w:firstLine="656" w:firstLineChars="200"/>
        <w:rPr>
          <w:rFonts w:hint="eastAsia" w:ascii="仿宋_GB2312" w:hAnsi="宋体" w:eastAsia="仿宋_GB2312" w:cs="宋体"/>
          <w:color w:val="000000" w:themeColor="text1"/>
          <w:spacing w:val="4"/>
          <w:kern w:val="0"/>
          <w:sz w:val="32"/>
          <w:szCs w:val="32"/>
          <w:highlight w:val="none"/>
          <w14:textFill>
            <w14:solidFill>
              <w14:schemeClr w14:val="tx1"/>
            </w14:solidFill>
          </w14:textFill>
        </w:rPr>
      </w:pPr>
    </w:p>
    <w:p w14:paraId="4D677F4A">
      <w:pPr>
        <w:adjustRightInd w:val="0"/>
        <w:snapToGrid w:val="0"/>
        <w:spacing w:line="560" w:lineRule="exact"/>
        <w:ind w:firstLine="656" w:firstLineChars="200"/>
        <w:rPr>
          <w:rFonts w:hint="eastAsia" w:ascii="仿宋_GB2312" w:hAnsi="宋体" w:eastAsia="仿宋_GB2312" w:cs="宋体"/>
          <w:spacing w:val="4"/>
          <w:kern w:val="0"/>
          <w:sz w:val="32"/>
          <w:szCs w:val="32"/>
          <w:lang w:eastAsia="zh-CN"/>
        </w:rPr>
      </w:pPr>
      <w: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t>②申请类别为</w:t>
      </w:r>
      <w:r>
        <w:rPr>
          <w:rFonts w:hint="eastAsia" w:ascii="仿宋_GB2312" w:hAnsi="仿宋" w:eastAsia="仿宋_GB2312" w:cs="仿宋"/>
          <w:color w:val="000000" w:themeColor="text1"/>
          <w:sz w:val="32"/>
          <w:szCs w:val="32"/>
          <w:highlight w:val="none"/>
          <w14:textFill>
            <w14:solidFill>
              <w14:schemeClr w14:val="tx1"/>
            </w14:solidFill>
          </w14:textFill>
        </w:rPr>
        <w:t>举办特色电竞产业活动</w:t>
      </w:r>
      <w:r>
        <w:rPr>
          <w:rFonts w:hint="eastAsia" w:ascii="仿宋_GB2312" w:hAnsi="仿宋" w:eastAsia="仿宋_GB2312" w:cs="仿宋"/>
          <w:bCs/>
          <w:color w:val="000000" w:themeColor="text1"/>
          <w:sz w:val="32"/>
          <w:highlight w:val="none"/>
          <w14:textFill>
            <w14:solidFill>
              <w14:schemeClr w14:val="tx1"/>
            </w14:solidFill>
          </w14:textFill>
        </w:rPr>
        <w:t>，需</w:t>
      </w:r>
      <w:r>
        <w:rPr>
          <w:rFonts w:hint="eastAsia" w:ascii="仿宋_GB2312" w:hAnsi="宋体" w:eastAsia="仿宋_GB2312" w:cs="宋体"/>
          <w:color w:val="000000" w:themeColor="text1"/>
          <w:spacing w:val="4"/>
          <w:kern w:val="0"/>
          <w:sz w:val="32"/>
          <w:szCs w:val="32"/>
          <w:highlight w:val="none"/>
          <w14:textFill>
            <w14:solidFill>
              <w14:schemeClr w14:val="tx1"/>
            </w14:solidFill>
          </w14:textFill>
        </w:rPr>
        <w:t>提供以下资料：</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4590"/>
        <w:gridCol w:w="1185"/>
        <w:gridCol w:w="1674"/>
      </w:tblGrid>
      <w:tr w14:paraId="7008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0346BB9C">
            <w:pPr>
              <w:jc w:val="center"/>
              <w:rPr>
                <w:rFonts w:ascii="楷体" w:hAnsi="楷体" w:eastAsia="楷体"/>
                <w:b/>
                <w:bCs/>
                <w:sz w:val="24"/>
              </w:rPr>
            </w:pPr>
            <w:r>
              <w:rPr>
                <w:rFonts w:hint="eastAsia" w:ascii="楷体" w:hAnsi="楷体" w:eastAsia="楷体"/>
                <w:b/>
                <w:bCs/>
                <w:sz w:val="24"/>
              </w:rPr>
              <w:t>序号</w:t>
            </w:r>
          </w:p>
        </w:tc>
        <w:tc>
          <w:tcPr>
            <w:tcW w:w="4590" w:type="dxa"/>
            <w:vAlign w:val="center"/>
          </w:tcPr>
          <w:p w14:paraId="11172657">
            <w:pPr>
              <w:jc w:val="center"/>
              <w:rPr>
                <w:rFonts w:ascii="楷体" w:hAnsi="楷体" w:eastAsia="楷体"/>
                <w:b/>
                <w:bCs/>
                <w:sz w:val="24"/>
              </w:rPr>
            </w:pPr>
            <w:r>
              <w:rPr>
                <w:rFonts w:hint="eastAsia" w:ascii="楷体" w:hAnsi="楷体" w:eastAsia="楷体"/>
                <w:b/>
                <w:bCs/>
                <w:sz w:val="24"/>
              </w:rPr>
              <w:t>附件名称</w:t>
            </w:r>
          </w:p>
        </w:tc>
        <w:tc>
          <w:tcPr>
            <w:tcW w:w="1185" w:type="dxa"/>
            <w:vAlign w:val="center"/>
          </w:tcPr>
          <w:p w14:paraId="6396B5E1">
            <w:pPr>
              <w:jc w:val="center"/>
              <w:rPr>
                <w:rFonts w:ascii="楷体" w:hAnsi="楷体" w:eastAsia="楷体"/>
                <w:b/>
                <w:bCs/>
                <w:sz w:val="24"/>
              </w:rPr>
            </w:pPr>
            <w:r>
              <w:rPr>
                <w:rFonts w:hint="eastAsia" w:ascii="楷体" w:hAnsi="楷体" w:eastAsia="楷体"/>
                <w:b/>
                <w:bCs/>
                <w:sz w:val="24"/>
              </w:rPr>
              <w:t>是否必备材料</w:t>
            </w:r>
          </w:p>
        </w:tc>
        <w:tc>
          <w:tcPr>
            <w:tcW w:w="1674" w:type="dxa"/>
            <w:vAlign w:val="center"/>
          </w:tcPr>
          <w:p w14:paraId="093ACCAF">
            <w:pPr>
              <w:jc w:val="center"/>
              <w:rPr>
                <w:rFonts w:hint="eastAsia" w:ascii="楷体" w:hAnsi="楷体" w:eastAsia="楷体"/>
                <w:b/>
                <w:bCs/>
                <w:sz w:val="24"/>
              </w:rPr>
            </w:pPr>
            <w:r>
              <w:rPr>
                <w:rFonts w:hint="eastAsia" w:ascii="楷体" w:hAnsi="楷体" w:eastAsia="楷体"/>
                <w:b/>
                <w:bCs/>
                <w:sz w:val="24"/>
              </w:rPr>
              <w:t>网上提交资料要求</w:t>
            </w:r>
          </w:p>
        </w:tc>
      </w:tr>
      <w:tr w14:paraId="1038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45BF37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590" w:type="dxa"/>
            <w:vAlign w:val="center"/>
          </w:tcPr>
          <w:p w14:paraId="2236212D">
            <w:pPr>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《南山区促进产业高质量发展专项资金—区文化广电旅游体育局分项资金-支持举办电竞产业活动项目》</w:t>
            </w:r>
            <w:r>
              <w:rPr>
                <w:rFonts w:hint="eastAsia" w:ascii="宋体" w:hAnsi="宋体" w:cs="宋体"/>
                <w:color w:val="auto"/>
                <w:sz w:val="21"/>
                <w:szCs w:val="21"/>
                <w:highlight w:val="none"/>
                <w:lang w:val="en-US" w:eastAsia="zh-CN"/>
              </w:rPr>
              <w:t>申请书</w:t>
            </w:r>
          </w:p>
        </w:tc>
        <w:tc>
          <w:tcPr>
            <w:tcW w:w="1185" w:type="dxa"/>
            <w:vAlign w:val="center"/>
          </w:tcPr>
          <w:p w14:paraId="12774E9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64FB652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法定代表人签字并加盖单位公章后，原件彩色扫描成PDF文件上传</w:t>
            </w:r>
          </w:p>
        </w:tc>
      </w:tr>
      <w:tr w14:paraId="1043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2062EEF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590" w:type="dxa"/>
            <w:vAlign w:val="center"/>
          </w:tcPr>
          <w:p w14:paraId="184B6DD3">
            <w:pPr>
              <w:jc w:val="left"/>
              <w:rPr>
                <w:rFonts w:hint="eastAsia" w:ascii="宋体" w:hAnsi="宋体" w:eastAsia="宋体" w:cs="宋体"/>
                <w:color w:val="auto"/>
                <w:sz w:val="21"/>
                <w:szCs w:val="21"/>
                <w:highlight w:val="none"/>
              </w:rPr>
            </w:pPr>
            <w:r>
              <w:rPr>
                <w:rFonts w:hint="eastAsia"/>
                <w:color w:val="000000" w:themeColor="text1"/>
                <w:highlight w:val="none"/>
                <w14:textFill>
                  <w14:solidFill>
                    <w14:schemeClr w14:val="tx1"/>
                  </w14:solidFill>
                </w14:textFill>
              </w:rPr>
              <w:t>统一社会信用代码证书（新版“三证合一”营业执照、事业单位提交新版“三证合一”法人证书；未换领“三证合一”新版营业执照的，提交原旧版营业执照、组织机构代码证书、税务登记证书）</w:t>
            </w:r>
          </w:p>
        </w:tc>
        <w:tc>
          <w:tcPr>
            <w:tcW w:w="1185" w:type="dxa"/>
            <w:vAlign w:val="center"/>
          </w:tcPr>
          <w:p w14:paraId="5A6612B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38C543E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原件（或复印件加盖单位公章）彩色扫描成PDF文件上传</w:t>
            </w:r>
          </w:p>
        </w:tc>
      </w:tr>
      <w:tr w14:paraId="7DCE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2D4794C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590" w:type="dxa"/>
            <w:vAlign w:val="center"/>
          </w:tcPr>
          <w:p w14:paraId="4EE7CE2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w:t>
            </w:r>
          </w:p>
        </w:tc>
        <w:tc>
          <w:tcPr>
            <w:tcW w:w="1185" w:type="dxa"/>
            <w:vAlign w:val="center"/>
          </w:tcPr>
          <w:p w14:paraId="454911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5BF7AEE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原件（或复印件加盖单位公章）彩色扫描成PDF文件上传</w:t>
            </w:r>
          </w:p>
        </w:tc>
      </w:tr>
      <w:tr w14:paraId="3920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249270F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4590" w:type="dxa"/>
            <w:vAlign w:val="center"/>
          </w:tcPr>
          <w:p w14:paraId="0E56A79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申报主体由税务部门开具的单位上年度</w:t>
            </w:r>
            <w:r>
              <w:rPr>
                <w:rFonts w:hint="eastAsia" w:ascii="宋体" w:hAnsi="宋体" w:cs="宋体"/>
                <w:color w:val="auto"/>
                <w:sz w:val="21"/>
                <w:szCs w:val="21"/>
                <w:highlight w:val="none"/>
                <w:lang w:val="en-US" w:eastAsia="zh-CN"/>
              </w:rPr>
              <w:t>完税</w:t>
            </w:r>
            <w:r>
              <w:rPr>
                <w:rFonts w:hint="eastAsia" w:ascii="宋体" w:hAnsi="宋体" w:eastAsia="宋体" w:cs="宋体"/>
                <w:color w:val="auto"/>
                <w:sz w:val="21"/>
                <w:szCs w:val="21"/>
                <w:highlight w:val="none"/>
              </w:rPr>
              <w:t>证明，事业单位除外</w:t>
            </w:r>
          </w:p>
        </w:tc>
        <w:tc>
          <w:tcPr>
            <w:tcW w:w="1185" w:type="dxa"/>
            <w:vAlign w:val="center"/>
          </w:tcPr>
          <w:p w14:paraId="605A8C0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Align w:val="center"/>
          </w:tcPr>
          <w:p w14:paraId="3DCF34BC">
            <w:pPr>
              <w:jc w:val="left"/>
              <w:rPr>
                <w:rFonts w:hint="default" w:ascii="宋体" w:hAnsi="宋体" w:eastAsia="宋体" w:cs="宋体"/>
                <w:color w:val="auto"/>
                <w:sz w:val="21"/>
                <w:szCs w:val="21"/>
                <w:highlight w:val="none"/>
                <w:lang w:val="en"/>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14:paraId="74B8D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4982689A">
            <w:pPr>
              <w:jc w:val="center"/>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val="en-US"/>
              </w:rPr>
              <w:t>5</w:t>
            </w:r>
          </w:p>
        </w:tc>
        <w:tc>
          <w:tcPr>
            <w:tcW w:w="4590" w:type="dxa"/>
            <w:vAlign w:val="center"/>
          </w:tcPr>
          <w:p w14:paraId="12342F5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活动与电竞</w:t>
            </w:r>
            <w:r>
              <w:rPr>
                <w:rFonts w:hint="eastAsia" w:ascii="宋体" w:hAnsi="宋体" w:eastAsia="宋体" w:cs="宋体"/>
                <w:color w:val="auto"/>
                <w:sz w:val="21"/>
                <w:szCs w:val="21"/>
                <w:highlight w:val="none"/>
              </w:rPr>
              <w:t>产业直接相关的证明材料；</w:t>
            </w:r>
          </w:p>
        </w:tc>
        <w:tc>
          <w:tcPr>
            <w:tcW w:w="1185" w:type="dxa"/>
            <w:vAlign w:val="center"/>
          </w:tcPr>
          <w:p w14:paraId="583DED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Merge w:val="restart"/>
            <w:vAlign w:val="center"/>
          </w:tcPr>
          <w:p w14:paraId="674C7E3C">
            <w:pPr>
              <w:jc w:val="center"/>
              <w:rPr>
                <w:rFonts w:hint="eastAsia"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7BE5B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7AD14B76">
            <w:pPr>
              <w:jc w:val="center"/>
              <w:rPr>
                <w:rFonts w:hint="default" w:ascii="宋体" w:hAnsi="宋体" w:eastAsia="宋体" w:cs="宋体"/>
                <w:color w:val="auto"/>
                <w:sz w:val="21"/>
                <w:szCs w:val="21"/>
                <w:highlight w:val="none"/>
                <w:lang w:val="en-US"/>
              </w:rPr>
            </w:pPr>
            <w:r>
              <w:rPr>
                <w:rFonts w:hint="eastAsia" w:ascii="宋体" w:hAnsi="宋体" w:cs="宋体"/>
                <w:color w:val="auto"/>
                <w:sz w:val="21"/>
                <w:szCs w:val="21"/>
                <w:highlight w:val="none"/>
                <w:lang w:val="en-US" w:eastAsia="zh-CN"/>
              </w:rPr>
              <w:t>6</w:t>
            </w:r>
          </w:p>
        </w:tc>
        <w:tc>
          <w:tcPr>
            <w:tcW w:w="4590" w:type="dxa"/>
            <w:vAlign w:val="center"/>
          </w:tcPr>
          <w:p w14:paraId="3B32C0E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参加</w:t>
            </w:r>
            <w:r>
              <w:rPr>
                <w:rFonts w:hint="eastAsia" w:ascii="宋体" w:hAnsi="宋体" w:eastAsia="宋体" w:cs="宋体"/>
                <w:color w:val="auto"/>
                <w:sz w:val="21"/>
                <w:szCs w:val="21"/>
                <w:highlight w:val="none"/>
                <w:lang w:val="en-US" w:eastAsia="zh-CN"/>
              </w:rPr>
              <w:t>活动</w:t>
            </w:r>
            <w:r>
              <w:rPr>
                <w:rFonts w:hint="eastAsia" w:ascii="宋体" w:hAnsi="宋体" w:eastAsia="宋体" w:cs="宋体"/>
                <w:color w:val="auto"/>
                <w:sz w:val="21"/>
                <w:szCs w:val="21"/>
                <w:highlight w:val="none"/>
              </w:rPr>
              <w:t>的企事业单位不少于50家的证明材料</w:t>
            </w:r>
            <w:r>
              <w:rPr>
                <w:rFonts w:hint="eastAsia" w:ascii="宋体" w:hAnsi="宋体" w:eastAsia="宋体" w:cs="宋体"/>
                <w:color w:val="auto"/>
                <w:sz w:val="21"/>
                <w:szCs w:val="21"/>
                <w:highlight w:val="none"/>
                <w:lang w:val="en-US" w:eastAsia="zh-CN"/>
              </w:rPr>
              <w:t>和</w:t>
            </w:r>
            <w:r>
              <w:rPr>
                <w:rFonts w:hint="eastAsia" w:ascii="宋体" w:hAnsi="宋体" w:eastAsia="宋体" w:cs="宋体"/>
                <w:color w:val="auto"/>
                <w:sz w:val="21"/>
                <w:szCs w:val="21"/>
                <w:highlight w:val="none"/>
              </w:rPr>
              <w:t>参加论坛的线上线下嘉宾总数不低于100人的证明材料</w:t>
            </w:r>
          </w:p>
        </w:tc>
        <w:tc>
          <w:tcPr>
            <w:tcW w:w="1185" w:type="dxa"/>
            <w:vAlign w:val="center"/>
          </w:tcPr>
          <w:p w14:paraId="2C2E4AB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674" w:type="dxa"/>
            <w:vMerge w:val="continue"/>
            <w:vAlign w:val="center"/>
          </w:tcPr>
          <w:p w14:paraId="22A1E3C9">
            <w:pPr>
              <w:jc w:val="center"/>
              <w:rPr>
                <w:rFonts w:hint="eastAsia" w:ascii="楷体" w:hAnsi="楷体" w:eastAsia="楷体"/>
                <w:sz w:val="24"/>
              </w:rPr>
            </w:pPr>
          </w:p>
        </w:tc>
      </w:tr>
      <w:tr w14:paraId="265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56CDCFB6">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p>
        </w:tc>
        <w:tc>
          <w:tcPr>
            <w:tcW w:w="4590" w:type="dxa"/>
            <w:vAlign w:val="center"/>
          </w:tcPr>
          <w:p w14:paraId="32F39F8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实际发生费用相关合同及发票、付款凭证</w:t>
            </w:r>
          </w:p>
        </w:tc>
        <w:tc>
          <w:tcPr>
            <w:tcW w:w="1185" w:type="dxa"/>
            <w:vAlign w:val="center"/>
          </w:tcPr>
          <w:p w14:paraId="67767911">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是</w:t>
            </w:r>
          </w:p>
        </w:tc>
        <w:tc>
          <w:tcPr>
            <w:tcW w:w="1674" w:type="dxa"/>
            <w:vMerge w:val="continue"/>
            <w:vAlign w:val="center"/>
          </w:tcPr>
          <w:p w14:paraId="5D3659DB">
            <w:pPr>
              <w:jc w:val="center"/>
              <w:rPr>
                <w:rFonts w:hint="eastAsia" w:ascii="楷体" w:hAnsi="楷体" w:eastAsia="楷体"/>
                <w:sz w:val="24"/>
              </w:rPr>
            </w:pPr>
          </w:p>
        </w:tc>
      </w:tr>
      <w:tr w14:paraId="3816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47B4B7CE">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8</w:t>
            </w:r>
          </w:p>
        </w:tc>
        <w:tc>
          <w:tcPr>
            <w:tcW w:w="4590" w:type="dxa"/>
            <w:vAlign w:val="center"/>
          </w:tcPr>
          <w:p w14:paraId="4885049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举办场地照片</w:t>
            </w:r>
            <w:r>
              <w:rPr>
                <w:rFonts w:hint="eastAsia" w:ascii="宋体" w:hAnsi="宋体" w:eastAsia="宋体" w:cs="宋体"/>
                <w:color w:val="auto"/>
                <w:sz w:val="21"/>
                <w:szCs w:val="21"/>
                <w:highlight w:val="none"/>
                <w:lang w:val="en-US" w:eastAsia="zh-CN"/>
              </w:rPr>
              <w:t>或线上参会截图</w:t>
            </w:r>
          </w:p>
        </w:tc>
        <w:tc>
          <w:tcPr>
            <w:tcW w:w="1185" w:type="dxa"/>
            <w:vAlign w:val="center"/>
          </w:tcPr>
          <w:p w14:paraId="3FEC19DC">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是</w:t>
            </w:r>
          </w:p>
        </w:tc>
        <w:tc>
          <w:tcPr>
            <w:tcW w:w="1674" w:type="dxa"/>
            <w:vMerge w:val="continue"/>
            <w:vAlign w:val="center"/>
          </w:tcPr>
          <w:p w14:paraId="11FDBB1D">
            <w:pPr>
              <w:jc w:val="center"/>
              <w:rPr>
                <w:rFonts w:hint="eastAsia" w:ascii="楷体" w:hAnsi="楷体" w:eastAsia="楷体"/>
                <w:sz w:val="24"/>
              </w:rPr>
            </w:pPr>
          </w:p>
        </w:tc>
      </w:tr>
      <w:tr w14:paraId="4637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3B7C6FA9">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w:t>
            </w:r>
          </w:p>
        </w:tc>
        <w:tc>
          <w:tcPr>
            <w:tcW w:w="4590" w:type="dxa"/>
            <w:vAlign w:val="center"/>
          </w:tcPr>
          <w:p w14:paraId="351199A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南山区政府或者</w:t>
            </w:r>
            <w:r>
              <w:rPr>
                <w:rFonts w:hint="eastAsia" w:ascii="宋体" w:hAnsi="宋体" w:eastAsia="宋体" w:cs="宋体"/>
                <w:color w:val="auto"/>
                <w:sz w:val="21"/>
                <w:szCs w:val="21"/>
                <w:highlight w:val="none"/>
              </w:rPr>
              <w:t>南山区文化广电旅游体育局</w:t>
            </w:r>
            <w:r>
              <w:rPr>
                <w:rFonts w:hint="eastAsia" w:ascii="宋体" w:hAnsi="宋体" w:eastAsia="宋体" w:cs="宋体"/>
                <w:color w:val="auto"/>
                <w:sz w:val="21"/>
                <w:szCs w:val="21"/>
                <w:highlight w:val="none"/>
                <w:lang w:val="en-US" w:eastAsia="zh-CN"/>
              </w:rPr>
              <w:t>同意支持或指导活动举办</w:t>
            </w:r>
            <w:r>
              <w:rPr>
                <w:rFonts w:hint="eastAsia" w:ascii="宋体" w:hAnsi="宋体" w:eastAsia="宋体" w:cs="宋体"/>
                <w:color w:val="auto"/>
                <w:sz w:val="21"/>
                <w:szCs w:val="21"/>
                <w:highlight w:val="none"/>
              </w:rPr>
              <w:t>的证明材料</w:t>
            </w:r>
          </w:p>
        </w:tc>
        <w:tc>
          <w:tcPr>
            <w:tcW w:w="1185" w:type="dxa"/>
            <w:vAlign w:val="center"/>
          </w:tcPr>
          <w:p w14:paraId="738CF34E">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是</w:t>
            </w:r>
          </w:p>
        </w:tc>
        <w:tc>
          <w:tcPr>
            <w:tcW w:w="1674" w:type="dxa"/>
            <w:vMerge w:val="continue"/>
            <w:vAlign w:val="center"/>
          </w:tcPr>
          <w:p w14:paraId="588507D7">
            <w:pPr>
              <w:jc w:val="center"/>
              <w:rPr>
                <w:rFonts w:hint="eastAsia" w:ascii="楷体" w:hAnsi="楷体" w:eastAsia="楷体"/>
                <w:sz w:val="24"/>
              </w:rPr>
            </w:pPr>
          </w:p>
        </w:tc>
      </w:tr>
      <w:tr w14:paraId="68633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14:paraId="6E618858">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w:t>
            </w:r>
          </w:p>
        </w:tc>
        <w:tc>
          <w:tcPr>
            <w:tcW w:w="4590" w:type="dxa"/>
            <w:vAlign w:val="center"/>
          </w:tcPr>
          <w:p w14:paraId="1183A89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审核部门认为需要提供的其</w:t>
            </w:r>
            <w:r>
              <w:rPr>
                <w:rFonts w:hint="eastAsia" w:ascii="宋体" w:hAnsi="宋体" w:cs="宋体"/>
                <w:color w:val="auto"/>
                <w:sz w:val="21"/>
                <w:szCs w:val="21"/>
                <w:highlight w:val="none"/>
                <w:lang w:eastAsia="zh-CN"/>
              </w:rPr>
              <w:t>他</w:t>
            </w:r>
            <w:r>
              <w:rPr>
                <w:rFonts w:hint="eastAsia" w:ascii="宋体" w:hAnsi="宋体" w:eastAsia="宋体" w:cs="宋体"/>
                <w:color w:val="auto"/>
                <w:sz w:val="21"/>
                <w:szCs w:val="21"/>
                <w:highlight w:val="none"/>
              </w:rPr>
              <w:t>材料</w:t>
            </w:r>
          </w:p>
        </w:tc>
        <w:tc>
          <w:tcPr>
            <w:tcW w:w="1185" w:type="dxa"/>
            <w:vAlign w:val="center"/>
          </w:tcPr>
          <w:p w14:paraId="2D08AA94">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1674" w:type="dxa"/>
            <w:vMerge w:val="continue"/>
            <w:vAlign w:val="center"/>
          </w:tcPr>
          <w:p w14:paraId="161B3235">
            <w:pPr>
              <w:jc w:val="center"/>
              <w:rPr>
                <w:rFonts w:hint="eastAsia" w:ascii="楷体" w:hAnsi="楷体" w:eastAsia="楷体"/>
                <w:sz w:val="24"/>
              </w:rPr>
            </w:pPr>
          </w:p>
        </w:tc>
      </w:tr>
    </w:tbl>
    <w:p w14:paraId="4CC636B0">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12DE089E">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778583C6">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66A57125">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0BB5C331">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33C2947B">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14:paraId="281B3E66">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75F4C470">
      <w:pPr>
        <w:spacing w:after="0" w:line="560" w:lineRule="exact"/>
        <w:ind w:firstLine="640" w:firstLineChars="200"/>
        <w:contextualSpacing/>
        <w:rPr>
          <w:rFonts w:hint="eastAsia" w:ascii="仿宋_GB2312" w:hAnsi="宋体" w:eastAsia="仿宋_GB2312" w:cs="宋体"/>
          <w:spacing w:val="4"/>
          <w:kern w:val="0"/>
          <w:sz w:val="32"/>
          <w:szCs w:val="32"/>
          <w:lang w:val="en-US" w:eastAsia="zh-CN" w:bidi="ar-SA"/>
        </w:rPr>
      </w:pPr>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p w14:paraId="5D2AE3D6">
      <w:pPr>
        <w:pageBreakBefore w:val="0"/>
        <w:kinsoku/>
        <w:wordWrap/>
        <w:overflowPunct/>
        <w:topLinePunct w:val="0"/>
        <w:autoSpaceDE/>
        <w:autoSpaceDN/>
        <w:bidi w:val="0"/>
        <w:spacing w:after="0" w:line="560" w:lineRule="exact"/>
        <w:ind w:firstLine="656" w:firstLineChars="200"/>
        <w:contextualSpacing/>
        <w:rPr>
          <w:rFonts w:hint="eastAsia" w:ascii="仿宋_GB2312" w:hAnsi="宋体" w:eastAsia="仿宋_GB2312" w:cs="宋体"/>
          <w:spacing w:val="4"/>
          <w:kern w:val="0"/>
          <w:sz w:val="32"/>
          <w:szCs w:val="32"/>
          <w:lang w:val="en-US" w:eastAsia="zh-CN" w:bidi="ar-SA"/>
        </w:rPr>
      </w:pPr>
    </w:p>
    <w:p w14:paraId="0ABCD747">
      <w:pPr>
        <w:pageBreakBefore w:val="0"/>
        <w:kinsoku/>
        <w:wordWrap/>
        <w:overflowPunct/>
        <w:topLinePunct w:val="0"/>
        <w:autoSpaceDE/>
        <w:autoSpaceDN/>
        <w:bidi w:val="0"/>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ˎ̥">
    <w:altName w:val="宋体"/>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OTVjMjVlZTU3MjBlMDIzM2FkMDQ2NDA5MWMzMGEifQ=="/>
  </w:docVars>
  <w:rsids>
    <w:rsidRoot w:val="1E9B000F"/>
    <w:rsid w:val="0522414A"/>
    <w:rsid w:val="086A1D24"/>
    <w:rsid w:val="095C7285"/>
    <w:rsid w:val="09CF031F"/>
    <w:rsid w:val="104D08F5"/>
    <w:rsid w:val="168B0344"/>
    <w:rsid w:val="1A5A6961"/>
    <w:rsid w:val="1E395720"/>
    <w:rsid w:val="1E9B000F"/>
    <w:rsid w:val="22B036B3"/>
    <w:rsid w:val="2AAF4F1E"/>
    <w:rsid w:val="2C443913"/>
    <w:rsid w:val="2FDD6D1F"/>
    <w:rsid w:val="32880B83"/>
    <w:rsid w:val="365F39E8"/>
    <w:rsid w:val="38446E2A"/>
    <w:rsid w:val="3AA4543E"/>
    <w:rsid w:val="3BFEECA1"/>
    <w:rsid w:val="3FD20798"/>
    <w:rsid w:val="42D91274"/>
    <w:rsid w:val="431D4C7D"/>
    <w:rsid w:val="432C2634"/>
    <w:rsid w:val="473F7B8B"/>
    <w:rsid w:val="4F7B410F"/>
    <w:rsid w:val="4FDCE1CB"/>
    <w:rsid w:val="52640406"/>
    <w:rsid w:val="549F928D"/>
    <w:rsid w:val="5581438D"/>
    <w:rsid w:val="56A7AF15"/>
    <w:rsid w:val="57F05DAE"/>
    <w:rsid w:val="594D7C04"/>
    <w:rsid w:val="59896CCD"/>
    <w:rsid w:val="5CBA6428"/>
    <w:rsid w:val="5D768849"/>
    <w:rsid w:val="5EAA7B88"/>
    <w:rsid w:val="62A72E7A"/>
    <w:rsid w:val="65BF216B"/>
    <w:rsid w:val="665C5C0C"/>
    <w:rsid w:val="6B4F5D3F"/>
    <w:rsid w:val="6C0E3290"/>
    <w:rsid w:val="6D3414FD"/>
    <w:rsid w:val="6ED9300F"/>
    <w:rsid w:val="6F360564"/>
    <w:rsid w:val="70257FF6"/>
    <w:rsid w:val="7231619E"/>
    <w:rsid w:val="72DF2830"/>
    <w:rsid w:val="7439758C"/>
    <w:rsid w:val="78C25DA2"/>
    <w:rsid w:val="797E9B95"/>
    <w:rsid w:val="7BF34F06"/>
    <w:rsid w:val="7C120DEF"/>
    <w:rsid w:val="7CB38529"/>
    <w:rsid w:val="7D9C7CC2"/>
    <w:rsid w:val="7E5BE828"/>
    <w:rsid w:val="7F0C37F3"/>
    <w:rsid w:val="8DFF3921"/>
    <w:rsid w:val="B5D6AE18"/>
    <w:rsid w:val="BEEE2269"/>
    <w:rsid w:val="EABD5E6B"/>
    <w:rsid w:val="EB662668"/>
    <w:rsid w:val="EDF7BC56"/>
    <w:rsid w:val="EE24E235"/>
    <w:rsid w:val="EFFA6E20"/>
    <w:rsid w:val="F7EF2B42"/>
    <w:rsid w:val="FDDE43CF"/>
    <w:rsid w:val="FED69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Heading4"/>
    <w:basedOn w:val="1"/>
    <w:next w:val="1"/>
    <w:qFormat/>
    <w:uiPriority w:val="0"/>
    <w:pPr>
      <w:keepNext/>
      <w:keepLines/>
      <w:spacing w:before="280" w:after="290" w:line="376" w:lineRule="auto"/>
      <w:textAlignment w:val="baseline"/>
    </w:pPr>
    <w:rPr>
      <w:rFonts w:ascii="Cambria" w:hAnsi="Cambria" w:eastAsia="宋体" w:cs="Times New Roman"/>
      <w:b/>
      <w:bCs/>
      <w:sz w:val="28"/>
      <w:szCs w:val="28"/>
    </w:rPr>
  </w:style>
  <w:style w:type="character" w:customStyle="1" w:styleId="11">
    <w:name w:val="font51"/>
    <w:basedOn w:val="9"/>
    <w:qFormat/>
    <w:uiPriority w:val="0"/>
    <w:rPr>
      <w:rFonts w:hint="eastAsia" w:ascii="宋体" w:hAnsi="宋体" w:eastAsia="宋体" w:cs="宋体"/>
      <w:color w:val="000000"/>
      <w:sz w:val="24"/>
      <w:szCs w:val="24"/>
      <w:u w:val="none"/>
    </w:rPr>
  </w:style>
  <w:style w:type="paragraph" w:customStyle="1" w:styleId="12">
    <w:name w:val="列出段落1"/>
    <w:basedOn w:val="1"/>
    <w:qFormat/>
    <w:uiPriority w:val="34"/>
    <w:pPr>
      <w:ind w:firstLine="420" w:firstLineChars="200"/>
    </w:pPr>
    <w:rPr>
      <w:rFonts w:ascii="Calibri" w:hAnsi="Calibri"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3015</Words>
  <Characters>3128</Characters>
  <Lines>0</Lines>
  <Paragraphs>0</Paragraphs>
  <TotalTime>1</TotalTime>
  <ScaleCrop>false</ScaleCrop>
  <LinksUpToDate>false</LinksUpToDate>
  <CharactersWithSpaces>3129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2021-05-01T09:41:00Z</dcterms:created>
  <dc:creator>王榕</dc:creator>
  <cp:lastModifiedBy>hjx</cp:lastModifiedBy>
  <cp:lastPrinted>2025-01-04T14:20:00Z</cp:lastPrinted>
  <dcterms:modified xsi:type="dcterms:W3CDTF">2026-03-16T11:55:03Z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F61FABADBB6F36DB8A34A9699F22249D_43</vt:lpwstr>
  </property>
  <property fmtid="{D5CDD505-2E9C-101B-9397-08002B2CF9AE}" pid="4" name="KSOTemplateDocerSaveRecord">
    <vt:lpwstr>eyJoZGlkIjoiNzliOTU0NTc3ZTM1ZTYyZGY3YzYzMmZkODc4MjgyZWMiLCJ1c2VySWQiOiIzMjk0MTYzNTUifQ==</vt:lpwstr>
  </property>
</Properties>
</file>