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南山区促进竞技体育高水平发展奖励方案》政策解读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对竞技体育赛事获奖运动员教练员奖励符合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《中华人民共和国体育法》《运动员、教练员奖励实施办法》等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法律法规相关规定。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福田、宝安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、罗湖、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龙岗、坪山、盐田6个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兄弟区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相继出台了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获奖运动员教练员的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。南山区是竞技体育大区、强区，各级体育竞赛成绩位居全市前列，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然而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未出台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政策，为鼓励运动员教练员刻苦训练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创佳绩，同时科学规范管理和使用资金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参照国家、省、市关于运动员教练员奖励的相关规定，结合南山区实际情况，制定本方案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二、制定过程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根据《南山区行政机关规范性文件管理规定》等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南山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区文化广电旅游体育局按照部门规范性文件的制定流程，依次完成了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征求社会公众意见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、征求部门意见、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部门法制机构合法性审查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政府法制机构合法性审查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部门集体讨论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、区政府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常务会议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审议等相关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《奖励方案》共分为奖励对象、奖励标准及计奖方式、申报程序、资金管理、附则等五个部分。主要内容包括：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奖励对象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奖励对象为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由南山区注册、输送或签约，并参加奥运会正式竞赛项目、亚运会正式竞赛项目、全运会竞技体育组项目、学青会公开组项目、省运会竞技体育组项目、市运会青少年体育组项目的运动员及其教练员。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奖励标准及计奖方式，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参加奥运会、亚运会、全运会、学青会、省运会的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奖励标准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参加市运会的，第一名奖励0.8万元，第二名奖励0.4万元，第三名奖励0.3万元，后续名次不奖励。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运动员、教练员的计奖方式依据赛事级别存在差异。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三是明确奖金申报程序，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由南山区文化广电旅游体育局发布申报通知，申报人如实申请，南山区文化广电旅游体育局汇总、审核后按流程拨付资金。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四是明确资金管理程序，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区财政局统筹安排并纳入区文化广电旅游体育局部门预算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解决，申报人在资金申请过程中有违规行为的，将依法追究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相应责任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五是明确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附则，</w:t>
      </w:r>
      <w:r>
        <w:rPr>
          <w:rStyle w:val="8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规定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奖励方案自实施之日起施行，参加2024年深圳市第十一届运动会的运动员和教练员适用本方案。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3933"/>
    <w:rsid w:val="339FA33C"/>
    <w:rsid w:val="5FAFCB31"/>
    <w:rsid w:val="6F6D3933"/>
    <w:rsid w:val="7DECD12E"/>
    <w:rsid w:val="AB7DC0F2"/>
    <w:rsid w:val="DBFF924B"/>
    <w:rsid w:val="F9DCC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2025-11-15T07:11:00Z</dcterms:created>
  <dc:creator>huawei</dc:creator>
  <cp:lastModifiedBy>苏长顺</cp:lastModifiedBy>
  <dcterms:modified xsi:type="dcterms:W3CDTF">2025-11-17T18:10:50Z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