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0" w:name="_GoBack"/>
      <w:bookmarkEnd w:id="0"/>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鼓励创优评级项目操作规程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b/>
          <w:bCs/>
          <w:color w:val="000000"/>
          <w:sz w:val="32"/>
          <w:szCs w:val="32"/>
          <w:lang w:eastAsia="zh-CN"/>
        </w:rPr>
      </w:pPr>
      <w:r>
        <w:rPr>
          <w:rFonts w:hint="eastAsia" w:eastAsia="黑体"/>
          <w:b/>
          <w:bCs/>
          <w:color w:val="000000"/>
          <w:sz w:val="32"/>
          <w:szCs w:val="32"/>
          <w:lang w:eastAsia="zh-CN"/>
        </w:rPr>
        <w:t>（</w:t>
      </w:r>
      <w:r>
        <w:rPr>
          <w:rFonts w:hint="eastAsia" w:eastAsia="黑体"/>
          <w:b/>
          <w:bCs/>
          <w:color w:val="000000"/>
          <w:sz w:val="32"/>
          <w:szCs w:val="32"/>
          <w:lang w:val="en-US" w:eastAsia="zh-CN"/>
        </w:rPr>
        <w:t>2025年</w:t>
      </w:r>
      <w:r>
        <w:rPr>
          <w:rFonts w:hint="eastAsia" w:eastAsia="黑体"/>
          <w:b/>
          <w:bCs/>
          <w:color w:val="000000"/>
          <w:sz w:val="32"/>
          <w:szCs w:val="32"/>
          <w:lang w:eastAsia="zh-CN"/>
        </w:rPr>
        <w:t>）</w:t>
      </w:r>
    </w:p>
    <w:p>
      <w:pPr>
        <w:widowControl/>
        <w:adjustRightInd w:val="0"/>
        <w:snapToGrid w:val="0"/>
        <w:spacing w:line="560" w:lineRule="exact"/>
        <w:ind w:firstLine="537" w:firstLineChars="168"/>
        <w:rPr>
          <w:rFonts w:eastAsia="黑体"/>
          <w:color w:val="000000"/>
          <w:sz w:val="32"/>
          <w:szCs w:val="32"/>
        </w:rPr>
      </w:pPr>
      <w:r>
        <w:rPr>
          <w:rFonts w:hint="eastAsia" w:hAnsi="黑体" w:eastAsia="黑体"/>
          <w:color w:val="000000"/>
          <w:sz w:val="32"/>
          <w:szCs w:val="32"/>
        </w:rPr>
        <w:t>一、政策内容</w:t>
      </w:r>
    </w:p>
    <w:p>
      <w:pPr>
        <w:widowControl/>
        <w:adjustRightInd w:val="0"/>
        <w:snapToGrid w:val="0"/>
        <w:spacing w:line="560" w:lineRule="exact"/>
        <w:ind w:firstLine="537" w:firstLineChars="168"/>
        <w:rPr>
          <w:rFonts w:hint="eastAsia" w:hAnsi="仿宋" w:eastAsia="仿宋"/>
          <w:sz w:val="32"/>
          <w:szCs w:val="32"/>
        </w:rPr>
      </w:pPr>
      <w:r>
        <w:rPr>
          <w:rFonts w:hint="eastAsia" w:hAnsi="仿宋" w:eastAsia="仿宋"/>
          <w:sz w:val="32"/>
          <w:szCs w:val="32"/>
        </w:rPr>
        <w:t>对获得国家级文化类主要奖项、国家级、省级、市级新型融合业态奖项认定的单位，给予最高不超过100万元一次性奖励。</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adjustRightInd w:val="0"/>
        <w:snapToGrid w:val="0"/>
        <w:spacing w:line="560" w:lineRule="exact"/>
        <w:ind w:firstLine="640" w:firstLineChars="200"/>
        <w:rPr>
          <w:rFonts w:hAnsi="仿宋" w:eastAsia="仿宋"/>
          <w:color w:val="000000"/>
          <w:sz w:val="32"/>
          <w:szCs w:val="32"/>
        </w:rPr>
      </w:pPr>
      <w:r>
        <w:rPr>
          <w:rFonts w:hint="eastAsia" w:hAnsi="仿宋" w:eastAsia="仿宋"/>
          <w:color w:val="000000"/>
          <w:sz w:val="32"/>
          <w:szCs w:val="32"/>
        </w:rPr>
        <w:t>进一步推动南山区文化体育产业健康快速发展，支持企业争优创优，</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widowControl/>
        <w:adjustRightInd w:val="0"/>
        <w:snapToGrid w:val="0"/>
        <w:spacing w:line="560" w:lineRule="exact"/>
        <w:ind w:firstLine="640" w:firstLineChars="200"/>
        <w:rPr>
          <w:rFonts w:eastAsia="黑体"/>
          <w:color w:val="000000"/>
          <w:sz w:val="32"/>
          <w:szCs w:val="32"/>
        </w:rPr>
      </w:pPr>
      <w:r>
        <w:rPr>
          <w:rFonts w:hint="eastAsia" w:hAnsi="黑体" w:eastAsia="黑体"/>
          <w:color w:val="000000"/>
          <w:sz w:val="32"/>
          <w:szCs w:val="32"/>
        </w:rPr>
        <w:t>三、申请条件</w:t>
      </w:r>
    </w:p>
    <w:p>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（一）基本条件：</w:t>
      </w:r>
    </w:p>
    <w:p>
      <w:pPr>
        <w:adjustRightInd w:val="0"/>
        <w:snapToGrid w:val="0"/>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w:t>
      </w:r>
      <w:r>
        <w:rPr>
          <w:rFonts w:hint="eastAsia" w:ascii="仿宋" w:hAnsi="仿宋" w:eastAsia="仿宋"/>
          <w:color w:val="000000"/>
          <w:sz w:val="32"/>
          <w:szCs w:val="32"/>
          <w:lang w:eastAsia="zh-CN"/>
        </w:rPr>
        <w:t>，</w:t>
      </w:r>
      <w:r>
        <w:rPr>
          <w:rFonts w:hint="eastAsia" w:ascii="仿宋" w:hAnsi="仿宋" w:eastAsia="仿宋"/>
          <w:color w:val="000000"/>
          <w:sz w:val="32"/>
          <w:szCs w:val="32"/>
        </w:rPr>
        <w:t>不再符合申报条件的。</w:t>
      </w:r>
    </w:p>
    <w:p>
      <w:pPr>
        <w:widowControl/>
        <w:adjustRightInd w:val="0"/>
        <w:snapToGrid w:val="0"/>
        <w:spacing w:line="560" w:lineRule="exact"/>
        <w:ind w:firstLine="640" w:firstLineChars="200"/>
        <w:rPr>
          <w:rFonts w:hint="eastAsia" w:eastAsia="黑体"/>
          <w:color w:val="000000"/>
          <w:sz w:val="32"/>
          <w:szCs w:val="32"/>
          <w:lang w:eastAsia="zh-CN"/>
        </w:rPr>
      </w:pPr>
      <w:r>
        <w:rPr>
          <w:rFonts w:hint="eastAsia" w:hAnsi="黑体" w:eastAsia="黑体"/>
          <w:color w:val="000000"/>
          <w:sz w:val="32"/>
          <w:szCs w:val="32"/>
          <w:lang w:eastAsia="zh-CN"/>
        </w:rPr>
        <w:t>四</w:t>
      </w:r>
      <w:r>
        <w:rPr>
          <w:rFonts w:hint="eastAsia" w:hAnsi="黑体" w:eastAsia="黑体"/>
          <w:color w:val="000000"/>
          <w:sz w:val="32"/>
          <w:szCs w:val="32"/>
        </w:rPr>
        <w:t>、申请</w:t>
      </w:r>
      <w:r>
        <w:rPr>
          <w:rFonts w:hint="eastAsia" w:hAnsi="黑体" w:eastAsia="黑体"/>
          <w:color w:val="000000"/>
          <w:sz w:val="32"/>
          <w:szCs w:val="32"/>
          <w:lang w:eastAsia="zh-CN"/>
        </w:rPr>
        <w:t>说明</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ascii="仿宋_GB2312" w:hAnsi="仿宋_GB2312" w:eastAsia="仿宋_GB2312"/>
          <w:sz w:val="32"/>
          <w:szCs w:val="32"/>
        </w:rPr>
        <w:t>申报主体为</w:t>
      </w:r>
      <w:r>
        <w:rPr>
          <w:rFonts w:hint="eastAsia" w:ascii="仿宋_GB2312" w:hAnsi="仿宋_GB2312" w:eastAsia="仿宋_GB2312"/>
          <w:sz w:val="32"/>
          <w:szCs w:val="32"/>
          <w:highlight w:val="none"/>
        </w:rPr>
        <w:t>上年度</w:t>
      </w:r>
      <w:r>
        <w:rPr>
          <w:rFonts w:hint="eastAsia" w:ascii="仿宋_GB2312" w:hAnsi="仿宋_GB2312" w:eastAsia="仿宋_GB2312"/>
          <w:sz w:val="32"/>
          <w:szCs w:val="32"/>
        </w:rPr>
        <w:t>获得</w:t>
      </w:r>
      <w:r>
        <w:rPr>
          <w:rFonts w:hint="eastAsia" w:ascii="仿宋_GB2312" w:hAnsi="仿宋_GB2312" w:eastAsia="仿宋_GB2312"/>
          <w:sz w:val="32"/>
          <w:szCs w:val="32"/>
          <w:lang w:eastAsia="zh-CN"/>
        </w:rPr>
        <w:t>相关</w:t>
      </w:r>
      <w:r>
        <w:rPr>
          <w:rFonts w:hint="eastAsia" w:ascii="仿宋_GB2312" w:hAnsi="仿宋_GB2312" w:eastAsia="仿宋_GB2312"/>
          <w:sz w:val="32"/>
          <w:szCs w:val="32"/>
        </w:rPr>
        <w:t>奖项或评级的运营单位。</w:t>
      </w:r>
      <w:r>
        <w:rPr>
          <w:rFonts w:hint="eastAsia" w:ascii="仿宋" w:hAnsi="仿宋" w:eastAsia="仿宋"/>
          <w:color w:val="000000"/>
          <w:sz w:val="32"/>
          <w:szCs w:val="32"/>
        </w:rPr>
        <w:t>对获得国家“五个一工程”奖、文化和旅游部中国文化艺术政府奖的单位一次性奖励100万元；</w:t>
      </w:r>
      <w:r>
        <w:rPr>
          <w:rFonts w:hint="eastAsia" w:ascii="仿宋" w:hAnsi="仿宋" w:eastAsia="仿宋"/>
          <w:b w:val="0"/>
          <w:bCs w:val="0"/>
          <w:color w:val="auto"/>
          <w:sz w:val="32"/>
          <w:szCs w:val="32"/>
          <w:highlight w:val="none"/>
          <w:lang w:eastAsia="zh-CN"/>
        </w:rPr>
        <w:t>对获得省</w:t>
      </w:r>
      <w:r>
        <w:rPr>
          <w:rFonts w:hint="eastAsia" w:ascii="仿宋" w:hAnsi="仿宋" w:eastAsia="仿宋"/>
          <w:b w:val="0"/>
          <w:bCs w:val="0"/>
          <w:color w:val="auto"/>
          <w:sz w:val="32"/>
          <w:szCs w:val="32"/>
          <w:highlight w:val="none"/>
        </w:rPr>
        <w:t>“五个一工程”奖</w:t>
      </w:r>
      <w:r>
        <w:rPr>
          <w:rFonts w:hint="eastAsia" w:ascii="仿宋" w:hAnsi="仿宋" w:eastAsia="仿宋"/>
          <w:b w:val="0"/>
          <w:bCs w:val="0"/>
          <w:color w:val="auto"/>
          <w:sz w:val="32"/>
          <w:szCs w:val="32"/>
          <w:highlight w:val="none"/>
          <w:lang w:eastAsia="zh-CN"/>
        </w:rPr>
        <w:t>的单位一次性奖励</w:t>
      </w:r>
      <w:r>
        <w:rPr>
          <w:rFonts w:hint="eastAsia" w:ascii="仿宋" w:hAnsi="仿宋" w:eastAsia="仿宋"/>
          <w:b w:val="0"/>
          <w:bCs w:val="0"/>
          <w:color w:val="auto"/>
          <w:sz w:val="32"/>
          <w:szCs w:val="32"/>
          <w:highlight w:val="none"/>
          <w:lang w:val="en-US" w:eastAsia="zh-CN"/>
        </w:rPr>
        <w:t>50万元</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对获得全国文化企业30强的单位一次性奖励50万元；对获得“中国电影华表奖”“中国电影金鸡奖”“大众电影百花奖”“中国电视星光奖”“中国出版政府奖”“优秀国产电视动画片”</w:t>
      </w:r>
      <w:r>
        <w:rPr>
          <w:rFonts w:hint="eastAsia" w:ascii="仿宋" w:hAnsi="仿宋" w:eastAsia="仿宋"/>
          <w:color w:val="000000"/>
          <w:sz w:val="32"/>
          <w:szCs w:val="32"/>
          <w:lang w:eastAsia="zh-CN"/>
        </w:rPr>
        <w:t>“重点国产电视动画项目”</w:t>
      </w:r>
      <w:r>
        <w:rPr>
          <w:rFonts w:hint="eastAsia" w:ascii="仿宋" w:hAnsi="仿宋" w:eastAsia="仿宋"/>
          <w:color w:val="000000"/>
          <w:sz w:val="32"/>
          <w:szCs w:val="32"/>
        </w:rPr>
        <w:t>主要奖项的单位一次性奖励30万元</w:t>
      </w:r>
      <w:r>
        <w:rPr>
          <w:rFonts w:hint="eastAsia" w:ascii="仿宋" w:hAnsi="仿宋" w:eastAsia="仿宋"/>
          <w:color w:val="000000"/>
          <w:sz w:val="32"/>
          <w:szCs w:val="32"/>
          <w:lang w:eastAsia="zh-CN"/>
        </w:rPr>
        <w:t>；对获得深圳市优秀新型业态文化创意企业认定的单位一次性奖励</w:t>
      </w:r>
      <w:r>
        <w:rPr>
          <w:rFonts w:hint="eastAsia" w:ascii="仿宋" w:hAnsi="仿宋" w:eastAsia="仿宋"/>
          <w:color w:val="000000"/>
          <w:sz w:val="32"/>
          <w:szCs w:val="32"/>
          <w:lang w:val="en-US" w:eastAsia="zh-CN"/>
        </w:rPr>
        <w:t>25万元；对被评为国家级、省级文化出口企业的单位，分别给予50万元、25万元的奖励；对被评为国家级、省级文化出口基地的单位，分别给予100万元、50万元的奖励（</w:t>
      </w:r>
      <w:r>
        <w:rPr>
          <w:rFonts w:hint="eastAsia" w:ascii="仿宋" w:hAnsi="仿宋" w:eastAsia="仿宋"/>
          <w:color w:val="000000"/>
          <w:sz w:val="32"/>
          <w:szCs w:val="32"/>
          <w:highlight w:val="none"/>
          <w:lang w:val="en-US" w:eastAsia="zh-CN"/>
        </w:rPr>
        <w:t>该奖励企业每两年可申请一次；</w:t>
      </w:r>
      <w:r>
        <w:rPr>
          <w:rFonts w:hint="eastAsia" w:ascii="仿宋" w:hAnsi="仿宋" w:eastAsia="仿宋"/>
          <w:color w:val="000000"/>
          <w:sz w:val="32"/>
          <w:szCs w:val="32"/>
          <w:lang w:val="en-US" w:eastAsia="zh-CN"/>
        </w:rPr>
        <w:t>省级文化出口企业或基地升格为国家级出口企业或基地的，可申请差额部分奖励）；</w:t>
      </w:r>
      <w:r>
        <w:rPr>
          <w:rFonts w:hint="eastAsia" w:ascii="仿宋" w:hAnsi="仿宋" w:eastAsia="仿宋"/>
          <w:b w:val="0"/>
          <w:bCs w:val="0"/>
          <w:color w:val="auto"/>
          <w:sz w:val="32"/>
          <w:szCs w:val="32"/>
          <w:highlight w:val="none"/>
          <w:lang w:val="en-US" w:eastAsia="zh-CN"/>
        </w:rPr>
        <w:t>对被评为国家级、省级夜间文化和旅游消费集聚区的单位，分别给予</w:t>
      </w:r>
      <w:r>
        <w:rPr>
          <w:rFonts w:hint="default" w:ascii="仿宋" w:hAnsi="仿宋" w:eastAsia="仿宋"/>
          <w:b w:val="0"/>
          <w:bCs w:val="0"/>
          <w:color w:val="auto"/>
          <w:sz w:val="32"/>
          <w:szCs w:val="32"/>
          <w:highlight w:val="none"/>
          <w:lang w:val="en-US" w:eastAsia="zh-CN"/>
        </w:rPr>
        <w:t>50</w:t>
      </w:r>
      <w:r>
        <w:rPr>
          <w:rFonts w:hint="eastAsia" w:ascii="仿宋" w:hAnsi="仿宋" w:eastAsia="仿宋"/>
          <w:b w:val="0"/>
          <w:bCs w:val="0"/>
          <w:color w:val="auto"/>
          <w:sz w:val="32"/>
          <w:szCs w:val="32"/>
          <w:highlight w:val="none"/>
          <w:lang w:val="en-US" w:eastAsia="zh-CN"/>
        </w:rPr>
        <w:t>万、</w:t>
      </w:r>
      <w:r>
        <w:rPr>
          <w:rFonts w:hint="default" w:ascii="仿宋" w:hAnsi="仿宋" w:eastAsia="仿宋"/>
          <w:b w:val="0"/>
          <w:bCs w:val="0"/>
          <w:color w:val="auto"/>
          <w:sz w:val="32"/>
          <w:szCs w:val="32"/>
          <w:highlight w:val="none"/>
          <w:lang w:val="en-US" w:eastAsia="zh-CN"/>
        </w:rPr>
        <w:t>25</w:t>
      </w:r>
      <w:r>
        <w:rPr>
          <w:rFonts w:hint="eastAsia" w:ascii="仿宋" w:hAnsi="仿宋" w:eastAsia="仿宋"/>
          <w:b w:val="0"/>
          <w:bCs w:val="0"/>
          <w:color w:val="auto"/>
          <w:sz w:val="32"/>
          <w:szCs w:val="32"/>
          <w:highlight w:val="none"/>
          <w:lang w:val="en-US" w:eastAsia="zh-CN"/>
        </w:rPr>
        <w:t>万元的奖励</w:t>
      </w:r>
      <w:r>
        <w:rPr>
          <w:rFonts w:hint="eastAsia" w:ascii="仿宋" w:hAnsi="仿宋" w:eastAsia="仿宋"/>
          <w:b w:val="0"/>
          <w:bCs w:val="0"/>
          <w:color w:val="auto"/>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widowControl/>
        <w:adjustRightInd w:val="0"/>
        <w:snapToGrid w:val="0"/>
        <w:spacing w:after="0" w:line="560" w:lineRule="exact"/>
        <w:ind w:firstLine="537" w:firstLineChars="168"/>
        <w:contextualSpacing w:val="0"/>
        <w:rPr>
          <w:rFonts w:hint="eastAsia" w:hAnsi="黑体" w:eastAsia="黑体"/>
          <w:color w:val="000000"/>
          <w:sz w:val="32"/>
          <w:szCs w:val="32"/>
          <w:lang w:eastAsia="zh-CN"/>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Times New Roman" w:hAnsi="黑体" w:eastAsia="黑体"/>
          <w:bCs w:val="0"/>
          <w:color w:val="000000"/>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 xml:space="preserve">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contextualSpacing/>
        <w:textAlignment w:val="auto"/>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pStyle w:val="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eastAsia="仿宋_GB2312"/>
          <w:sz w:val="32"/>
          <w:szCs w:val="32"/>
          <w:lang w:eastAsia="zh-CN"/>
        </w:rPr>
      </w:pPr>
      <w:r>
        <w:rPr>
          <w:rFonts w:hint="eastAsia" w:ascii="仿宋_GB2312" w:hAnsi="宋体" w:eastAsia="仿宋_GB2312"/>
          <w:sz w:val="32"/>
          <w:szCs w:val="32"/>
          <w:lang w:eastAsia="zh-CN"/>
        </w:rPr>
        <w:t>（</w:t>
      </w:r>
      <w:r>
        <w:rPr>
          <w:rFonts w:hint="eastAsia" w:hAnsi="宋体"/>
          <w:sz w:val="32"/>
          <w:szCs w:val="32"/>
          <w:lang w:eastAsia="zh-CN"/>
        </w:rPr>
        <w:t>八</w:t>
      </w:r>
      <w:r>
        <w:rPr>
          <w:rFonts w:hint="eastAsia" w:ascii="仿宋_GB2312" w:hAnsi="宋体" w:eastAsia="仿宋_GB2312"/>
          <w:sz w:val="32"/>
          <w:szCs w:val="32"/>
          <w:lang w:eastAsia="zh-CN"/>
        </w:rPr>
        <w:t>）区财政部门及时安排资金，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widowControl/>
        <w:adjustRightInd w:val="0"/>
        <w:snapToGrid w:val="0"/>
        <w:spacing w:line="360" w:lineRule="exact"/>
        <w:ind w:firstLine="640" w:firstLineChars="200"/>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56" w:firstLineChars="200"/>
        <w:textAlignment w:val="auto"/>
        <w:rPr>
          <w:rFonts w:hint="eastAsia" w:ascii="仿宋_GB2312" w:eastAsia="仿宋_GB2312"/>
          <w:sz w:val="32"/>
          <w:szCs w:val="32"/>
          <w:lang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i南山企业服务综合平台”（https://www.inanshan.org.cn/）在线填写《南山区促进产业高质量发展专项资金—区文化广电旅游体育局分项资金-鼓励创优评级项目》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p>
    <w:tbl>
      <w:tblPr>
        <w:tblStyle w:val="10"/>
        <w:tblpPr w:leftFromText="180" w:rightFromText="180" w:vertAnchor="text" w:horzAnchor="page" w:tblpX="1839" w:tblpY="285"/>
        <w:tblOverlap w:val="never"/>
        <w:tblW w:w="465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4221"/>
        <w:gridCol w:w="140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pct"/>
            <w:vAlign w:val="center"/>
          </w:tcPr>
          <w:p>
            <w:pPr>
              <w:jc w:val="center"/>
              <w:rPr>
                <w:rFonts w:ascii="楷体" w:hAnsi="楷体" w:eastAsia="楷体"/>
                <w:b/>
                <w:bCs/>
                <w:sz w:val="24"/>
              </w:rPr>
            </w:pPr>
            <w:r>
              <w:rPr>
                <w:rFonts w:hint="eastAsia" w:ascii="楷体" w:hAnsi="楷体" w:eastAsia="楷体"/>
                <w:b/>
                <w:bCs/>
                <w:sz w:val="24"/>
              </w:rPr>
              <w:t>序号</w:t>
            </w:r>
          </w:p>
        </w:tc>
        <w:tc>
          <w:tcPr>
            <w:tcW w:w="2658"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87"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887" w:type="pct"/>
            <w:vAlign w:val="center"/>
          </w:tcPr>
          <w:p>
            <w:pPr>
              <w:jc w:val="center"/>
              <w:rPr>
                <w:rFonts w:hint="eastAsia"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5" w:type="pct"/>
            <w:vAlign w:val="center"/>
          </w:tcPr>
          <w:p>
            <w:pPr>
              <w:spacing w:line="360" w:lineRule="exact"/>
              <w:jc w:val="center"/>
              <w:rPr>
                <w:rFonts w:hint="eastAsia" w:ascii="宋体" w:hAnsi="Times New Roman" w:eastAsia="宋体"/>
                <w:b w:val="0"/>
                <w:bCs/>
                <w:color w:val="auto"/>
                <w:sz w:val="21"/>
                <w:highlight w:val="none"/>
                <w:lang w:val="en-US" w:eastAsia="zh-CN"/>
              </w:rPr>
            </w:pPr>
            <w:r>
              <w:rPr>
                <w:rFonts w:hint="eastAsia" w:ascii="宋体" w:hAnsi="Times New Roman" w:eastAsia="宋体"/>
                <w:b w:val="0"/>
                <w:bCs/>
                <w:color w:val="auto"/>
                <w:sz w:val="21"/>
                <w:highlight w:val="none"/>
                <w:lang w:val="en-US" w:eastAsia="zh-CN"/>
              </w:rPr>
              <w:t>1</w:t>
            </w:r>
          </w:p>
        </w:tc>
        <w:tc>
          <w:tcPr>
            <w:tcW w:w="2658" w:type="pct"/>
            <w:vAlign w:val="center"/>
          </w:tcPr>
          <w:p>
            <w:pPr>
              <w:spacing w:line="360" w:lineRule="exact"/>
              <w:jc w:val="left"/>
              <w:rPr>
                <w:rFonts w:hint="eastAsia" w:ascii="宋体" w:hAnsi="Times New Roman" w:eastAsia="宋体"/>
                <w:b w:val="0"/>
                <w:bCs/>
                <w:color w:val="auto"/>
                <w:sz w:val="21"/>
                <w:highlight w:val="none"/>
              </w:rPr>
            </w:pPr>
            <w:r>
              <w:rPr>
                <w:rFonts w:hint="eastAsia" w:ascii="宋体" w:hAnsi="Times New Roman" w:eastAsia="宋体"/>
                <w:b w:val="0"/>
                <w:bCs/>
                <w:color w:val="auto"/>
                <w:sz w:val="21"/>
                <w:highlight w:val="none"/>
              </w:rPr>
              <w:t>《南山区促进产业高质量发展专项资金—区文化广电旅游体育局分项资金-鼓励创优评级项目申请书》</w:t>
            </w:r>
          </w:p>
        </w:tc>
        <w:tc>
          <w:tcPr>
            <w:tcW w:w="887" w:type="pct"/>
            <w:vAlign w:val="center"/>
          </w:tcPr>
          <w:p>
            <w:pPr>
              <w:spacing w:line="360" w:lineRule="exact"/>
              <w:jc w:val="center"/>
              <w:rPr>
                <w:rFonts w:hint="eastAsia" w:ascii="宋体" w:hAnsi="Times New Roman" w:eastAsia="宋体"/>
                <w:b w:val="0"/>
                <w:bCs/>
                <w:color w:val="auto"/>
                <w:sz w:val="21"/>
                <w:highlight w:val="none"/>
                <w:lang w:eastAsia="zh-CN"/>
              </w:rPr>
            </w:pPr>
            <w:r>
              <w:rPr>
                <w:rFonts w:hint="eastAsia" w:ascii="宋体" w:hAnsi="Times New Roman" w:eastAsia="宋体"/>
                <w:b w:val="0"/>
                <w:bCs/>
                <w:color w:val="auto"/>
                <w:sz w:val="21"/>
                <w:highlight w:val="none"/>
                <w:lang w:eastAsia="zh-CN"/>
              </w:rPr>
              <w:t>是</w:t>
            </w:r>
          </w:p>
        </w:tc>
        <w:tc>
          <w:tcPr>
            <w:tcW w:w="887" w:type="pct"/>
            <w:vAlign w:val="center"/>
          </w:tcPr>
          <w:p>
            <w:pPr>
              <w:spacing w:line="360" w:lineRule="exact"/>
              <w:jc w:val="left"/>
              <w:rPr>
                <w:rFonts w:hint="eastAsia" w:ascii="宋体" w:hAnsi="Times New Roman" w:eastAsia="宋体"/>
                <w:b w:val="0"/>
                <w:bCs/>
                <w:color w:val="auto"/>
                <w:sz w:val="21"/>
                <w:highlight w:val="none"/>
              </w:rPr>
            </w:pPr>
            <w:r>
              <w:rPr>
                <w:rFonts w:hint="eastAsia" w:ascii="宋体" w:hAnsi="Times New Roman" w:eastAsia="宋体"/>
                <w:b w:val="0"/>
                <w:bCs/>
                <w:color w:val="auto"/>
                <w:sz w:val="21"/>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2</w:t>
            </w:r>
          </w:p>
        </w:tc>
        <w:tc>
          <w:tcPr>
            <w:tcW w:w="2658"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统一社会信用代码证书（新版“三证合一”营业执照、事业单位提交新版“三证合一”法人证书；未换领“三证合一”新版营业执照的，提交原旧版营业执照、组织机构代码证书、税务登记证书）</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3</w:t>
            </w:r>
          </w:p>
        </w:tc>
        <w:tc>
          <w:tcPr>
            <w:tcW w:w="2658"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法定代表人身份证</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原件（或复印件加盖单位公章）彩色扫描成PDF文件上传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4</w:t>
            </w:r>
          </w:p>
        </w:tc>
        <w:tc>
          <w:tcPr>
            <w:tcW w:w="2658"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申报主体由税务部门开具的单位上年度纳税证明</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上传税务系统下载带有税务机关红色印章的电子版，事业单位除外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lang w:val="en-US" w:eastAsia="zh-CN"/>
              </w:rPr>
              <w:t>5</w:t>
            </w:r>
          </w:p>
        </w:tc>
        <w:tc>
          <w:tcPr>
            <w:tcW w:w="2658" w:type="pct"/>
            <w:vAlign w:val="center"/>
          </w:tcPr>
          <w:p>
            <w:pPr>
              <w:spacing w:line="360" w:lineRule="exact"/>
              <w:jc w:val="left"/>
              <w:rPr>
                <w:rFonts w:hint="eastAsia" w:ascii="宋体" w:hAnsi="Times New Roman" w:eastAsia="宋体"/>
                <w:bCs/>
                <w:color w:val="auto"/>
                <w:sz w:val="21"/>
                <w:highlight w:val="none"/>
                <w:lang w:eastAsia="zh-CN"/>
              </w:rPr>
            </w:pPr>
            <w:r>
              <w:rPr>
                <w:rFonts w:hint="eastAsia" w:ascii="宋体" w:hAnsi="Times New Roman" w:eastAsia="宋体"/>
                <w:bCs/>
                <w:color w:val="auto"/>
                <w:sz w:val="21"/>
                <w:highlight w:val="none"/>
                <w:lang w:eastAsia="zh-CN"/>
              </w:rPr>
              <w:t>获奖证书</w:t>
            </w:r>
            <w:r>
              <w:rPr>
                <w:rFonts w:hint="eastAsia" w:ascii="宋体" w:hAnsi="Times New Roman" w:eastAsia="宋体"/>
                <w:bCs/>
                <w:color w:val="auto"/>
                <w:sz w:val="21"/>
                <w:highlight w:val="none"/>
                <w:lang w:val="en-US" w:eastAsia="zh-CN"/>
              </w:rPr>
              <w:t>/文件</w:t>
            </w:r>
            <w:r>
              <w:rPr>
                <w:rFonts w:hint="eastAsia" w:ascii="宋体" w:hAnsi="Times New Roman" w:eastAsia="宋体"/>
                <w:bCs/>
                <w:color w:val="auto"/>
                <w:sz w:val="21"/>
                <w:highlight w:val="none"/>
              </w:rPr>
              <w:t>等</w:t>
            </w:r>
            <w:r>
              <w:rPr>
                <w:rFonts w:hint="eastAsia" w:ascii="宋体" w:hAnsi="Times New Roman" w:eastAsia="宋体"/>
                <w:bCs/>
                <w:color w:val="auto"/>
                <w:sz w:val="21"/>
                <w:highlight w:val="none"/>
                <w:lang w:eastAsia="zh-CN"/>
              </w:rPr>
              <w:t>相关证明材料</w:t>
            </w:r>
          </w:p>
        </w:tc>
        <w:tc>
          <w:tcPr>
            <w:tcW w:w="887" w:type="pct"/>
            <w:vAlign w:val="center"/>
          </w:tcPr>
          <w:p>
            <w:pPr>
              <w:spacing w:line="360" w:lineRule="exact"/>
              <w:jc w:val="center"/>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是</w:t>
            </w:r>
          </w:p>
        </w:tc>
        <w:tc>
          <w:tcPr>
            <w:tcW w:w="887" w:type="pct"/>
            <w:vMerge w:val="restart"/>
            <w:vAlign w:val="center"/>
          </w:tcPr>
          <w:p>
            <w:pPr>
              <w:spacing w:line="360" w:lineRule="exact"/>
              <w:jc w:val="left"/>
              <w:rPr>
                <w:rFonts w:hint="eastAsia" w:ascii="宋体" w:hAnsi="Times New Roman" w:eastAsia="宋体"/>
                <w:bCs/>
                <w:color w:val="auto"/>
                <w:sz w:val="21"/>
                <w:highlight w:val="none"/>
              </w:rPr>
            </w:pPr>
            <w:r>
              <w:rPr>
                <w:rFonts w:hint="eastAsia" w:ascii="宋体" w:hAnsi="Times New Roman" w:eastAsia="宋体"/>
                <w:bCs/>
                <w:color w:val="auto"/>
                <w:sz w:val="21"/>
                <w:highlight w:val="none"/>
              </w:rPr>
              <w:t>原件彩色扫描PDF文件上传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565" w:type="pct"/>
            <w:vAlign w:val="center"/>
          </w:tcPr>
          <w:p>
            <w:pPr>
              <w:spacing w:line="360" w:lineRule="exact"/>
              <w:jc w:val="center"/>
              <w:rPr>
                <w:rFonts w:hint="eastAsia" w:ascii="楷体" w:hAnsi="楷体" w:eastAsia="楷体"/>
                <w:sz w:val="24"/>
                <w:lang w:val="en-US" w:eastAsia="zh-CN"/>
              </w:rPr>
            </w:pPr>
            <w:r>
              <w:rPr>
                <w:rFonts w:hint="eastAsia" w:ascii="宋体" w:hAnsi="Times New Roman" w:eastAsia="宋体"/>
                <w:bCs/>
                <w:color w:val="auto"/>
                <w:sz w:val="21"/>
                <w:highlight w:val="none"/>
                <w:lang w:val="en-US" w:eastAsia="zh-CN"/>
              </w:rPr>
              <w:t>6</w:t>
            </w:r>
          </w:p>
        </w:tc>
        <w:tc>
          <w:tcPr>
            <w:tcW w:w="2658" w:type="pct"/>
            <w:vAlign w:val="center"/>
          </w:tcPr>
          <w:p>
            <w:pPr>
              <w:spacing w:line="360" w:lineRule="exact"/>
              <w:jc w:val="left"/>
              <w:rPr>
                <w:rFonts w:ascii="楷体" w:hAnsi="楷体" w:eastAsia="楷体"/>
                <w:sz w:val="24"/>
              </w:rPr>
            </w:pPr>
            <w:r>
              <w:rPr>
                <w:rFonts w:hint="eastAsia" w:ascii="宋体"/>
                <w:bCs/>
                <w:color w:val="auto"/>
                <w:highlight w:val="none"/>
                <w:u w:val="none"/>
              </w:rPr>
              <w:t>审核部门认为需要提供的其</w:t>
            </w:r>
            <w:r>
              <w:rPr>
                <w:rFonts w:hint="eastAsia" w:ascii="宋体"/>
                <w:bCs/>
                <w:color w:val="auto"/>
                <w:highlight w:val="none"/>
                <w:u w:val="none"/>
                <w:lang w:eastAsia="zh-CN"/>
              </w:rPr>
              <w:t>他</w:t>
            </w:r>
            <w:r>
              <w:rPr>
                <w:rFonts w:hint="eastAsia" w:ascii="宋体"/>
                <w:bCs/>
                <w:color w:val="auto"/>
                <w:highlight w:val="none"/>
                <w:u w:val="none"/>
              </w:rPr>
              <w:t>材料</w:t>
            </w:r>
          </w:p>
        </w:tc>
        <w:tc>
          <w:tcPr>
            <w:tcW w:w="887" w:type="pct"/>
            <w:vAlign w:val="center"/>
          </w:tcPr>
          <w:p>
            <w:pPr>
              <w:spacing w:line="360" w:lineRule="exact"/>
              <w:jc w:val="center"/>
              <w:rPr>
                <w:rFonts w:ascii="楷体" w:hAnsi="楷体" w:eastAsia="楷体"/>
                <w:sz w:val="24"/>
              </w:rPr>
            </w:pPr>
            <w:r>
              <w:rPr>
                <w:rFonts w:hint="eastAsia" w:ascii="宋体" w:hAnsi="Times New Roman" w:eastAsia="宋体"/>
                <w:bCs/>
                <w:color w:val="auto"/>
                <w:sz w:val="21"/>
                <w:highlight w:val="none"/>
              </w:rPr>
              <w:t>否</w:t>
            </w:r>
          </w:p>
        </w:tc>
        <w:tc>
          <w:tcPr>
            <w:tcW w:w="887" w:type="pct"/>
            <w:vMerge w:val="continue"/>
            <w:vAlign w:val="center"/>
          </w:tcPr>
          <w:p>
            <w:pPr>
              <w:spacing w:line="360" w:lineRule="exact"/>
              <w:jc w:val="center"/>
              <w:rPr>
                <w:rFonts w:hint="eastAsia" w:ascii="楷体" w:hAnsi="楷体" w:eastAsia="楷体"/>
                <w:sz w:val="24"/>
              </w:rPr>
            </w:pPr>
          </w:p>
        </w:tc>
      </w:tr>
    </w:tbl>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Times New Roman" w:hAnsi="黑体" w:eastAsia="黑体" w:cs="Times New Roman"/>
          <w:color w:val="000000"/>
          <w:kern w:val="2"/>
          <w:sz w:val="32"/>
          <w:szCs w:val="32"/>
          <w:lang w:eastAsia="zh-CN"/>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w:t>
      </w:r>
      <w:r>
        <w:rPr>
          <w:rFonts w:hint="eastAsia" w:ascii="Times New Roman" w:hAnsi="黑体" w:eastAsia="黑体" w:cs="Times New Roman"/>
          <w:color w:val="000000"/>
          <w:kern w:val="2"/>
          <w:sz w:val="32"/>
          <w:szCs w:val="32"/>
          <w:lang w:eastAsia="zh-CN"/>
        </w:rPr>
        <w:t>时限要求</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（一）区文化广电旅游体育局视申请情况安排集中受理企业申请，具体受理时间以发布的申报通知为准。</w:t>
      </w:r>
    </w:p>
    <w:p>
      <w:pPr>
        <w:pStyle w:val="8"/>
        <w:shd w:val="clear" w:color="auto" w:fill="FFFFFF"/>
        <w:adjustRightInd w:val="0"/>
        <w:snapToGrid w:val="0"/>
        <w:spacing w:before="0" w:beforeAutospacing="0" w:after="0" w:afterAutospacing="0" w:line="560" w:lineRule="exact"/>
        <w:ind w:firstLine="645"/>
        <w:jc w:val="both"/>
        <w:rPr>
          <w:rFonts w:hint="eastAsia" w:ascii="Times New Roman" w:hAnsi="黑体" w:eastAsia="黑体" w:cs="Times New Roman"/>
          <w:color w:val="000000"/>
          <w:kern w:val="2"/>
          <w:sz w:val="32"/>
          <w:szCs w:val="32"/>
          <w:lang w:eastAsia="zh-CN"/>
        </w:rPr>
      </w:pPr>
      <w:r>
        <w:rPr>
          <w:rFonts w:hint="eastAsia" w:ascii="仿宋" w:hAnsi="仿宋" w:eastAsia="仿宋" w:cs="Times New Roman"/>
          <w:kern w:val="2"/>
          <w:sz w:val="32"/>
          <w:szCs w:val="32"/>
        </w:rPr>
        <w:t>（二）申报主体须按照区文化广电旅游体育局相关通知要求及时提交资金拨付所需材料，逾期不办理者视为自动放弃。</w:t>
      </w:r>
    </w:p>
    <w:p>
      <w:pPr>
        <w:pStyle w:val="8"/>
        <w:shd w:val="clear" w:color="auto" w:fill="FFFFFF"/>
        <w:adjustRightInd w:val="0"/>
        <w:snapToGrid w:val="0"/>
        <w:spacing w:before="0" w:beforeAutospacing="0" w:after="0" w:afterAutospacing="0" w:line="560" w:lineRule="exact"/>
        <w:ind w:firstLine="645"/>
        <w:jc w:val="both"/>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sz w:val="32"/>
          <w:szCs w:val="32"/>
        </w:rPr>
      </w:pPr>
      <w:r>
        <w:rPr>
          <w:rFonts w:hint="eastAsia" w:ascii="仿宋" w:hAnsi="仿宋" w:eastAsia="仿宋" w:cs="Times New Roman"/>
          <w:sz w:val="32"/>
          <w:szCs w:val="32"/>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二）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8"/>
        <w:shd w:val="clear" w:color="auto" w:fill="FFFFFF"/>
        <w:adjustRightInd w:val="0"/>
        <w:snapToGrid w:val="0"/>
        <w:spacing w:before="0" w:beforeAutospacing="0" w:after="0" w:afterAutospacing="0" w:line="560" w:lineRule="exact"/>
        <w:ind w:firstLine="640" w:firstLineChars="200"/>
        <w:jc w:val="both"/>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十</w:t>
      </w:r>
      <w:r>
        <w:rPr>
          <w:rFonts w:hint="eastAsia" w:ascii="Times New Roman" w:hAnsi="黑体" w:eastAsia="黑体" w:cs="Times New Roman"/>
          <w:color w:val="000000"/>
          <w:kern w:val="2"/>
          <w:sz w:val="32"/>
          <w:szCs w:val="32"/>
        </w:rPr>
        <w:t>、附则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Pr>
        <w:pStyle w:val="8"/>
        <w:shd w:val="clear" w:color="auto" w:fill="FFFFFF"/>
        <w:adjustRightInd w:val="0"/>
        <w:snapToGrid w:val="0"/>
        <w:spacing w:before="0" w:beforeAutospacing="0" w:after="0" w:afterAutospacing="0" w:line="560" w:lineRule="exact"/>
        <w:ind w:firstLine="480" w:firstLineChars="200"/>
        <w:jc w:val="both"/>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0020DDE"/>
    <w:rsid w:val="000F74E3"/>
    <w:rsid w:val="00527592"/>
    <w:rsid w:val="00693243"/>
    <w:rsid w:val="006D3974"/>
    <w:rsid w:val="00794D2A"/>
    <w:rsid w:val="00853DE2"/>
    <w:rsid w:val="00937953"/>
    <w:rsid w:val="00F40B44"/>
    <w:rsid w:val="08F5187D"/>
    <w:rsid w:val="095C7285"/>
    <w:rsid w:val="0A57332B"/>
    <w:rsid w:val="0B275759"/>
    <w:rsid w:val="0B3F65AF"/>
    <w:rsid w:val="0CD63B11"/>
    <w:rsid w:val="0DC259EF"/>
    <w:rsid w:val="104D08F5"/>
    <w:rsid w:val="13507E3E"/>
    <w:rsid w:val="168B0344"/>
    <w:rsid w:val="1D7FE5EA"/>
    <w:rsid w:val="1E395720"/>
    <w:rsid w:val="1E9B000F"/>
    <w:rsid w:val="24EF4964"/>
    <w:rsid w:val="27BA4D96"/>
    <w:rsid w:val="2F17032E"/>
    <w:rsid w:val="32880B83"/>
    <w:rsid w:val="365F39E8"/>
    <w:rsid w:val="37A9DD6F"/>
    <w:rsid w:val="39E0392A"/>
    <w:rsid w:val="3BB35E0F"/>
    <w:rsid w:val="3EEBFDBC"/>
    <w:rsid w:val="42D91274"/>
    <w:rsid w:val="431D4C7D"/>
    <w:rsid w:val="432C2634"/>
    <w:rsid w:val="457258C6"/>
    <w:rsid w:val="4DFD2B10"/>
    <w:rsid w:val="52EC48B3"/>
    <w:rsid w:val="54491527"/>
    <w:rsid w:val="573CB7CF"/>
    <w:rsid w:val="594D7C04"/>
    <w:rsid w:val="59896CCD"/>
    <w:rsid w:val="5E74192E"/>
    <w:rsid w:val="5EEEB735"/>
    <w:rsid w:val="61A87524"/>
    <w:rsid w:val="62A72E7A"/>
    <w:rsid w:val="68FEA40B"/>
    <w:rsid w:val="6B95EAC9"/>
    <w:rsid w:val="6CCA2505"/>
    <w:rsid w:val="6D3414FD"/>
    <w:rsid w:val="70257FF6"/>
    <w:rsid w:val="79DB7256"/>
    <w:rsid w:val="7B39BDFE"/>
    <w:rsid w:val="7D9C7CC2"/>
    <w:rsid w:val="7DFFC16C"/>
    <w:rsid w:val="7ECF423E"/>
    <w:rsid w:val="7EFD2099"/>
    <w:rsid w:val="97FEBF2C"/>
    <w:rsid w:val="BCFF5429"/>
    <w:rsid w:val="C8F6CD1E"/>
    <w:rsid w:val="DCFFB9BC"/>
    <w:rsid w:val="DFFD9091"/>
    <w:rsid w:val="F7BC73C8"/>
    <w:rsid w:val="FB7F435E"/>
    <w:rsid w:val="FBCFF7CA"/>
    <w:rsid w:val="FBF7F454"/>
    <w:rsid w:val="FD7CDBDF"/>
    <w:rsid w:val="FF75E088"/>
    <w:rsid w:val="FFBFCF56"/>
    <w:rsid w:val="FFF32DF8"/>
    <w:rsid w:val="FFFFBD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font5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1449</Words>
  <Characters>1525</Characters>
  <Lines>16</Lines>
  <Paragraphs>4</Paragraphs>
  <TotalTime>2</TotalTime>
  <ScaleCrop>false</ScaleCrop>
  <LinksUpToDate>false</LinksUpToDate>
  <CharactersWithSpaces>1526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2021-04-30T01:41:00Z</dcterms:created>
  <dc:creator>王榕</dc:creator>
  <cp:lastModifiedBy>ns</cp:lastModifiedBy>
  <cp:lastPrinted>2025-10-22T02:54:00Z</cp:lastPrinted>
  <dcterms:modified xsi:type="dcterms:W3CDTF">2025-10-27T18:45:47Z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2C3E90E6E9E641FB9EF48C8C30944A7B</vt:lpwstr>
  </property>
  <property fmtid="{D5CDD505-2E9C-101B-9397-08002B2CF9AE}" pid="4" name="KSOTemplateDocerSaveRecord">
    <vt:lpwstr>eyJoZGlkIjoiNmQ3NmZlZGU2MTUxNzU1NDM0ZTgzOGI1YzBkOTcxZTMiLCJ1c2VySWQiOiIzMjk0MTYzNTUifQ==</vt:lpwstr>
  </property>
</Properties>
</file>