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atLeast"/>
        <w:jc w:val="center"/>
        <w:rPr>
          <w:rFonts w:hint="eastAsia" w:eastAsia="黑体"/>
          <w:color w:val="000000" w:themeColor="text1"/>
          <w:spacing w:val="-14"/>
          <w:sz w:val="32"/>
          <w:szCs w:val="32"/>
          <w:highlight w:val="none"/>
          <w14:textFill>
            <w14:solidFill>
              <w14:schemeClr w14:val="tx1"/>
            </w14:solidFill>
          </w14:textFill>
        </w:rPr>
      </w:pPr>
      <w:bookmarkStart w:id="0" w:name="_GoBack"/>
      <w:bookmarkEnd w:id="0"/>
      <w:r>
        <w:rPr>
          <w:rFonts w:hint="eastAsia" w:eastAsia="黑体"/>
          <w:color w:val="000000" w:themeColor="text1"/>
          <w:spacing w:val="-14"/>
          <w:sz w:val="32"/>
          <w:szCs w:val="32"/>
          <w:highlight w:val="none"/>
          <w14:textFill>
            <w14:solidFill>
              <w14:schemeClr w14:val="tx1"/>
            </w14:solidFill>
          </w14:textFill>
        </w:rPr>
        <w:t>南山区促进产业高质量发展专项资金——</w:t>
      </w:r>
    </w:p>
    <w:p>
      <w:pPr>
        <w:adjustRightInd w:val="0"/>
        <w:snapToGrid w:val="0"/>
        <w:spacing w:line="560" w:lineRule="atLeast"/>
        <w:jc w:val="center"/>
        <w:rPr>
          <w:rFonts w:hint="eastAsia" w:eastAsia="黑体"/>
          <w:color w:val="000000" w:themeColor="text1"/>
          <w:spacing w:val="-14"/>
          <w:sz w:val="32"/>
          <w:szCs w:val="32"/>
          <w:highlight w:val="none"/>
          <w14:textFill>
            <w14:solidFill>
              <w14:schemeClr w14:val="tx1"/>
            </w14:solidFill>
          </w14:textFill>
        </w:rPr>
      </w:pPr>
      <w:r>
        <w:rPr>
          <w:rFonts w:hint="eastAsia" w:eastAsia="黑体"/>
          <w:color w:val="000000" w:themeColor="text1"/>
          <w:spacing w:val="-14"/>
          <w:sz w:val="32"/>
          <w:szCs w:val="32"/>
          <w:highlight w:val="none"/>
          <w14:textFill>
            <w14:solidFill>
              <w14:schemeClr w14:val="tx1"/>
            </w14:solidFill>
          </w14:textFill>
        </w:rPr>
        <w:t>区文化广电旅游体育局分项资金</w:t>
      </w:r>
    </w:p>
    <w:p>
      <w:pPr>
        <w:adjustRightInd w:val="0"/>
        <w:snapToGrid w:val="0"/>
        <w:spacing w:line="560" w:lineRule="atLeast"/>
        <w:jc w:val="center"/>
        <w:rPr>
          <w:rFonts w:eastAsia="黑体"/>
          <w:color w:val="000000" w:themeColor="text1"/>
          <w:sz w:val="32"/>
          <w:szCs w:val="32"/>
          <w:highlight w:val="none"/>
          <w14:textFill>
            <w14:solidFill>
              <w14:schemeClr w14:val="tx1"/>
            </w14:solidFill>
          </w14:textFill>
        </w:rPr>
      </w:pPr>
      <w:r>
        <w:rPr>
          <w:rFonts w:hint="eastAsia" w:eastAsia="黑体"/>
          <w:color w:val="000000" w:themeColor="text1"/>
          <w:spacing w:val="-14"/>
          <w:sz w:val="36"/>
          <w:szCs w:val="36"/>
          <w:highlight w:val="none"/>
          <w14:textFill>
            <w14:solidFill>
              <w14:schemeClr w14:val="tx1"/>
            </w14:solidFill>
          </w14:textFill>
        </w:rPr>
        <w:t>支持培育电竞企业</w:t>
      </w:r>
      <w:r>
        <w:rPr>
          <w:rFonts w:hint="eastAsia" w:eastAsia="黑体"/>
          <w:color w:val="000000" w:themeColor="text1"/>
          <w:spacing w:val="-14"/>
          <w:sz w:val="36"/>
          <w:szCs w:val="36"/>
          <w:highlight w:val="none"/>
          <w:lang w:val="en-US" w:eastAsia="zh-CN"/>
          <w14:textFill>
            <w14:solidFill>
              <w14:schemeClr w14:val="tx1"/>
            </w14:solidFill>
          </w14:textFill>
        </w:rPr>
        <w:t>项目</w:t>
      </w:r>
      <w:r>
        <w:rPr>
          <w:rFonts w:hint="eastAsia" w:eastAsia="黑体"/>
          <w:color w:val="000000" w:themeColor="text1"/>
          <w:sz w:val="32"/>
          <w:szCs w:val="32"/>
          <w:highlight w:val="none"/>
          <w14:textFill>
            <w14:solidFill>
              <w14:schemeClr w14:val="tx1"/>
            </w14:solidFill>
          </w14:textFill>
        </w:rPr>
        <w:t>操作规程</w:t>
      </w:r>
    </w:p>
    <w:p>
      <w:pPr>
        <w:adjustRightInd w:val="0"/>
        <w:snapToGrid w:val="0"/>
        <w:spacing w:line="560" w:lineRule="atLeast"/>
        <w:jc w:val="center"/>
        <w:rPr>
          <w:rFonts w:eastAsia="黑体"/>
          <w:color w:val="000000" w:themeColor="text1"/>
          <w:sz w:val="32"/>
          <w:szCs w:val="32"/>
          <w:highlight w:val="none"/>
          <w14:textFill>
            <w14:solidFill>
              <w14:schemeClr w14:val="tx1"/>
            </w14:solidFill>
          </w14:textFill>
        </w:rPr>
      </w:pPr>
      <w:r>
        <w:rPr>
          <w:rFonts w:hint="eastAsia" w:eastAsia="黑体"/>
          <w:b/>
          <w:bCs/>
          <w:color w:val="000000" w:themeColor="text1"/>
          <w:sz w:val="32"/>
          <w:szCs w:val="32"/>
          <w:highlight w:val="none"/>
          <w14:textFill>
            <w14:solidFill>
              <w14:schemeClr w14:val="tx1"/>
            </w14:solidFill>
          </w14:textFill>
        </w:rPr>
        <w:t>（</w:t>
      </w:r>
      <w:r>
        <w:rPr>
          <w:rFonts w:eastAsia="黑体"/>
          <w:b/>
          <w:bCs/>
          <w:color w:val="000000" w:themeColor="text1"/>
          <w:sz w:val="32"/>
          <w:szCs w:val="32"/>
          <w:highlight w:val="none"/>
          <w14:textFill>
            <w14:solidFill>
              <w14:schemeClr w14:val="tx1"/>
            </w14:solidFill>
          </w14:textFill>
        </w:rPr>
        <w:t>20</w:t>
      </w:r>
      <w:r>
        <w:rPr>
          <w:rFonts w:hint="eastAsia" w:eastAsia="黑体"/>
          <w:b/>
          <w:bCs/>
          <w:color w:val="000000" w:themeColor="text1"/>
          <w:sz w:val="32"/>
          <w:szCs w:val="32"/>
          <w:highlight w:val="none"/>
          <w14:textFill>
            <w14:solidFill>
              <w14:schemeClr w14:val="tx1"/>
            </w14:solidFill>
          </w14:textFill>
        </w:rPr>
        <w:t>2</w:t>
      </w:r>
      <w:r>
        <w:rPr>
          <w:rFonts w:hint="eastAsia" w:eastAsia="黑体"/>
          <w:b/>
          <w:bCs/>
          <w:color w:val="000000" w:themeColor="text1"/>
          <w:sz w:val="32"/>
          <w:szCs w:val="32"/>
          <w:highlight w:val="none"/>
          <w:lang w:val="en-US" w:eastAsia="zh-CN"/>
          <w14:textFill>
            <w14:solidFill>
              <w14:schemeClr w14:val="tx1"/>
            </w14:solidFill>
          </w14:textFill>
        </w:rPr>
        <w:t>5</w:t>
      </w:r>
      <w:r>
        <w:rPr>
          <w:rFonts w:hint="eastAsia" w:eastAsia="黑体"/>
          <w:b/>
          <w:bCs/>
          <w:color w:val="000000" w:themeColor="text1"/>
          <w:sz w:val="32"/>
          <w:szCs w:val="32"/>
          <w:highlight w:val="none"/>
          <w14:textFill>
            <w14:solidFill>
              <w14:schemeClr w14:val="tx1"/>
            </w14:solidFill>
          </w14:textFill>
        </w:rPr>
        <w:t>年）</w:t>
      </w:r>
    </w:p>
    <w:p>
      <w:pPr>
        <w:adjustRightInd w:val="0"/>
        <w:snapToGrid w:val="0"/>
        <w:spacing w:line="560" w:lineRule="atLeast"/>
        <w:rPr>
          <w:rFonts w:hAnsi="仿宋" w:eastAsia="仿宋"/>
          <w:color w:val="000000" w:themeColor="text1"/>
          <w:sz w:val="32"/>
          <w:szCs w:val="32"/>
          <w:highlight w:val="none"/>
          <w14:textFill>
            <w14:solidFill>
              <w14:schemeClr w14:val="tx1"/>
            </w14:solidFill>
          </w14:textFill>
        </w:rPr>
      </w:pPr>
    </w:p>
    <w:p>
      <w:pPr>
        <w:widowControl/>
        <w:adjustRightInd w:val="0"/>
        <w:snapToGrid w:val="0"/>
        <w:spacing w:line="560" w:lineRule="atLeas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14:textFill>
            <w14:solidFill>
              <w14:schemeClr w14:val="tx1"/>
            </w14:solidFill>
          </w14:textFill>
        </w:rPr>
        <w:t>一、政策内容</w:t>
      </w:r>
    </w:p>
    <w:p>
      <w:pPr>
        <w:widowControl/>
        <w:adjustRightInd w:val="0"/>
        <w:snapToGrid w:val="0"/>
        <w:spacing w:line="560" w:lineRule="atLeast"/>
        <w:ind w:firstLine="537" w:firstLineChars="168"/>
        <w:rPr>
          <w:rFonts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14:textFill>
            <w14:solidFill>
              <w14:schemeClr w14:val="tx1"/>
            </w14:solidFill>
          </w14:textFill>
        </w:rPr>
        <w:t>支持培育电竞企业。</w:t>
      </w:r>
      <w:r>
        <w:rPr>
          <w:rFonts w:hint="eastAsia" w:ascii="仿宋_GB2312" w:hAnsi="宋体" w:eastAsia="仿宋_GB2312" w:cs="仿宋"/>
          <w:color w:val="000000" w:themeColor="text1"/>
          <w:sz w:val="32"/>
          <w:szCs w:val="32"/>
          <w:highlight w:val="none"/>
          <w14:textFill>
            <w14:solidFill>
              <w14:schemeClr w14:val="tx1"/>
            </w14:solidFill>
          </w14:textFill>
        </w:rPr>
        <w:t>对符合条件的电竞企业，按照上年度实际支付租金的35%给予房租补贴，每个企业每年不超过150万元，资助期限不超过3年</w:t>
      </w:r>
      <w:r>
        <w:rPr>
          <w:rFonts w:ascii="仿宋_GB2312" w:hAnsi="仿宋" w:eastAsia="仿宋_GB2312" w:cs="仿宋"/>
          <w:color w:val="000000" w:themeColor="text1"/>
          <w:sz w:val="32"/>
          <w:szCs w:val="32"/>
          <w:highlight w:val="none"/>
          <w14:textFill>
            <w14:solidFill>
              <w14:schemeClr w14:val="tx1"/>
            </w14:solidFill>
          </w14:textFill>
        </w:rPr>
        <w:t>。</w:t>
      </w:r>
    </w:p>
    <w:p>
      <w:pPr>
        <w:widowControl/>
        <w:adjustRightInd w:val="0"/>
        <w:snapToGrid w:val="0"/>
        <w:spacing w:line="560" w:lineRule="atLeast"/>
        <w:ind w:firstLine="537" w:firstLineChars="168"/>
        <w:rPr>
          <w:rFonts w:hint="eastAsia" w:ascii="Times New Roman" w:hAnsi="黑体" w:eastAsia="黑体"/>
          <w:color w:val="000000" w:themeColor="text1"/>
          <w:sz w:val="32"/>
          <w:szCs w:val="32"/>
          <w:highlight w:val="none"/>
          <w:lang w:val="en-US" w:eastAsia="zh-CN"/>
          <w14:textFill>
            <w14:solidFill>
              <w14:schemeClr w14:val="tx1"/>
            </w14:solidFill>
          </w14:textFill>
        </w:rPr>
      </w:pPr>
      <w:r>
        <w:rPr>
          <w:rFonts w:hint="eastAsia" w:ascii="Times New Roman" w:hAnsi="黑体" w:eastAsia="黑体"/>
          <w:color w:val="000000" w:themeColor="text1"/>
          <w:sz w:val="32"/>
          <w:szCs w:val="32"/>
          <w:highlight w:val="none"/>
          <w:lang w:val="en-US" w:eastAsia="zh-CN"/>
          <w14:textFill>
            <w14:solidFill>
              <w14:schemeClr w14:val="tx1"/>
            </w14:solidFill>
          </w14:textFill>
        </w:rPr>
        <w:t>二、设定依据</w:t>
      </w:r>
    </w:p>
    <w:p>
      <w:pPr>
        <w:adjustRightInd w:val="0"/>
        <w:snapToGrid w:val="0"/>
        <w:spacing w:line="560" w:lineRule="atLeast"/>
        <w:ind w:firstLine="640" w:firstLineChars="200"/>
        <w:rPr>
          <w:rFonts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为支持电竞企业运营，</w:t>
      </w:r>
      <w:r>
        <w:rPr>
          <w:rFonts w:hint="eastAsia" w:ascii="仿宋_GB2312" w:hAnsi="仿宋" w:eastAsia="仿宋_GB2312"/>
          <w:color w:val="000000" w:themeColor="text1"/>
          <w:sz w:val="32"/>
          <w:szCs w:val="32"/>
          <w:highlight w:val="none"/>
          <w:lang w:eastAsia="zh-CN"/>
          <w14:textFill>
            <w14:solidFill>
              <w14:schemeClr w14:val="tx1"/>
            </w14:solidFill>
          </w14:textFill>
        </w:rPr>
        <w:t>缓解</w:t>
      </w:r>
      <w:r>
        <w:rPr>
          <w:rFonts w:hint="eastAsia" w:ascii="仿宋_GB2312" w:hAnsi="仿宋" w:eastAsia="仿宋_GB2312"/>
          <w:color w:val="000000" w:themeColor="text1"/>
          <w:sz w:val="32"/>
          <w:szCs w:val="32"/>
          <w:highlight w:val="none"/>
          <w14:textFill>
            <w14:solidFill>
              <w14:schemeClr w14:val="tx1"/>
            </w14:solidFill>
          </w14:textFill>
        </w:rPr>
        <w:t>电竞企业</w:t>
      </w:r>
      <w:r>
        <w:rPr>
          <w:rFonts w:hint="eastAsia" w:ascii="仿宋_GB2312" w:hAnsi="仿宋" w:eastAsia="仿宋_GB2312"/>
          <w:color w:val="000000" w:themeColor="text1"/>
          <w:sz w:val="32"/>
          <w:szCs w:val="32"/>
          <w:highlight w:val="none"/>
          <w:lang w:eastAsia="zh-CN"/>
          <w14:textFill>
            <w14:solidFill>
              <w14:schemeClr w14:val="tx1"/>
            </w14:solidFill>
          </w14:textFill>
        </w:rPr>
        <w:t>经营压力</w:t>
      </w:r>
      <w:r>
        <w:rPr>
          <w:rFonts w:hint="eastAsia" w:ascii="仿宋_GB2312" w:hAnsi="仿宋" w:eastAsia="仿宋_GB2312"/>
          <w:color w:val="000000" w:themeColor="text1"/>
          <w:sz w:val="32"/>
          <w:szCs w:val="32"/>
          <w:highlight w:val="none"/>
          <w14:textFill>
            <w14:solidFill>
              <w14:schemeClr w14:val="tx1"/>
            </w14:solidFill>
          </w14:textFill>
        </w:rPr>
        <w:t>，根据《南山区促进产业高质量发展专项资金管理办法》和《南山区促进电竞产业发展专项扶持措施》，制定本操作规程。</w:t>
      </w:r>
    </w:p>
    <w:p>
      <w:pPr>
        <w:widowControl/>
        <w:adjustRightInd w:val="0"/>
        <w:snapToGrid w:val="0"/>
        <w:spacing w:line="560" w:lineRule="atLeast"/>
        <w:ind w:firstLine="640" w:firstLineChars="200"/>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lang w:val="en-US" w:eastAsia="zh-CN"/>
          <w14:textFill>
            <w14:solidFill>
              <w14:schemeClr w14:val="tx1"/>
            </w14:solidFill>
          </w14:textFill>
        </w:rPr>
        <w:t>三</w:t>
      </w:r>
      <w:r>
        <w:rPr>
          <w:rFonts w:hint="eastAsia" w:hAnsi="黑体" w:eastAsia="黑体"/>
          <w:color w:val="000000" w:themeColor="text1"/>
          <w:sz w:val="32"/>
          <w:szCs w:val="32"/>
          <w:highlight w:val="none"/>
          <w14:textFill>
            <w14:solidFill>
              <w14:schemeClr w14:val="tx1"/>
            </w14:solidFill>
          </w14:textFill>
        </w:rPr>
        <w:t>、申请条件</w:t>
      </w:r>
    </w:p>
    <w:p>
      <w:pPr>
        <w:adjustRightInd w:val="0"/>
        <w:snapToGrid w:val="0"/>
        <w:spacing w:line="560" w:lineRule="atLeast"/>
        <w:ind w:firstLine="640" w:firstLineChars="200"/>
        <w:rPr>
          <w:rFonts w:ascii="仿宋_GB2312" w:hAnsi="仿宋" w:eastAsia="仿宋_GB2312"/>
          <w:color w:val="000000" w:themeColor="text1"/>
          <w:sz w:val="32"/>
          <w:szCs w:val="32"/>
          <w:highlight w:val="none"/>
          <w14:textFill>
            <w14:solidFill>
              <w14:schemeClr w14:val="tx1"/>
            </w14:solidFill>
          </w14:textFill>
        </w:rPr>
      </w:pPr>
      <w:r>
        <w:rPr>
          <w:rFonts w:hint="eastAsia" w:ascii="仿宋_GB2312" w:hAnsi="仿宋" w:eastAsia="仿宋_GB2312"/>
          <w:color w:val="000000" w:themeColor="text1"/>
          <w:sz w:val="32"/>
          <w:szCs w:val="32"/>
          <w:highlight w:val="none"/>
          <w14:textFill>
            <w14:solidFill>
              <w14:schemeClr w14:val="tx1"/>
            </w14:solidFill>
          </w14:textFill>
        </w:rPr>
        <w:t>（一）基本条件：</w:t>
      </w:r>
    </w:p>
    <w:p>
      <w:pPr>
        <w:keepNext w:val="0"/>
        <w:keepLines w:val="0"/>
        <w:pageBreakBefore w:val="0"/>
        <w:widowControl w:val="0"/>
        <w:kinsoku/>
        <w:wordWrap/>
        <w:overflowPunct/>
        <w:topLinePunct w:val="0"/>
        <w:autoSpaceDE/>
        <w:autoSpaceDN/>
        <w:bidi w:val="0"/>
        <w:adjustRightInd w:val="0"/>
        <w:snapToGrid w:val="0"/>
        <w:spacing w:line="560" w:lineRule="atLeas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eastAsia" w:ascii="仿宋" w:hAnsi="仿宋" w:eastAsia="仿宋"/>
          <w:color w:val="000000"/>
          <w:sz w:val="32"/>
          <w:szCs w:val="32"/>
        </w:rPr>
        <w:t>、在南山辖区内依法从事实际经营，并具有独立法人资格</w:t>
      </w:r>
      <w:r>
        <w:rPr>
          <w:rFonts w:hint="eastAsia" w:ascii="仿宋" w:hAnsi="仿宋" w:eastAsia="仿宋"/>
          <w:color w:val="000000"/>
          <w:sz w:val="32"/>
          <w:szCs w:val="32"/>
          <w:lang w:eastAsia="zh-CN"/>
        </w:rPr>
        <w:t>；</w:t>
      </w:r>
    </w:p>
    <w:p>
      <w:pPr>
        <w:shd w:val="clear" w:color="auto" w:fill="FFFFFF"/>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2.履行相关数据申报义务、守法经营、诚实守信、有规范的财务管理制度；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_GB2312" w:hAnsi="仿宋_GB2312" w:eastAsia="仿宋_GB2312" w:cs="仿宋_GB2312"/>
          <w:sz w:val="32"/>
          <w:szCs w:val="32"/>
        </w:rPr>
        <w:t>3.应积极配合区委、区政府相关工作。</w:t>
      </w:r>
    </w:p>
    <w:p>
      <w:pPr>
        <w:adjustRightInd w:val="0"/>
        <w:snapToGrid w:val="0"/>
        <w:spacing w:line="560" w:lineRule="atLeas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atLeas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widowControl/>
        <w:adjustRightInd w:val="0"/>
        <w:snapToGrid w:val="0"/>
        <w:spacing w:line="560" w:lineRule="atLeast"/>
        <w:ind w:firstLine="640" w:firstLineChars="200"/>
        <w:rPr>
          <w:rFonts w:hint="eastAsia" w:hAnsi="黑体" w:eastAsia="黑体"/>
          <w:color w:val="000000" w:themeColor="text1"/>
          <w:sz w:val="32"/>
          <w:szCs w:val="32"/>
          <w:highlight w:val="none"/>
          <w:lang w:val="en-US" w:eastAsia="zh-CN"/>
          <w14:textFill>
            <w14:solidFill>
              <w14:schemeClr w14:val="tx1"/>
            </w14:solidFill>
          </w14:textFill>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提出资助申请后，申报主体项目实施地或数据申报地发生变化，不再符合申报条件的。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atLeast"/>
        <w:ind w:firstLine="640" w:firstLineChars="200"/>
        <w:textAlignment w:val="auto"/>
        <w:rPr>
          <w:rFonts w:hint="eastAsia" w:ascii="Times New Roman" w:hAnsi="黑体" w:eastAsia="黑体" w:cs="Times New Roman"/>
          <w:color w:val="000000"/>
          <w:sz w:val="32"/>
          <w:szCs w:val="32"/>
          <w:lang w:val="en-US" w:eastAsia="zh-CN"/>
        </w:rPr>
      </w:pPr>
      <w:r>
        <w:rPr>
          <w:rFonts w:hint="eastAsia" w:hAnsi="黑体" w:eastAsia="黑体" w:cs="Times New Roman"/>
          <w:color w:val="000000"/>
          <w:sz w:val="32"/>
          <w:szCs w:val="32"/>
          <w:lang w:val="en-US" w:eastAsia="zh-CN"/>
        </w:rPr>
        <w:t>四</w:t>
      </w:r>
      <w:r>
        <w:rPr>
          <w:rFonts w:hint="eastAsia" w:ascii="Times New Roman" w:hAnsi="黑体" w:eastAsia="黑体" w:cs="Times New Roman"/>
          <w:color w:val="000000"/>
          <w:sz w:val="32"/>
          <w:szCs w:val="32"/>
          <w:lang w:val="en-US" w:eastAsia="zh-CN"/>
        </w:rPr>
        <w:t>、申报类别</w:t>
      </w:r>
    </w:p>
    <w:p>
      <w:pPr>
        <w:pStyle w:val="15"/>
        <w:tabs>
          <w:tab w:val="left" w:pos="0"/>
        </w:tabs>
        <w:spacing w:line="560" w:lineRule="exact"/>
        <w:ind w:firstLine="640"/>
        <w:rPr>
          <w:rFonts w:ascii="仿宋_GB2312" w:hAnsi="仿宋" w:eastAsia="仿宋_GB2312" w:cs="仿宋"/>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14:textFill>
            <w14:solidFill>
              <w14:schemeClr w14:val="tx1"/>
            </w14:solidFill>
          </w14:textFill>
        </w:rPr>
        <w:t>支持培育电竞企业。</w:t>
      </w:r>
      <w:r>
        <w:rPr>
          <w:rFonts w:hint="eastAsia" w:ascii="仿宋_GB2312" w:hAnsi="宋体" w:eastAsia="仿宋_GB2312" w:cs="仿宋"/>
          <w:color w:val="000000" w:themeColor="text1"/>
          <w:sz w:val="32"/>
          <w:szCs w:val="32"/>
          <w:highlight w:val="none"/>
          <w14:textFill>
            <w14:solidFill>
              <w14:schemeClr w14:val="tx1"/>
            </w14:solidFill>
          </w14:textFill>
        </w:rPr>
        <w:t>对符合条件的电竞企业，按照上年度实际支付租金的35%给予房租补贴，每个企业每年不超过150万元，资助期限不超过3年</w:t>
      </w:r>
      <w:r>
        <w:rPr>
          <w:rFonts w:ascii="仿宋_GB2312" w:hAnsi="仿宋" w:eastAsia="仿宋_GB2312" w:cs="仿宋"/>
          <w:color w:val="000000" w:themeColor="text1"/>
          <w:sz w:val="32"/>
          <w:szCs w:val="32"/>
          <w:highlight w:val="none"/>
          <w14:textFill>
            <w14:solidFill>
              <w14:schemeClr w14:val="tx1"/>
            </w14:solidFill>
          </w14:textFill>
        </w:rPr>
        <w:t>。</w:t>
      </w:r>
    </w:p>
    <w:p>
      <w:pPr>
        <w:adjustRightInd w:val="0"/>
        <w:snapToGrid w:val="0"/>
        <w:spacing w:line="560" w:lineRule="exact"/>
        <w:ind w:firstLine="640" w:firstLineChars="200"/>
        <w:rPr>
          <w:rFonts w:ascii="楷体_GB2312" w:hAnsi="楷体_GB2312" w:eastAsia="楷体_GB2312" w:cs="楷体_GB2312"/>
          <w:color w:val="000000" w:themeColor="text1"/>
          <w:sz w:val="32"/>
          <w:szCs w:val="32"/>
          <w:highlight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14:textFill>
            <w14:solidFill>
              <w14:schemeClr w14:val="tx1"/>
            </w14:solidFill>
          </w14:textFill>
        </w:rPr>
        <w:t>申报条件及说明：</w:t>
      </w:r>
    </w:p>
    <w:p>
      <w:pPr>
        <w:pStyle w:val="15"/>
        <w:tabs>
          <w:tab w:val="left" w:pos="0"/>
        </w:tabs>
        <w:spacing w:line="560" w:lineRule="exact"/>
        <w:ind w:firstLine="640"/>
        <w:rPr>
          <w:rFonts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1）电竞企业是指从事</w:t>
      </w:r>
      <w:r>
        <w:rPr>
          <w:rFonts w:hint="eastAsia" w:ascii="仿宋_GB2312" w:hAnsi="仿宋" w:eastAsia="仿宋_GB2312" w:cs="仿宋"/>
          <w:color w:val="000000" w:themeColor="text1"/>
          <w:sz w:val="32"/>
          <w:szCs w:val="32"/>
          <w:highlight w:val="none"/>
          <w14:textFill>
            <w14:solidFill>
              <w14:schemeClr w14:val="tx1"/>
            </w14:solidFill>
          </w14:textFill>
        </w:rPr>
        <w:t>电竞及相关产业的法人单位，主营业务范围包括电竞内容研发、电竞软件服务；电竞俱乐部、电竞赛事；电竞场馆、电竞产业园；电竞运营、电竞媒体、电竞教育和培训</w:t>
      </w:r>
      <w:r>
        <w:rPr>
          <w:rFonts w:hint="eastAsia" w:ascii="仿宋_GB2312" w:hAnsi="仿宋" w:eastAsia="仿宋_GB2312" w:cs="Times New Roman"/>
          <w:color w:val="000000"/>
          <w:sz w:val="32"/>
          <w:szCs w:val="32"/>
          <w:highlight w:val="none"/>
        </w:rPr>
        <w:t>。</w:t>
      </w:r>
    </w:p>
    <w:p>
      <w:pPr>
        <w:pStyle w:val="15"/>
        <w:tabs>
          <w:tab w:val="left" w:pos="0"/>
        </w:tabs>
        <w:spacing w:line="560" w:lineRule="exact"/>
        <w:ind w:firstLine="640"/>
        <w:rPr>
          <w:rFonts w:ascii="仿宋_GB2312" w:hAnsi="仿宋" w:eastAsia="仿宋_GB2312" w:cs="Times New Roman"/>
          <w:color w:val="000000"/>
          <w:sz w:val="32"/>
          <w:szCs w:val="32"/>
          <w:highlight w:val="none"/>
        </w:rPr>
      </w:pPr>
      <w:r>
        <w:rPr>
          <w:rFonts w:hint="eastAsia" w:ascii="仿宋_GB2312" w:hAnsi="仿宋" w:eastAsia="仿宋_GB2312" w:cs="Times New Roman"/>
          <w:color w:val="000000"/>
          <w:sz w:val="32"/>
          <w:szCs w:val="32"/>
          <w:highlight w:val="none"/>
        </w:rPr>
        <w:t>2）申请</w:t>
      </w:r>
      <w:r>
        <w:rPr>
          <w:rFonts w:hint="eastAsia" w:ascii="仿宋_GB2312" w:hAnsi="仿宋" w:eastAsia="仿宋_GB2312" w:cs="Times New Roman"/>
          <w:color w:val="000000"/>
          <w:sz w:val="32"/>
          <w:szCs w:val="32"/>
          <w:highlight w:val="none"/>
          <w:lang w:val="en-US" w:eastAsia="zh-CN"/>
        </w:rPr>
        <w:t>上一</w:t>
      </w:r>
      <w:r>
        <w:rPr>
          <w:rFonts w:hint="eastAsia" w:ascii="仿宋_GB2312" w:hAnsi="仿宋" w:eastAsia="仿宋_GB2312" w:cs="Times New Roman"/>
          <w:color w:val="000000"/>
          <w:sz w:val="32"/>
          <w:szCs w:val="32"/>
          <w:highlight w:val="none"/>
        </w:rPr>
        <w:t>年度的主营收入不少于5</w:t>
      </w:r>
      <w:r>
        <w:rPr>
          <w:rFonts w:ascii="仿宋_GB2312" w:hAnsi="仿宋" w:eastAsia="仿宋_GB2312" w:cs="Times New Roman"/>
          <w:color w:val="000000"/>
          <w:sz w:val="32"/>
          <w:szCs w:val="32"/>
          <w:highlight w:val="none"/>
        </w:rPr>
        <w:t>00</w:t>
      </w:r>
      <w:r>
        <w:rPr>
          <w:rFonts w:hint="eastAsia" w:ascii="仿宋_GB2312" w:hAnsi="仿宋" w:eastAsia="仿宋_GB2312" w:cs="Times New Roman"/>
          <w:color w:val="000000"/>
          <w:sz w:val="32"/>
          <w:szCs w:val="32"/>
          <w:highlight w:val="none"/>
        </w:rPr>
        <w:t>万元</w:t>
      </w:r>
      <w:r>
        <w:rPr>
          <w:rFonts w:hint="eastAsia" w:ascii="仿宋_GB2312" w:hAnsi="仿宋" w:eastAsia="仿宋_GB2312" w:cs="Times New Roman"/>
          <w:color w:val="000000"/>
          <w:sz w:val="32"/>
          <w:szCs w:val="32"/>
          <w:highlight w:val="none"/>
          <w:lang w:val="en-US" w:eastAsia="zh-CN"/>
        </w:rPr>
        <w:t>且电竞相关产业的主营收入占比超过50%</w:t>
      </w:r>
      <w:r>
        <w:rPr>
          <w:rFonts w:hint="eastAsia" w:ascii="仿宋_GB2312" w:hAnsi="仿宋" w:eastAsia="仿宋_GB2312" w:cs="Times New Roman"/>
          <w:color w:val="000000"/>
          <w:sz w:val="32"/>
          <w:szCs w:val="32"/>
          <w:highlight w:val="none"/>
        </w:rPr>
        <w:t>。</w:t>
      </w:r>
    </w:p>
    <w:p>
      <w:pPr>
        <w:pStyle w:val="15"/>
        <w:widowControl/>
        <w:tabs>
          <w:tab w:val="left" w:pos="0"/>
        </w:tabs>
        <w:adjustRightInd w:val="0"/>
        <w:snapToGrid w:val="0"/>
        <w:spacing w:line="560" w:lineRule="exact"/>
        <w:ind w:firstLine="537" w:firstLineChars="168"/>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pPr>
      <w:r>
        <w:rPr>
          <w:rFonts w:ascii="仿宋_GB2312" w:hAnsi="仿宋" w:eastAsia="仿宋_GB2312" w:cs="Times New Roman"/>
          <w:color w:val="000000"/>
          <w:sz w:val="32"/>
          <w:szCs w:val="32"/>
          <w:highlight w:val="none"/>
        </w:rPr>
        <w:t>3</w:t>
      </w:r>
      <w:r>
        <w:rPr>
          <w:rFonts w:hint="eastAsia" w:ascii="仿宋_GB2312" w:hAnsi="仿宋" w:eastAsia="仿宋_GB2312" w:cs="Times New Roman"/>
          <w:color w:val="000000"/>
          <w:sz w:val="32"/>
          <w:szCs w:val="32"/>
          <w:highlight w:val="none"/>
        </w:rPr>
        <w:t>）</w:t>
      </w:r>
      <w:r>
        <w:rPr>
          <w:rFonts w:hint="eastAsia" w:ascii="仿宋_GB2312" w:hAnsi="仿宋" w:eastAsia="仿宋_GB2312" w:cs="仿宋"/>
          <w:color w:val="000000" w:themeColor="text1"/>
          <w:sz w:val="32"/>
          <w:szCs w:val="32"/>
          <w:highlight w:val="none"/>
          <w:lang w:val="en-US" w:eastAsia="zh-CN"/>
          <w14:textFill>
            <w14:solidFill>
              <w14:schemeClr w14:val="tx1"/>
            </w14:solidFill>
          </w14:textFill>
        </w:rPr>
        <w:t>已享受完其他区级房租补贴政策的，不再重复享受。</w:t>
      </w:r>
    </w:p>
    <w:p>
      <w:pPr>
        <w:widowControl/>
        <w:adjustRightInd w:val="0"/>
        <w:snapToGrid w:val="0"/>
        <w:spacing w:line="560" w:lineRule="exact"/>
        <w:ind w:firstLine="537" w:firstLineChars="168"/>
        <w:rPr>
          <w:rFonts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lang w:val="en-US" w:eastAsia="zh-CN"/>
          <w14:textFill>
            <w14:solidFill>
              <w14:schemeClr w14:val="tx1"/>
            </w14:solidFill>
          </w14:textFill>
        </w:rPr>
        <w:t>五</w:t>
      </w:r>
      <w:r>
        <w:rPr>
          <w:rFonts w:hint="eastAsia" w:hAnsi="黑体" w:eastAsia="黑体"/>
          <w:color w:val="000000" w:themeColor="text1"/>
          <w:sz w:val="32"/>
          <w:szCs w:val="32"/>
          <w:highlight w:val="none"/>
          <w14:textFill>
            <w14:solidFill>
              <w14:schemeClr w14:val="tx1"/>
            </w14:solidFill>
          </w14:textFill>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widowControl/>
        <w:adjustRightInd w:val="0"/>
        <w:snapToGrid w:val="0"/>
        <w:spacing w:line="560" w:lineRule="atLeast"/>
        <w:ind w:firstLine="537" w:firstLineChars="168"/>
        <w:rPr>
          <w:rFonts w:hint="eastAsia"/>
        </w:rPr>
      </w:pPr>
      <w:r>
        <w:rPr>
          <w:rFonts w:hint="eastAsia" w:ascii="仿宋" w:hAnsi="仿宋" w:eastAsia="仿宋"/>
          <w:sz w:val="32"/>
          <w:szCs w:val="32"/>
        </w:rPr>
        <w:t>本项资助受年度资金预算控制，区文化广电旅游体育局视申报情况和预算安排，可以对资助金额、支持比例和拨付进度等进行统一调整，申报主体应无条件同意调整结果。</w:t>
      </w:r>
    </w:p>
    <w:p>
      <w:pPr>
        <w:keepNext w:val="0"/>
        <w:keepLines w:val="0"/>
        <w:pageBreakBefore w:val="0"/>
        <w:widowControl/>
        <w:kinsoku/>
        <w:wordWrap/>
        <w:overflowPunct/>
        <w:topLinePunct w:val="0"/>
        <w:autoSpaceDE/>
        <w:autoSpaceDN/>
        <w:bidi w:val="0"/>
        <w:adjustRightInd w:val="0"/>
        <w:snapToGrid w:val="0"/>
        <w:spacing w:line="560" w:lineRule="atLeast"/>
        <w:ind w:firstLine="640" w:firstLineChars="200"/>
        <w:textAlignment w:val="auto"/>
        <w:rPr>
          <w:rFonts w:hint="eastAsia" w:ascii="Times New Roman" w:hAnsi="黑体" w:eastAsia="黑体" w:cs="Times New Roman"/>
          <w:color w:val="000000"/>
          <w:sz w:val="32"/>
          <w:szCs w:val="32"/>
        </w:rPr>
      </w:pPr>
      <w:r>
        <w:rPr>
          <w:rFonts w:hint="eastAsia" w:hAnsi="黑体" w:eastAsia="黑体" w:cs="Times New Roman"/>
          <w:color w:val="000000"/>
          <w:sz w:val="32"/>
          <w:szCs w:val="32"/>
          <w:lang w:eastAsia="zh-CN"/>
        </w:rPr>
        <w:t>六</w:t>
      </w:r>
      <w:r>
        <w:rPr>
          <w:rFonts w:hint="eastAsia" w:ascii="Times New Roman" w:hAnsi="黑体" w:eastAsia="黑体" w:cs="Times New Roman"/>
          <w:color w:val="000000"/>
          <w:sz w:val="32"/>
          <w:szCs w:val="32"/>
        </w:rPr>
        <w:t>、</w:t>
      </w:r>
      <w:r>
        <w:rPr>
          <w:rFonts w:hint="eastAsia" w:hAnsi="黑体" w:eastAsia="黑体" w:cs="Times New Roman"/>
          <w:color w:val="000000"/>
          <w:sz w:val="32"/>
          <w:szCs w:val="32"/>
          <w:lang w:eastAsia="zh-CN"/>
        </w:rPr>
        <w:t>办理流程</w:t>
      </w:r>
    </w:p>
    <w:p>
      <w:pPr>
        <w:spacing w:after="0" w:line="560" w:lineRule="atLeas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登录</w:t>
      </w:r>
      <w:r>
        <w:rPr>
          <w:rFonts w:ascii="仿宋_GB2312" w:eastAsia="仿宋_GB2312"/>
          <w:sz w:val="32"/>
          <w:szCs w:val="32"/>
          <w:highlight w:val="none"/>
          <w:lang w:eastAsia="zh-CN"/>
        </w:rPr>
        <w:t>“</w:t>
      </w:r>
      <w:r>
        <w:rPr>
          <w:rFonts w:hint="eastAsia" w:ascii="仿宋_GB2312" w:eastAsia="仿宋_GB2312"/>
          <w:sz w:val="32"/>
          <w:szCs w:val="32"/>
          <w:highlight w:val="none"/>
          <w:lang w:val="en-US" w:eastAsia="zh-CN"/>
        </w:rPr>
        <w:t>A</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atLeas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，区文化广电旅游体育局复审项目申报材料； </w:t>
      </w:r>
    </w:p>
    <w:p>
      <w:pPr>
        <w:spacing w:after="0" w:line="560" w:lineRule="atLeas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atLeas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（四）区相关部门对申报主体的有关经营资质情况进行核查；</w:t>
      </w:r>
    </w:p>
    <w:p>
      <w:pPr>
        <w:spacing w:after="0" w:line="560" w:lineRule="atLeas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再按照相应审核程序提交审议</w:t>
      </w:r>
      <w:r>
        <w:rPr>
          <w:rFonts w:hint="eastAsia" w:ascii="仿宋_GB2312" w:eastAsia="仿宋_GB2312"/>
          <w:sz w:val="32"/>
          <w:szCs w:val="32"/>
          <w:lang w:eastAsia="zh-CN"/>
        </w:rPr>
        <w:t>；</w:t>
      </w:r>
    </w:p>
    <w:p>
      <w:pPr>
        <w:spacing w:after="0" w:line="560" w:lineRule="atLeas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widowControl/>
        <w:spacing w:line="560" w:lineRule="atLeas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rPr>
        <w:t>（七）申报主体线上提交加盖单位财务专用章的收据；</w:t>
      </w:r>
    </w:p>
    <w:p>
      <w:pPr>
        <w:widowControl/>
        <w:spacing w:line="560" w:lineRule="atLeast"/>
        <w:ind w:firstLine="640" w:firstLineChars="200"/>
        <w:rPr>
          <w:color w:val="000000" w:themeColor="text1"/>
          <w:highlight w:val="none"/>
          <w14:textFill>
            <w14:solidFill>
              <w14:schemeClr w14:val="tx1"/>
            </w14:solidFill>
          </w14:textFill>
        </w:rPr>
      </w:pPr>
      <w:r>
        <w:rPr>
          <w:rFonts w:hint="eastAsia" w:ascii="仿宋_GB2312" w:hAnsi="宋体" w:eastAsia="仿宋_GB2312"/>
          <w:sz w:val="32"/>
          <w:szCs w:val="32"/>
          <w:lang w:eastAsia="zh-CN"/>
        </w:rPr>
        <w:t>（八）区财政部门及时安排资金，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widowControl/>
        <w:adjustRightInd w:val="0"/>
        <w:snapToGrid w:val="0"/>
        <w:spacing w:line="560" w:lineRule="atLeast"/>
        <w:ind w:firstLine="640" w:firstLineChars="200"/>
        <w:rPr>
          <w:rFonts w:hAnsi="黑体" w:eastAsia="黑体"/>
          <w:color w:val="000000" w:themeColor="text1"/>
          <w:sz w:val="32"/>
          <w:szCs w:val="32"/>
          <w:highlight w:val="none"/>
          <w14:textFill>
            <w14:solidFill>
              <w14:schemeClr w14:val="tx1"/>
            </w14:solidFill>
          </w14:textFill>
        </w:rPr>
      </w:pPr>
      <w:r>
        <w:rPr>
          <w:rFonts w:hint="eastAsia" w:hAnsi="黑体" w:eastAsia="黑体"/>
          <w:color w:val="000000" w:themeColor="text1"/>
          <w:sz w:val="32"/>
          <w:szCs w:val="32"/>
          <w:highlight w:val="none"/>
          <w:lang w:val="en-US" w:eastAsia="zh-CN"/>
          <w14:textFill>
            <w14:solidFill>
              <w14:schemeClr w14:val="tx1"/>
            </w14:solidFill>
          </w14:textFill>
        </w:rPr>
        <w:t>七</w:t>
      </w:r>
      <w:r>
        <w:rPr>
          <w:rFonts w:hint="eastAsia" w:hAnsi="黑体" w:eastAsia="黑体"/>
          <w:color w:val="000000" w:themeColor="text1"/>
          <w:sz w:val="32"/>
          <w:szCs w:val="32"/>
          <w:highlight w:val="none"/>
          <w14:textFill>
            <w14:solidFill>
              <w14:schemeClr w14:val="tx1"/>
            </w14:solidFill>
          </w14:textFill>
        </w:rPr>
        <w:t>、所需材料</w:t>
      </w:r>
    </w:p>
    <w:p>
      <w:pPr>
        <w:adjustRightInd w:val="0"/>
        <w:snapToGrid w:val="0"/>
        <w:spacing w:line="560" w:lineRule="atLeast"/>
        <w:ind w:firstLine="656" w:firstLineChars="200"/>
        <w:rPr>
          <w:rFonts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申请类别为</w:t>
      </w:r>
      <w:r>
        <w:rPr>
          <w:rFonts w:hint="eastAsia" w:ascii="仿宋_GB2312" w:hAnsi="宋体" w:eastAsia="仿宋_GB2312" w:cs="宋体"/>
          <w:color w:val="000000" w:themeColor="text1"/>
          <w:spacing w:val="4"/>
          <w:kern w:val="0"/>
          <w:sz w:val="32"/>
          <w:szCs w:val="32"/>
          <w:highlight w:val="none"/>
          <w:lang w:eastAsia="zh-CN"/>
          <w14:textFill>
            <w14:solidFill>
              <w14:schemeClr w14:val="tx1"/>
            </w14:solidFill>
          </w14:textFill>
        </w:rPr>
        <w:t>支持</w:t>
      </w:r>
      <w:r>
        <w:rPr>
          <w:rFonts w:hint="eastAsia" w:ascii="仿宋_GB2312" w:hAnsi="仿宋" w:eastAsia="仿宋_GB2312" w:cs="仿宋"/>
          <w:color w:val="000000" w:themeColor="text1"/>
          <w:sz w:val="32"/>
          <w:szCs w:val="32"/>
          <w:highlight w:val="none"/>
          <w14:textFill>
            <w14:solidFill>
              <w14:schemeClr w14:val="tx1"/>
            </w14:solidFill>
          </w14:textFill>
        </w:rPr>
        <w:t>培育电竞企业</w:t>
      </w:r>
      <w:r>
        <w:rPr>
          <w:rFonts w:hint="eastAsia" w:ascii="仿宋_GB2312" w:hAnsi="仿宋" w:eastAsia="仿宋_GB2312" w:cs="仿宋"/>
          <w:color w:val="000000" w:themeColor="text1"/>
          <w:sz w:val="32"/>
          <w:szCs w:val="32"/>
          <w:highlight w:val="none"/>
          <w:lang w:eastAsia="zh-CN"/>
          <w14:textFill>
            <w14:solidFill>
              <w14:schemeClr w14:val="tx1"/>
            </w14:solidFill>
          </w14:textFill>
        </w:rPr>
        <w:t>项目</w:t>
      </w:r>
      <w:r>
        <w:rPr>
          <w:rFonts w:hint="eastAsia" w:ascii="仿宋_GB2312" w:hAnsi="仿宋" w:eastAsia="仿宋_GB2312" w:cs="仿宋"/>
          <w:bCs/>
          <w:color w:val="000000" w:themeColor="text1"/>
          <w:sz w:val="32"/>
          <w:highlight w:val="none"/>
          <w14:textFill>
            <w14:solidFill>
              <w14:schemeClr w14:val="tx1"/>
            </w14:solidFill>
          </w14:textFill>
        </w:rPr>
        <w:t>，需</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提供以下资料：</w:t>
      </w:r>
    </w:p>
    <w:p>
      <w:pPr>
        <w:adjustRightInd w:val="0"/>
        <w:snapToGrid w:val="0"/>
        <w:spacing w:line="560" w:lineRule="atLeast"/>
        <w:ind w:firstLine="656" w:firstLineChars="200"/>
        <w:rPr>
          <w:rFonts w:hint="eastAsia" w:ascii="仿宋_GB2312" w:hAnsi="宋体" w:eastAsia="仿宋_GB2312" w:cs="宋体"/>
          <w:color w:val="000000" w:themeColor="text1"/>
          <w:spacing w:val="4"/>
          <w:kern w:val="0"/>
          <w:sz w:val="32"/>
          <w:szCs w:val="32"/>
          <w:highlight w:val="none"/>
          <w14:textFill>
            <w14:solidFill>
              <w14:schemeClr w14:val="tx1"/>
            </w14:solidFill>
          </w14:textFill>
        </w:rPr>
      </w:pP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登录“</w:t>
      </w:r>
      <w:r>
        <w:rPr>
          <w:rFonts w:hint="eastAsia" w:ascii="仿宋_GB2312" w:hAnsi="宋体" w:eastAsia="仿宋_GB2312" w:cs="宋体"/>
          <w:color w:val="000000" w:themeColor="text1"/>
          <w:spacing w:val="4"/>
          <w:kern w:val="0"/>
          <w:sz w:val="32"/>
          <w:szCs w:val="32"/>
          <w:highlight w:val="none"/>
          <w:lang w:val="en-US" w:eastAsia="zh-CN"/>
          <w14:textFill>
            <w14:solidFill>
              <w14:schemeClr w14:val="tx1"/>
            </w14:solidFill>
          </w14:textFill>
        </w:rPr>
        <w:t>A</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i南山企业服务综合平台”（https://www.inanshan.org.cn/）在线填写《南山区促进产业高质量发展专项资金—区文化广电旅游体育局分项资金</w:t>
      </w:r>
      <w:r>
        <w:rPr>
          <w:rFonts w:hint="eastAsia" w:ascii="仿宋_GB2312" w:hAnsi="宋体" w:eastAsia="仿宋_GB2312" w:cs="宋体"/>
          <w:color w:val="000000" w:themeColor="text1"/>
          <w:spacing w:val="4"/>
          <w:kern w:val="0"/>
          <w:sz w:val="32"/>
          <w:szCs w:val="32"/>
          <w:highlight w:val="none"/>
          <w:lang w:eastAsia="zh-CN"/>
          <w14:textFill>
            <w14:solidFill>
              <w14:schemeClr w14:val="tx1"/>
            </w14:solidFill>
          </w14:textFill>
        </w:rPr>
        <w:t>-</w:t>
      </w:r>
      <w:r>
        <w:rPr>
          <w:rFonts w:hint="eastAsia" w:ascii="仿宋_GB2312" w:hAnsi="仿宋" w:eastAsia="仿宋_GB2312" w:cs="仿宋"/>
          <w:bCs/>
          <w:color w:val="000000" w:themeColor="text1"/>
          <w:sz w:val="32"/>
          <w:highlight w:val="none"/>
          <w14:textFill>
            <w14:solidFill>
              <w14:schemeClr w14:val="tx1"/>
            </w14:solidFill>
          </w14:textFill>
        </w:rPr>
        <w:t>支持培育电竞企业项目</w:t>
      </w:r>
      <w:r>
        <w:rPr>
          <w:rFonts w:hint="eastAsia" w:ascii="仿宋_GB2312" w:hAnsi="宋体" w:eastAsia="仿宋_GB2312" w:cs="宋体"/>
          <w:color w:val="000000" w:themeColor="text1"/>
          <w:spacing w:val="4"/>
          <w:kern w:val="0"/>
          <w:sz w:val="32"/>
          <w:szCs w:val="32"/>
          <w:highlight w:val="none"/>
          <w14:textFill>
            <w14:solidFill>
              <w14:schemeClr w14:val="tx1"/>
            </w14:solidFill>
          </w14:textFill>
        </w:rPr>
        <w:t>申请书》。</w:t>
      </w:r>
    </w:p>
    <w:p>
      <w:pPr>
        <w:pStyle w:val="2"/>
        <w:rPr>
          <w:rFonts w:hint="eastAsia" w:ascii="仿宋_GB2312" w:hAnsi="宋体" w:eastAsia="仿宋_GB2312" w:cs="宋体"/>
          <w:color w:val="000000" w:themeColor="text1"/>
          <w:spacing w:val="4"/>
          <w:kern w:val="0"/>
          <w:sz w:val="32"/>
          <w:szCs w:val="32"/>
          <w:highlight w:val="none"/>
          <w14:textFill>
            <w14:solidFill>
              <w14:schemeClr w14:val="tx1"/>
            </w14:solidFill>
          </w14:textFill>
        </w:rPr>
      </w:pPr>
    </w:p>
    <w:p/>
    <w:tbl>
      <w:tblPr>
        <w:tblStyle w:val="10"/>
        <w:tblW w:w="923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jc w:val="center"/>
        </w:trPr>
        <w:tc>
          <w:tcPr>
            <w:tcW w:w="722" w:type="dxa"/>
            <w:noWrap w:val="0"/>
            <w:vAlign w:val="center"/>
          </w:tcPr>
          <w:p>
            <w:pPr>
              <w:spacing w:line="560" w:lineRule="atLeast"/>
              <w:jc w:val="center"/>
              <w:rPr>
                <w:rFonts w:hint="eastAsia" w:ascii="黑体" w:hAnsi="黑体" w:eastAsia="黑体" w:cs="黑体"/>
                <w:sz w:val="24"/>
                <w:szCs w:val="24"/>
                <w:highlight w:val="none"/>
              </w:rPr>
            </w:pPr>
            <w:r>
              <w:rPr>
                <w:rFonts w:hint="eastAsia" w:ascii="黑体" w:hAnsi="黑体" w:eastAsia="黑体" w:cs="黑体"/>
                <w:sz w:val="24"/>
                <w:szCs w:val="24"/>
                <w:highlight w:val="none"/>
              </w:rPr>
              <w:t>序号</w:t>
            </w:r>
          </w:p>
        </w:tc>
        <w:tc>
          <w:tcPr>
            <w:tcW w:w="4405" w:type="dxa"/>
            <w:noWrap w:val="0"/>
            <w:vAlign w:val="center"/>
          </w:tcPr>
          <w:p>
            <w:pPr>
              <w:spacing w:line="560" w:lineRule="atLeast"/>
              <w:jc w:val="center"/>
              <w:rPr>
                <w:rFonts w:hint="eastAsia" w:ascii="黑体" w:hAnsi="黑体" w:eastAsia="黑体" w:cs="黑体"/>
                <w:sz w:val="24"/>
                <w:szCs w:val="24"/>
                <w:highlight w:val="none"/>
              </w:rPr>
            </w:pPr>
            <w:r>
              <w:rPr>
                <w:rFonts w:hint="eastAsia" w:ascii="黑体" w:hAnsi="黑体" w:eastAsia="黑体" w:cs="黑体"/>
                <w:sz w:val="24"/>
                <w:szCs w:val="24"/>
                <w:highlight w:val="none"/>
              </w:rPr>
              <w:t>附件名称</w:t>
            </w:r>
          </w:p>
        </w:tc>
        <w:tc>
          <w:tcPr>
            <w:tcW w:w="1595" w:type="dxa"/>
            <w:noWrap w:val="0"/>
            <w:vAlign w:val="center"/>
          </w:tcPr>
          <w:p>
            <w:pPr>
              <w:spacing w:line="560" w:lineRule="atLeast"/>
              <w:jc w:val="center"/>
              <w:rPr>
                <w:rFonts w:hint="eastAsia" w:ascii="黑体" w:hAnsi="黑体" w:eastAsia="黑体" w:cs="黑体"/>
                <w:sz w:val="24"/>
                <w:szCs w:val="24"/>
                <w:highlight w:val="none"/>
              </w:rPr>
            </w:pPr>
            <w:r>
              <w:rPr>
                <w:rFonts w:hint="eastAsia" w:ascii="黑体" w:hAnsi="黑体" w:eastAsia="黑体" w:cs="黑体"/>
                <w:sz w:val="24"/>
                <w:szCs w:val="24"/>
                <w:highlight w:val="none"/>
              </w:rPr>
              <w:t>是否</w:t>
            </w:r>
          </w:p>
          <w:p>
            <w:pPr>
              <w:spacing w:line="560" w:lineRule="atLeast"/>
              <w:jc w:val="center"/>
              <w:rPr>
                <w:rFonts w:hint="eastAsia" w:ascii="黑体" w:hAnsi="黑体" w:eastAsia="黑体" w:cs="黑体"/>
                <w:b/>
                <w:sz w:val="24"/>
                <w:szCs w:val="24"/>
                <w:highlight w:val="none"/>
              </w:rPr>
            </w:pPr>
            <w:r>
              <w:rPr>
                <w:rFonts w:hint="eastAsia" w:ascii="黑体" w:hAnsi="黑体" w:eastAsia="黑体" w:cs="黑体"/>
                <w:sz w:val="24"/>
                <w:szCs w:val="24"/>
                <w:highlight w:val="none"/>
              </w:rPr>
              <w:t>必备材料</w:t>
            </w:r>
          </w:p>
        </w:tc>
        <w:tc>
          <w:tcPr>
            <w:tcW w:w="2336" w:type="dxa"/>
            <w:noWrap w:val="0"/>
            <w:vAlign w:val="center"/>
          </w:tcPr>
          <w:p>
            <w:pPr>
              <w:spacing w:line="560" w:lineRule="atLeast"/>
              <w:jc w:val="center"/>
              <w:rPr>
                <w:rFonts w:hint="eastAsia" w:ascii="黑体" w:hAnsi="黑体" w:eastAsia="黑体" w:cs="黑体"/>
                <w:sz w:val="24"/>
                <w:szCs w:val="24"/>
                <w:highlight w:val="none"/>
              </w:rPr>
            </w:pPr>
            <w:r>
              <w:rPr>
                <w:rFonts w:hint="eastAsia" w:ascii="黑体" w:hAnsi="黑体" w:eastAsia="黑体" w:cs="黑体"/>
                <w:sz w:val="24"/>
                <w:szCs w:val="24"/>
                <w:highlight w:val="none"/>
              </w:rPr>
              <w:t>网上提交资料要求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jc w:val="center"/>
        </w:trPr>
        <w:tc>
          <w:tcPr>
            <w:tcW w:w="722" w:type="dxa"/>
            <w:noWrap w:val="0"/>
            <w:vAlign w:val="center"/>
          </w:tcPr>
          <w:p>
            <w:pPr>
              <w:spacing w:line="240" w:lineRule="auto"/>
              <w:ind w:left="0" w:right="0" w:rightChars="0"/>
              <w:jc w:val="center"/>
              <w:rPr>
                <w:rFonts w:hint="eastAsia" w:ascii="宋体" w:hAnsi="宋体" w:eastAsia="宋体" w:cs="宋体"/>
                <w:bCs w:val="0"/>
                <w:color w:val="auto"/>
                <w:sz w:val="21"/>
                <w:szCs w:val="21"/>
                <w:highlight w:val="none"/>
                <w:lang w:val="en-US" w:eastAsia="zh-CN"/>
              </w:rPr>
            </w:pPr>
            <w:r>
              <w:rPr>
                <w:rFonts w:hint="eastAsia" w:ascii="宋体" w:hAnsi="宋体" w:eastAsia="宋体" w:cs="宋体"/>
                <w:bCs w:val="0"/>
                <w:color w:val="auto"/>
                <w:sz w:val="21"/>
                <w:szCs w:val="21"/>
                <w:highlight w:val="none"/>
                <w:lang w:val="en-US" w:eastAsia="zh-CN"/>
              </w:rPr>
              <w:t>1</w:t>
            </w:r>
          </w:p>
        </w:tc>
        <w:tc>
          <w:tcPr>
            <w:tcW w:w="4405" w:type="dxa"/>
            <w:noWrap w:val="0"/>
            <w:vAlign w:val="center"/>
          </w:tcPr>
          <w:p>
            <w:pPr>
              <w:spacing w:line="240" w:lineRule="auto"/>
              <w:ind w:left="0" w:right="0" w:rightChars="0"/>
              <w:jc w:val="left"/>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《南山区促进产业高质量发展专项资金—区文化广电旅游体育局分项资金</w:t>
            </w:r>
            <w:r>
              <w:rPr>
                <w:rFonts w:hint="eastAsia" w:ascii="宋体" w:hAnsi="宋体" w:eastAsia="宋体" w:cs="宋体"/>
                <w:bCs w:val="0"/>
                <w:color w:val="auto"/>
                <w:sz w:val="21"/>
                <w:szCs w:val="21"/>
                <w:highlight w:val="none"/>
                <w:lang w:val="en-US" w:eastAsia="zh-CN"/>
              </w:rPr>
              <w:t>-</w:t>
            </w:r>
            <w:r>
              <w:rPr>
                <w:rFonts w:hint="eastAsia" w:ascii="宋体" w:hAnsi="宋体" w:eastAsia="宋体" w:cs="宋体"/>
                <w:bCs w:val="0"/>
                <w:color w:val="auto"/>
                <w:sz w:val="21"/>
                <w:szCs w:val="21"/>
                <w:highlight w:val="none"/>
              </w:rPr>
              <w:t>支持培育电竞企业项目申请书》</w:t>
            </w:r>
          </w:p>
        </w:tc>
        <w:tc>
          <w:tcPr>
            <w:tcW w:w="1595" w:type="dxa"/>
            <w:noWrap w:val="0"/>
            <w:vAlign w:val="center"/>
          </w:tcPr>
          <w:p>
            <w:pPr>
              <w:spacing w:line="240" w:lineRule="auto"/>
              <w:ind w:left="0" w:right="0" w:rightChars="0"/>
              <w:jc w:val="center"/>
              <w:rPr>
                <w:rFonts w:hint="eastAsia" w:ascii="宋体" w:hAnsi="宋体" w:eastAsia="宋体" w:cs="宋体"/>
                <w:bCs w:val="0"/>
                <w:color w:val="auto"/>
                <w:sz w:val="21"/>
                <w:szCs w:val="21"/>
                <w:highlight w:val="none"/>
                <w:lang w:eastAsia="zh-CN"/>
              </w:rPr>
            </w:pPr>
            <w:r>
              <w:rPr>
                <w:rFonts w:hint="eastAsia" w:ascii="宋体" w:hAnsi="宋体" w:eastAsia="宋体" w:cs="宋体"/>
                <w:bCs w:val="0"/>
                <w:color w:val="auto"/>
                <w:sz w:val="21"/>
                <w:szCs w:val="21"/>
                <w:highlight w:val="none"/>
                <w:lang w:eastAsia="zh-CN"/>
              </w:rPr>
              <w:t>是</w:t>
            </w:r>
          </w:p>
        </w:tc>
        <w:tc>
          <w:tcPr>
            <w:tcW w:w="2336" w:type="dxa"/>
            <w:noWrap w:val="0"/>
            <w:vAlign w:val="center"/>
          </w:tcPr>
          <w:p>
            <w:pPr>
              <w:spacing w:line="240" w:lineRule="auto"/>
              <w:ind w:left="0" w:right="0" w:rightChars="0"/>
              <w:jc w:val="left"/>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法定代表人签字并加盖单位公章后，原件彩色扫描成PDF文件上传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jc w:val="center"/>
        </w:trPr>
        <w:tc>
          <w:tcPr>
            <w:tcW w:w="722" w:type="dxa"/>
            <w:noWrap w:val="0"/>
            <w:vAlign w:val="center"/>
          </w:tcPr>
          <w:p>
            <w:pPr>
              <w:spacing w:line="24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u w:val="none"/>
                <w:lang w:val="en-US" w:eastAsia="zh-CN"/>
              </w:rPr>
              <w:t>2</w:t>
            </w:r>
          </w:p>
        </w:tc>
        <w:tc>
          <w:tcPr>
            <w:tcW w:w="4405" w:type="dxa"/>
            <w:noWrap w:val="0"/>
            <w:vAlign w:val="center"/>
          </w:tcPr>
          <w:p>
            <w:pPr>
              <w:spacing w:line="240" w:lineRule="auto"/>
              <w:ind w:left="0" w:leftChars="0" w:right="0" w:rightChars="0"/>
              <w:jc w:val="left"/>
              <w:rPr>
                <w:rFonts w:hint="eastAsia" w:ascii="宋体" w:hAnsi="宋体" w:eastAsia="宋体" w:cs="宋体"/>
                <w:bCs w:val="0"/>
                <w:color w:val="auto"/>
                <w:sz w:val="21"/>
                <w:szCs w:val="21"/>
                <w:highlight w:val="none"/>
              </w:rPr>
            </w:pPr>
            <w:r>
              <w:rPr>
                <w:rFonts w:hint="eastAsia" w:ascii="宋体" w:hAnsi="宋体" w:eastAsia="宋体" w:cs="宋体"/>
                <w:bCs w:val="0"/>
                <w:color w:val="auto"/>
                <w:sz w:val="21"/>
                <w:szCs w:val="21"/>
                <w:highlight w:val="none"/>
              </w:rPr>
              <w:t>统一社会信用代码证书（新版“三证合一”营业执照、事业单位提交新版“三证合一”法人证书；未换领“三证合一”新版营业执照的，提交原旧版营业执照、组织机构代码证书、税务登记证书）</w:t>
            </w:r>
          </w:p>
        </w:tc>
        <w:tc>
          <w:tcPr>
            <w:tcW w:w="1595" w:type="dxa"/>
            <w:noWrap w:val="0"/>
            <w:vAlign w:val="center"/>
          </w:tcPr>
          <w:p>
            <w:pPr>
              <w:spacing w:line="240" w:lineRule="auto"/>
              <w:jc w:val="center"/>
              <w:rPr>
                <w:rFonts w:hint="eastAsia" w:ascii="宋体" w:hAnsi="宋体" w:eastAsia="宋体" w:cs="宋体"/>
                <w:bCs w:val="0"/>
                <w:color w:val="auto"/>
                <w:sz w:val="21"/>
                <w:szCs w:val="21"/>
                <w:highlight w:val="none"/>
                <w:u w:val="none"/>
              </w:rPr>
            </w:pPr>
            <w:r>
              <w:rPr>
                <w:rFonts w:hint="eastAsia" w:ascii="宋体" w:hAnsi="宋体" w:eastAsia="宋体" w:cs="宋体"/>
                <w:bCs w:val="0"/>
                <w:color w:val="auto"/>
                <w:sz w:val="21"/>
                <w:szCs w:val="21"/>
                <w:highlight w:val="none"/>
                <w:u w:val="none"/>
              </w:rPr>
              <w:t>是</w:t>
            </w:r>
          </w:p>
        </w:tc>
        <w:tc>
          <w:tcPr>
            <w:tcW w:w="2336" w:type="dxa"/>
            <w:noWrap w:val="0"/>
            <w:vAlign w:val="center"/>
          </w:tcPr>
          <w:p>
            <w:pPr>
              <w:spacing w:line="240" w:lineRule="auto"/>
              <w:jc w:val="left"/>
              <w:rPr>
                <w:rFonts w:hint="eastAsia" w:ascii="宋体" w:hAnsi="宋体" w:eastAsia="宋体" w:cs="宋体"/>
                <w:bCs w:val="0"/>
                <w:color w:val="auto"/>
                <w:sz w:val="21"/>
                <w:szCs w:val="21"/>
                <w:highlight w:val="none"/>
                <w:u w:val="none"/>
                <w:lang w:eastAsia="zh-CN"/>
              </w:rPr>
            </w:pPr>
            <w:r>
              <w:rPr>
                <w:rFonts w:hint="eastAsia" w:ascii="宋体" w:hAnsi="宋体" w:eastAsia="宋体" w:cs="宋体"/>
                <w:bCs w:val="0"/>
                <w:color w:val="auto"/>
                <w:sz w:val="21"/>
                <w:szCs w:val="21"/>
                <w:highlight w:val="none"/>
                <w:u w:val="none"/>
              </w:rPr>
              <w:t>原件彩色扫描</w:t>
            </w:r>
            <w:r>
              <w:rPr>
                <w:rFonts w:hint="eastAsia" w:ascii="宋体" w:hAnsi="宋体" w:eastAsia="宋体" w:cs="宋体"/>
                <w:bCs w:val="0"/>
                <w:color w:val="auto"/>
                <w:sz w:val="21"/>
                <w:szCs w:val="21"/>
                <w:highlight w:val="none"/>
                <w:u w:val="none"/>
                <w:lang w:eastAsia="zh-CN"/>
              </w:rPr>
              <w:t>成</w:t>
            </w:r>
          </w:p>
          <w:p>
            <w:pPr>
              <w:spacing w:line="240" w:lineRule="auto"/>
              <w:jc w:val="left"/>
              <w:rPr>
                <w:rFonts w:hint="eastAsia" w:ascii="宋体" w:hAnsi="宋体" w:eastAsia="宋体" w:cs="宋体"/>
                <w:bCs w:val="0"/>
                <w:color w:val="auto"/>
                <w:sz w:val="21"/>
                <w:szCs w:val="21"/>
                <w:highlight w:val="none"/>
                <w:u w:val="none"/>
              </w:rPr>
            </w:pPr>
            <w:r>
              <w:rPr>
                <w:rFonts w:hint="eastAsia" w:ascii="宋体" w:hAnsi="宋体" w:eastAsia="宋体" w:cs="宋体"/>
                <w:bCs w:val="0"/>
                <w:color w:val="auto"/>
                <w:sz w:val="21"/>
                <w:szCs w:val="21"/>
                <w:highlight w:val="none"/>
                <w:u w:val="none"/>
              </w:rPr>
              <w:t>PDF</w:t>
            </w:r>
            <w:r>
              <w:rPr>
                <w:rFonts w:hint="eastAsia" w:ascii="宋体" w:hAnsi="宋体" w:eastAsia="宋体" w:cs="宋体"/>
                <w:bCs w:val="0"/>
                <w:color w:val="auto"/>
                <w:sz w:val="21"/>
                <w:szCs w:val="21"/>
                <w:highlight w:val="none"/>
                <w:u w:val="none"/>
                <w:lang w:eastAsia="zh-CN"/>
              </w:rPr>
              <w:t>文件</w:t>
            </w:r>
            <w:r>
              <w:rPr>
                <w:rFonts w:hint="eastAsia" w:ascii="宋体" w:hAnsi="宋体" w:eastAsia="宋体" w:cs="宋体"/>
                <w:bCs w:val="0"/>
                <w:color w:val="auto"/>
                <w:sz w:val="21"/>
                <w:szCs w:val="21"/>
                <w:highlight w:val="none"/>
                <w:u w:val="none"/>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jc w:val="center"/>
        </w:trPr>
        <w:tc>
          <w:tcPr>
            <w:tcW w:w="722" w:type="dxa"/>
            <w:noWrap w:val="0"/>
            <w:vAlign w:val="center"/>
          </w:tcPr>
          <w:p>
            <w:pPr>
              <w:spacing w:line="24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u w:val="none"/>
                <w:lang w:val="en-US" w:eastAsia="zh-CN"/>
              </w:rPr>
              <w:t>3</w:t>
            </w:r>
          </w:p>
        </w:tc>
        <w:tc>
          <w:tcPr>
            <w:tcW w:w="4405" w:type="dxa"/>
            <w:noWrap w:val="0"/>
            <w:vAlign w:val="center"/>
          </w:tcPr>
          <w:p>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bCs w:val="0"/>
                <w:color w:val="auto"/>
                <w:sz w:val="21"/>
                <w:szCs w:val="21"/>
                <w:highlight w:val="none"/>
                <w:u w:val="none"/>
              </w:rPr>
              <w:t>法定代表人身份证</w:t>
            </w:r>
          </w:p>
        </w:tc>
        <w:tc>
          <w:tcPr>
            <w:tcW w:w="1595" w:type="dxa"/>
            <w:noWrap w:val="0"/>
            <w:vAlign w:val="center"/>
          </w:tcPr>
          <w:p>
            <w:pPr>
              <w:spacing w:line="240" w:lineRule="auto"/>
              <w:jc w:val="center"/>
              <w:rPr>
                <w:rFonts w:hint="eastAsia" w:ascii="宋体" w:hAnsi="宋体" w:eastAsia="宋体" w:cs="宋体"/>
                <w:bCs w:val="0"/>
                <w:color w:val="auto"/>
                <w:sz w:val="21"/>
                <w:szCs w:val="21"/>
                <w:highlight w:val="none"/>
                <w:u w:val="none"/>
              </w:rPr>
            </w:pPr>
            <w:r>
              <w:rPr>
                <w:rFonts w:hint="eastAsia" w:ascii="宋体" w:hAnsi="宋体" w:eastAsia="宋体" w:cs="宋体"/>
                <w:bCs w:val="0"/>
                <w:color w:val="auto"/>
                <w:sz w:val="21"/>
                <w:szCs w:val="21"/>
                <w:highlight w:val="none"/>
                <w:u w:val="none"/>
              </w:rPr>
              <w:t>是</w:t>
            </w:r>
          </w:p>
        </w:tc>
        <w:tc>
          <w:tcPr>
            <w:tcW w:w="2336" w:type="dxa"/>
            <w:noWrap w:val="0"/>
            <w:vAlign w:val="center"/>
          </w:tcPr>
          <w:p>
            <w:pPr>
              <w:spacing w:line="240" w:lineRule="auto"/>
              <w:jc w:val="left"/>
              <w:rPr>
                <w:rFonts w:hint="eastAsia" w:ascii="宋体" w:hAnsi="宋体" w:eastAsia="宋体" w:cs="宋体"/>
                <w:bCs w:val="0"/>
                <w:color w:val="auto"/>
                <w:sz w:val="21"/>
                <w:szCs w:val="21"/>
                <w:highlight w:val="none"/>
                <w:u w:val="none"/>
              </w:rPr>
            </w:pPr>
            <w:r>
              <w:rPr>
                <w:rFonts w:hint="eastAsia" w:ascii="宋体" w:hAnsi="宋体" w:eastAsia="宋体" w:cs="宋体"/>
                <w:bCs w:val="0"/>
                <w:color w:val="auto"/>
                <w:sz w:val="21"/>
                <w:szCs w:val="21"/>
                <w:highlight w:val="none"/>
                <w:u w:val="none"/>
              </w:rPr>
              <w:t>原件</w:t>
            </w:r>
            <w:r>
              <w:rPr>
                <w:rFonts w:hint="eastAsia" w:ascii="宋体" w:hAnsi="宋体" w:eastAsia="宋体" w:cs="宋体"/>
                <w:bCs w:val="0"/>
                <w:color w:val="auto"/>
                <w:sz w:val="21"/>
                <w:szCs w:val="21"/>
                <w:highlight w:val="none"/>
                <w:u w:val="none"/>
                <w:lang w:eastAsia="zh-CN"/>
              </w:rPr>
              <w:t>（</w:t>
            </w:r>
            <w:r>
              <w:rPr>
                <w:rFonts w:hint="eastAsia" w:ascii="宋体" w:hAnsi="宋体" w:eastAsia="宋体" w:cs="宋体"/>
                <w:bCs w:val="0"/>
                <w:color w:val="auto"/>
                <w:sz w:val="21"/>
                <w:szCs w:val="21"/>
                <w:highlight w:val="none"/>
                <w:u w:val="none"/>
              </w:rPr>
              <w:t>或复印件加盖单位公章</w:t>
            </w:r>
            <w:r>
              <w:rPr>
                <w:rFonts w:hint="eastAsia" w:ascii="宋体" w:hAnsi="宋体" w:eastAsia="宋体" w:cs="宋体"/>
                <w:bCs w:val="0"/>
                <w:color w:val="auto"/>
                <w:sz w:val="21"/>
                <w:szCs w:val="21"/>
                <w:highlight w:val="none"/>
                <w:u w:val="none"/>
                <w:lang w:eastAsia="zh-CN"/>
              </w:rPr>
              <w:t>）</w:t>
            </w:r>
            <w:r>
              <w:rPr>
                <w:rFonts w:hint="eastAsia" w:ascii="宋体" w:hAnsi="宋体" w:eastAsia="宋体" w:cs="宋体"/>
                <w:bCs w:val="0"/>
                <w:color w:val="auto"/>
                <w:sz w:val="21"/>
                <w:szCs w:val="21"/>
                <w:highlight w:val="none"/>
                <w:u w:val="none"/>
              </w:rPr>
              <w:t>彩色扫描</w:t>
            </w:r>
            <w:r>
              <w:rPr>
                <w:rFonts w:hint="eastAsia" w:ascii="宋体" w:hAnsi="宋体" w:eastAsia="宋体" w:cs="宋体"/>
                <w:bCs w:val="0"/>
                <w:color w:val="auto"/>
                <w:sz w:val="21"/>
                <w:szCs w:val="21"/>
                <w:highlight w:val="none"/>
                <w:u w:val="none"/>
                <w:lang w:eastAsia="zh-CN"/>
              </w:rPr>
              <w:t>成</w:t>
            </w:r>
            <w:r>
              <w:rPr>
                <w:rFonts w:hint="eastAsia" w:ascii="宋体" w:hAnsi="宋体" w:eastAsia="宋体" w:cs="宋体"/>
                <w:bCs w:val="0"/>
                <w:color w:val="auto"/>
                <w:sz w:val="21"/>
                <w:szCs w:val="21"/>
                <w:highlight w:val="none"/>
                <w:u w:val="none"/>
              </w:rPr>
              <w:t>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jc w:val="center"/>
        </w:trPr>
        <w:tc>
          <w:tcPr>
            <w:tcW w:w="722" w:type="dxa"/>
            <w:noWrap w:val="0"/>
            <w:vAlign w:val="center"/>
          </w:tcPr>
          <w:p>
            <w:pPr>
              <w:spacing w:line="24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u w:val="none"/>
                <w:lang w:val="en-US" w:eastAsia="zh-CN"/>
              </w:rPr>
              <w:t>4</w:t>
            </w:r>
          </w:p>
        </w:tc>
        <w:tc>
          <w:tcPr>
            <w:tcW w:w="4405" w:type="dxa"/>
            <w:noWrap w:val="0"/>
            <w:vAlign w:val="center"/>
          </w:tcPr>
          <w:p>
            <w:pPr>
              <w:spacing w:line="240" w:lineRule="auto"/>
              <w:ind w:left="0" w:leftChars="0" w:right="0" w:right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none"/>
              </w:rPr>
              <w:t>由税务部门提供的单位上一年度纳税证明</w:t>
            </w:r>
            <w:r>
              <w:rPr>
                <w:rFonts w:hint="eastAsia" w:ascii="宋体" w:hAnsi="宋体" w:eastAsia="宋体" w:cs="宋体"/>
                <w:color w:val="auto"/>
                <w:sz w:val="21"/>
                <w:szCs w:val="21"/>
                <w:highlight w:val="none"/>
                <w:u w:val="none"/>
                <w:lang w:eastAsia="zh-CN"/>
              </w:rPr>
              <w:t>（</w:t>
            </w:r>
            <w:r>
              <w:rPr>
                <w:rFonts w:hint="eastAsia" w:ascii="宋体" w:hAnsi="宋体" w:eastAsia="宋体" w:cs="宋体"/>
                <w:color w:val="auto"/>
                <w:sz w:val="21"/>
                <w:szCs w:val="21"/>
                <w:highlight w:val="none"/>
                <w:u w:val="none"/>
              </w:rPr>
              <w:t>税务申报系统下载后上传</w:t>
            </w:r>
            <w:r>
              <w:rPr>
                <w:rFonts w:hint="eastAsia" w:ascii="宋体" w:hAnsi="宋体" w:eastAsia="宋体" w:cs="宋体"/>
                <w:color w:val="auto"/>
                <w:sz w:val="21"/>
                <w:szCs w:val="21"/>
                <w:highlight w:val="none"/>
                <w:u w:val="none"/>
                <w:lang w:eastAsia="zh-CN"/>
              </w:rPr>
              <w:t>）</w:t>
            </w:r>
          </w:p>
        </w:tc>
        <w:tc>
          <w:tcPr>
            <w:tcW w:w="1595" w:type="dxa"/>
            <w:noWrap w:val="0"/>
            <w:vAlign w:val="center"/>
          </w:tcPr>
          <w:p>
            <w:pPr>
              <w:spacing w:line="240" w:lineRule="auto"/>
              <w:jc w:val="center"/>
              <w:rPr>
                <w:rFonts w:hint="eastAsia" w:ascii="宋体" w:hAnsi="宋体" w:eastAsia="宋体" w:cs="宋体"/>
                <w:bCs w:val="0"/>
                <w:color w:val="auto"/>
                <w:sz w:val="21"/>
                <w:szCs w:val="21"/>
                <w:highlight w:val="none"/>
                <w:u w:val="none"/>
              </w:rPr>
            </w:pPr>
            <w:r>
              <w:rPr>
                <w:rFonts w:hint="eastAsia" w:ascii="宋体" w:hAnsi="宋体" w:eastAsia="宋体" w:cs="宋体"/>
                <w:bCs w:val="0"/>
                <w:color w:val="auto"/>
                <w:sz w:val="21"/>
                <w:szCs w:val="21"/>
                <w:highlight w:val="none"/>
                <w:u w:val="none"/>
              </w:rPr>
              <w:t>是</w:t>
            </w:r>
          </w:p>
        </w:tc>
        <w:tc>
          <w:tcPr>
            <w:tcW w:w="2336" w:type="dxa"/>
            <w:noWrap w:val="0"/>
            <w:vAlign w:val="center"/>
          </w:tcPr>
          <w:p>
            <w:pPr>
              <w:spacing w:line="240" w:lineRule="auto"/>
              <w:jc w:val="left"/>
              <w:rPr>
                <w:rFonts w:hint="eastAsia" w:ascii="宋体" w:hAnsi="宋体" w:eastAsia="宋体" w:cs="宋体"/>
                <w:bCs w:val="0"/>
                <w:color w:val="auto"/>
                <w:sz w:val="21"/>
                <w:szCs w:val="21"/>
                <w:highlight w:val="none"/>
                <w:u w:val="none"/>
                <w:lang w:val="en"/>
              </w:rPr>
            </w:pPr>
            <w:r>
              <w:rPr>
                <w:rFonts w:hint="eastAsia" w:ascii="宋体" w:hAnsi="宋体" w:eastAsia="宋体" w:cs="宋体"/>
                <w:bCs w:val="0"/>
                <w:color w:val="auto"/>
                <w:sz w:val="21"/>
                <w:szCs w:val="21"/>
                <w:highlight w:val="none"/>
                <w:u w:val="none"/>
                <w:lang w:eastAsia="zh-CN"/>
              </w:rPr>
              <w:t>上传税务系统下载带有税务机关红色印章的电子版</w:t>
            </w:r>
            <w:r>
              <w:rPr>
                <w:rFonts w:hint="eastAsia" w:ascii="宋体" w:hAnsi="宋体" w:eastAsia="宋体" w:cs="宋体"/>
                <w:bCs w:val="0"/>
                <w:color w:val="auto"/>
                <w:sz w:val="21"/>
                <w:szCs w:val="21"/>
                <w:highlight w:val="none"/>
                <w:u w:val="none"/>
                <w:lang w:val="en" w:eastAsia="zh-CN"/>
              </w:rPr>
              <w:t>，事业单位除外</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jc w:val="center"/>
        </w:trPr>
        <w:tc>
          <w:tcPr>
            <w:tcW w:w="722" w:type="dxa"/>
            <w:noWrap w:val="0"/>
            <w:vAlign w:val="center"/>
          </w:tcPr>
          <w:p>
            <w:pPr>
              <w:spacing w:line="240" w:lineRule="auto"/>
              <w:ind w:left="0" w:right="0" w:rightChars="0"/>
              <w:jc w:val="center"/>
              <w:rPr>
                <w:rFonts w:hint="eastAsia" w:ascii="宋体" w:hAnsi="宋体" w:eastAsia="宋体" w:cs="宋体"/>
                <w:bCs w:val="0"/>
                <w:color w:val="auto"/>
                <w:sz w:val="21"/>
                <w:szCs w:val="21"/>
                <w:highlight w:val="none"/>
                <w:u w:val="none"/>
                <w:lang w:eastAsia="zh-CN"/>
              </w:rPr>
            </w:pPr>
            <w:r>
              <w:rPr>
                <w:rFonts w:hint="eastAsia" w:ascii="宋体" w:hAnsi="宋体" w:eastAsia="宋体" w:cs="宋体"/>
                <w:bCs w:val="0"/>
                <w:color w:val="auto"/>
                <w:sz w:val="21"/>
                <w:szCs w:val="21"/>
                <w:highlight w:val="none"/>
                <w:u w:val="none"/>
                <w:lang w:val="en-US" w:eastAsia="zh-CN"/>
              </w:rPr>
              <w:t>5</w:t>
            </w:r>
          </w:p>
        </w:tc>
        <w:tc>
          <w:tcPr>
            <w:tcW w:w="4405" w:type="dxa"/>
            <w:noWrap w:val="0"/>
            <w:vAlign w:val="center"/>
          </w:tcPr>
          <w:p>
            <w:pPr>
              <w:spacing w:line="240" w:lineRule="auto"/>
              <w:ind w:left="0" w:right="0" w:rightChars="0"/>
              <w:jc w:val="left"/>
              <w:rPr>
                <w:rFonts w:hint="eastAsia" w:ascii="宋体" w:hAnsi="宋体" w:eastAsia="宋体" w:cs="宋体"/>
                <w:bCs w:val="0"/>
                <w:color w:val="auto"/>
                <w:sz w:val="21"/>
                <w:szCs w:val="21"/>
                <w:highlight w:val="none"/>
                <w:u w:val="none"/>
                <w:lang w:val="en-US" w:eastAsia="zh-CN"/>
              </w:rPr>
            </w:pPr>
            <w:r>
              <w:rPr>
                <w:rFonts w:hint="eastAsia" w:ascii="宋体" w:hAnsi="宋体" w:eastAsia="宋体" w:cs="宋体"/>
                <w:bCs w:val="0"/>
                <w:color w:val="auto"/>
                <w:sz w:val="21"/>
                <w:szCs w:val="21"/>
                <w:highlight w:val="none"/>
                <w:u w:val="none"/>
              </w:rPr>
              <w:t>电竞相关产业的主营收入</w:t>
            </w:r>
            <w:r>
              <w:rPr>
                <w:rFonts w:hint="eastAsia" w:ascii="宋体" w:hAnsi="宋体" w:eastAsia="宋体" w:cs="宋体"/>
                <w:bCs w:val="0"/>
                <w:color w:val="auto"/>
                <w:sz w:val="21"/>
                <w:szCs w:val="21"/>
                <w:highlight w:val="none"/>
                <w:u w:val="none"/>
                <w:lang w:val="en-US" w:eastAsia="zh-CN"/>
              </w:rPr>
              <w:t>占比超过50%的证明材料</w:t>
            </w:r>
          </w:p>
        </w:tc>
        <w:tc>
          <w:tcPr>
            <w:tcW w:w="1595" w:type="dxa"/>
            <w:noWrap w:val="0"/>
            <w:vAlign w:val="center"/>
          </w:tcPr>
          <w:p>
            <w:pPr>
              <w:spacing w:line="240" w:lineRule="auto"/>
              <w:ind w:left="0" w:right="0" w:rightChars="0"/>
              <w:jc w:val="center"/>
              <w:rPr>
                <w:rFonts w:hint="eastAsia" w:ascii="宋体" w:hAnsi="宋体" w:eastAsia="宋体" w:cs="宋体"/>
                <w:bCs w:val="0"/>
                <w:color w:val="auto"/>
                <w:sz w:val="21"/>
                <w:szCs w:val="21"/>
                <w:highlight w:val="none"/>
                <w:u w:val="none"/>
              </w:rPr>
            </w:pPr>
            <w:r>
              <w:rPr>
                <w:rFonts w:hint="eastAsia" w:ascii="宋体" w:hAnsi="宋体" w:eastAsia="宋体" w:cs="宋体"/>
                <w:bCs w:val="0"/>
                <w:color w:val="auto"/>
                <w:sz w:val="21"/>
                <w:szCs w:val="21"/>
                <w:highlight w:val="none"/>
                <w:u w:val="none"/>
              </w:rPr>
              <w:t>是</w:t>
            </w:r>
          </w:p>
        </w:tc>
        <w:tc>
          <w:tcPr>
            <w:tcW w:w="2336" w:type="dxa"/>
            <w:vMerge w:val="restart"/>
            <w:noWrap w:val="0"/>
            <w:vAlign w:val="center"/>
          </w:tcPr>
          <w:p>
            <w:pPr>
              <w:spacing w:line="240" w:lineRule="auto"/>
              <w:jc w:val="left"/>
              <w:rPr>
                <w:rFonts w:hint="eastAsia" w:ascii="宋体" w:hAnsi="宋体" w:eastAsia="宋体" w:cs="宋体"/>
                <w:bCs w:val="0"/>
                <w:color w:val="auto"/>
                <w:sz w:val="21"/>
                <w:szCs w:val="21"/>
                <w:highlight w:val="none"/>
                <w:u w:val="none"/>
              </w:rPr>
            </w:pPr>
            <w:r>
              <w:rPr>
                <w:rFonts w:hint="eastAsia" w:ascii="宋体" w:hAnsi="宋体" w:eastAsia="宋体" w:cs="宋体"/>
                <w:bCs w:val="0"/>
                <w:color w:val="auto"/>
                <w:sz w:val="21"/>
                <w:szCs w:val="21"/>
                <w:highlight w:val="none"/>
                <w:u w:val="none"/>
              </w:rPr>
              <w:t>原件彩色扫描</w:t>
            </w:r>
            <w:r>
              <w:rPr>
                <w:rFonts w:hint="eastAsia" w:ascii="宋体" w:hAnsi="宋体" w:eastAsia="宋体" w:cs="宋体"/>
                <w:bCs w:val="0"/>
                <w:color w:val="auto"/>
                <w:sz w:val="21"/>
                <w:szCs w:val="21"/>
                <w:highlight w:val="none"/>
                <w:u w:val="none"/>
                <w:lang w:eastAsia="zh-CN"/>
              </w:rPr>
              <w:t>成</w:t>
            </w:r>
          </w:p>
          <w:p>
            <w:pPr>
              <w:spacing w:line="240" w:lineRule="auto"/>
              <w:jc w:val="left"/>
              <w:rPr>
                <w:rFonts w:hint="eastAsia" w:ascii="宋体" w:hAnsi="宋体" w:eastAsia="宋体" w:cs="宋体"/>
                <w:bCs w:val="0"/>
                <w:color w:val="auto"/>
                <w:sz w:val="21"/>
                <w:szCs w:val="21"/>
                <w:highlight w:val="none"/>
                <w:u w:val="none"/>
              </w:rPr>
            </w:pPr>
            <w:r>
              <w:rPr>
                <w:rFonts w:hint="eastAsia" w:ascii="宋体" w:hAnsi="宋体" w:eastAsia="宋体" w:cs="宋体"/>
                <w:bCs w:val="0"/>
                <w:color w:val="auto"/>
                <w:sz w:val="21"/>
                <w:szCs w:val="21"/>
                <w:highlight w:val="none"/>
                <w:u w:val="none"/>
              </w:rPr>
              <w:t>PDF</w:t>
            </w:r>
            <w:r>
              <w:rPr>
                <w:rFonts w:hint="eastAsia" w:ascii="宋体" w:hAnsi="宋体" w:eastAsia="宋体" w:cs="宋体"/>
                <w:bCs w:val="0"/>
                <w:color w:val="auto"/>
                <w:sz w:val="21"/>
                <w:szCs w:val="21"/>
                <w:highlight w:val="none"/>
                <w:u w:val="none"/>
                <w:lang w:val="en-US" w:eastAsia="zh-CN"/>
              </w:rPr>
              <w:t>文件</w:t>
            </w:r>
            <w:r>
              <w:rPr>
                <w:rFonts w:hint="eastAsia" w:ascii="宋体" w:hAnsi="宋体" w:eastAsia="宋体" w:cs="宋体"/>
                <w:bCs w:val="0"/>
                <w:color w:val="auto"/>
                <w:sz w:val="21"/>
                <w:szCs w:val="21"/>
                <w:highlight w:val="none"/>
                <w:u w:val="none"/>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jc w:val="center"/>
        </w:trPr>
        <w:tc>
          <w:tcPr>
            <w:tcW w:w="722" w:type="dxa"/>
            <w:noWrap w:val="0"/>
            <w:vAlign w:val="center"/>
          </w:tcPr>
          <w:p>
            <w:pPr>
              <w:spacing w:line="240" w:lineRule="auto"/>
              <w:ind w:left="0" w:right="0" w:rightChars="0"/>
              <w:jc w:val="center"/>
              <w:rPr>
                <w:rFonts w:hint="eastAsia" w:ascii="宋体" w:hAnsi="宋体" w:eastAsia="宋体" w:cs="宋体"/>
                <w:bCs w:val="0"/>
                <w:color w:val="auto"/>
                <w:sz w:val="21"/>
                <w:szCs w:val="21"/>
                <w:highlight w:val="none"/>
                <w:u w:val="none"/>
                <w:lang w:eastAsia="zh-CN"/>
              </w:rPr>
            </w:pPr>
            <w:r>
              <w:rPr>
                <w:rFonts w:hint="eastAsia" w:ascii="宋体" w:hAnsi="宋体" w:eastAsia="宋体" w:cs="宋体"/>
                <w:bCs w:val="0"/>
                <w:color w:val="auto"/>
                <w:sz w:val="21"/>
                <w:szCs w:val="21"/>
                <w:highlight w:val="none"/>
                <w:u w:val="none"/>
                <w:lang w:val="en-US" w:eastAsia="zh-CN"/>
              </w:rPr>
              <w:t>6</w:t>
            </w:r>
          </w:p>
        </w:tc>
        <w:tc>
          <w:tcPr>
            <w:tcW w:w="4405" w:type="dxa"/>
            <w:noWrap w:val="0"/>
            <w:vAlign w:val="center"/>
          </w:tcPr>
          <w:p>
            <w:pPr>
              <w:spacing w:line="240" w:lineRule="auto"/>
              <w:ind w:left="0" w:right="0" w:rightChars="0"/>
              <w:jc w:val="left"/>
              <w:rPr>
                <w:rFonts w:hint="eastAsia" w:ascii="宋体" w:hAnsi="宋体" w:eastAsia="宋体" w:cs="宋体"/>
                <w:bCs w:val="0"/>
                <w:color w:val="auto"/>
                <w:sz w:val="21"/>
                <w:szCs w:val="21"/>
                <w:highlight w:val="none"/>
                <w:u w:val="none"/>
              </w:rPr>
            </w:pPr>
            <w:r>
              <w:rPr>
                <w:rFonts w:hint="eastAsia" w:ascii="宋体" w:hAnsi="宋体" w:eastAsia="宋体" w:cs="宋体"/>
                <w:bCs w:val="0"/>
                <w:color w:val="auto"/>
                <w:sz w:val="21"/>
                <w:szCs w:val="21"/>
                <w:highlight w:val="none"/>
                <w:u w:val="none"/>
              </w:rPr>
              <w:t>申请</w:t>
            </w:r>
            <w:r>
              <w:rPr>
                <w:rFonts w:hint="eastAsia" w:ascii="宋体" w:hAnsi="宋体" w:eastAsia="宋体" w:cs="宋体"/>
                <w:bCs w:val="0"/>
                <w:color w:val="auto"/>
                <w:sz w:val="21"/>
                <w:szCs w:val="21"/>
                <w:highlight w:val="none"/>
                <w:u w:val="none"/>
                <w:lang w:val="en-US" w:eastAsia="zh-CN"/>
              </w:rPr>
              <w:t>上一</w:t>
            </w:r>
            <w:r>
              <w:rPr>
                <w:rFonts w:hint="eastAsia" w:ascii="宋体" w:hAnsi="宋体" w:eastAsia="宋体" w:cs="宋体"/>
                <w:bCs w:val="0"/>
                <w:color w:val="auto"/>
                <w:sz w:val="21"/>
                <w:szCs w:val="21"/>
                <w:highlight w:val="none"/>
                <w:u w:val="none"/>
              </w:rPr>
              <w:t>年度的主营收入不少于500万元的证明材料</w:t>
            </w:r>
          </w:p>
        </w:tc>
        <w:tc>
          <w:tcPr>
            <w:tcW w:w="1595" w:type="dxa"/>
            <w:noWrap w:val="0"/>
            <w:vAlign w:val="center"/>
          </w:tcPr>
          <w:p>
            <w:pPr>
              <w:spacing w:line="240" w:lineRule="auto"/>
              <w:ind w:left="0" w:right="0" w:rightChars="0"/>
              <w:jc w:val="center"/>
              <w:rPr>
                <w:rFonts w:hint="eastAsia" w:ascii="宋体" w:hAnsi="宋体" w:eastAsia="宋体" w:cs="宋体"/>
                <w:bCs w:val="0"/>
                <w:color w:val="auto"/>
                <w:sz w:val="21"/>
                <w:szCs w:val="21"/>
                <w:highlight w:val="none"/>
                <w:u w:val="none"/>
              </w:rPr>
            </w:pPr>
            <w:r>
              <w:rPr>
                <w:rFonts w:hint="eastAsia" w:ascii="宋体" w:hAnsi="宋体" w:eastAsia="宋体" w:cs="宋体"/>
                <w:bCs w:val="0"/>
                <w:color w:val="auto"/>
                <w:sz w:val="21"/>
                <w:szCs w:val="21"/>
                <w:highlight w:val="none"/>
                <w:u w:val="none"/>
              </w:rPr>
              <w:t>是</w:t>
            </w:r>
          </w:p>
        </w:tc>
        <w:tc>
          <w:tcPr>
            <w:tcW w:w="2336" w:type="dxa"/>
            <w:vMerge w:val="continue"/>
            <w:noWrap w:val="0"/>
            <w:vAlign w:val="center"/>
          </w:tcPr>
          <w:p>
            <w:pPr>
              <w:spacing w:line="560" w:lineRule="atLeast"/>
              <w:jc w:val="left"/>
              <w:rPr>
                <w:rFonts w:hint="eastAsia" w:ascii="宋体" w:hAnsi="Times New Roman" w:eastAsia="宋体" w:cs="Times New Roman"/>
                <w:bCs/>
                <w:color w:val="auto"/>
                <w:sz w:val="24"/>
                <w:szCs w:val="24"/>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jc w:val="center"/>
        </w:trPr>
        <w:tc>
          <w:tcPr>
            <w:tcW w:w="722" w:type="dxa"/>
            <w:noWrap w:val="0"/>
            <w:vAlign w:val="center"/>
          </w:tcPr>
          <w:p>
            <w:pPr>
              <w:spacing w:line="240" w:lineRule="auto"/>
              <w:ind w:left="0" w:right="0" w:rightChars="0"/>
              <w:jc w:val="center"/>
              <w:rPr>
                <w:rFonts w:hint="eastAsia" w:ascii="宋体" w:hAnsi="宋体" w:eastAsia="宋体" w:cs="宋体"/>
                <w:bCs w:val="0"/>
                <w:color w:val="auto"/>
                <w:sz w:val="21"/>
                <w:szCs w:val="21"/>
                <w:highlight w:val="none"/>
                <w:u w:val="none"/>
                <w:lang w:eastAsia="zh-CN"/>
              </w:rPr>
            </w:pPr>
            <w:r>
              <w:rPr>
                <w:rFonts w:hint="eastAsia" w:ascii="宋体" w:hAnsi="宋体" w:eastAsia="宋体" w:cs="宋体"/>
                <w:bCs w:val="0"/>
                <w:color w:val="auto"/>
                <w:sz w:val="21"/>
                <w:szCs w:val="21"/>
                <w:highlight w:val="none"/>
                <w:u w:val="none"/>
                <w:lang w:val="en-US" w:eastAsia="zh-CN"/>
              </w:rPr>
              <w:t>7</w:t>
            </w:r>
          </w:p>
        </w:tc>
        <w:tc>
          <w:tcPr>
            <w:tcW w:w="4405" w:type="dxa"/>
            <w:noWrap w:val="0"/>
            <w:vAlign w:val="center"/>
          </w:tcPr>
          <w:p>
            <w:pPr>
              <w:spacing w:line="240" w:lineRule="auto"/>
              <w:ind w:left="0" w:right="0" w:rightChars="0"/>
              <w:jc w:val="left"/>
              <w:rPr>
                <w:rFonts w:hint="eastAsia" w:ascii="宋体" w:hAnsi="宋体" w:eastAsia="宋体" w:cs="宋体"/>
                <w:bCs w:val="0"/>
                <w:color w:val="auto"/>
                <w:sz w:val="21"/>
                <w:szCs w:val="21"/>
                <w:highlight w:val="none"/>
                <w:u w:val="none"/>
              </w:rPr>
            </w:pPr>
            <w:r>
              <w:rPr>
                <w:rFonts w:hint="eastAsia" w:ascii="宋体" w:hAnsi="宋体" w:eastAsia="宋体" w:cs="宋体"/>
                <w:bCs w:val="0"/>
                <w:color w:val="auto"/>
                <w:sz w:val="21"/>
                <w:szCs w:val="21"/>
                <w:highlight w:val="none"/>
                <w:u w:val="none"/>
              </w:rPr>
              <w:t>申请</w:t>
            </w:r>
            <w:r>
              <w:rPr>
                <w:rFonts w:hint="eastAsia" w:ascii="宋体" w:hAnsi="宋体" w:eastAsia="宋体" w:cs="宋体"/>
                <w:bCs w:val="0"/>
                <w:color w:val="auto"/>
                <w:sz w:val="21"/>
                <w:szCs w:val="21"/>
                <w:highlight w:val="none"/>
                <w:u w:val="none"/>
                <w:lang w:val="en-US" w:eastAsia="zh-CN"/>
              </w:rPr>
              <w:t>上一</w:t>
            </w:r>
            <w:r>
              <w:rPr>
                <w:rFonts w:hint="eastAsia" w:ascii="宋体" w:hAnsi="宋体" w:eastAsia="宋体" w:cs="宋体"/>
                <w:bCs w:val="0"/>
                <w:color w:val="auto"/>
                <w:sz w:val="21"/>
                <w:szCs w:val="21"/>
                <w:highlight w:val="none"/>
                <w:u w:val="none"/>
              </w:rPr>
              <w:t>年度实际支付租金的证明材料，包括租赁合同、发票、银行往来凭证</w:t>
            </w:r>
          </w:p>
        </w:tc>
        <w:tc>
          <w:tcPr>
            <w:tcW w:w="1595" w:type="dxa"/>
            <w:noWrap w:val="0"/>
            <w:vAlign w:val="center"/>
          </w:tcPr>
          <w:p>
            <w:pPr>
              <w:spacing w:line="240" w:lineRule="auto"/>
              <w:ind w:left="0" w:right="0" w:rightChars="0"/>
              <w:jc w:val="center"/>
              <w:rPr>
                <w:rFonts w:hint="eastAsia" w:ascii="宋体" w:hAnsi="宋体" w:eastAsia="宋体" w:cs="宋体"/>
                <w:bCs w:val="0"/>
                <w:color w:val="auto"/>
                <w:sz w:val="21"/>
                <w:szCs w:val="21"/>
                <w:highlight w:val="none"/>
                <w:u w:val="none"/>
              </w:rPr>
            </w:pPr>
            <w:r>
              <w:rPr>
                <w:rFonts w:hint="eastAsia" w:ascii="宋体" w:hAnsi="宋体" w:eastAsia="宋体" w:cs="宋体"/>
                <w:bCs w:val="0"/>
                <w:color w:val="auto"/>
                <w:sz w:val="21"/>
                <w:szCs w:val="21"/>
                <w:highlight w:val="none"/>
                <w:u w:val="none"/>
              </w:rPr>
              <w:t>是</w:t>
            </w:r>
          </w:p>
        </w:tc>
        <w:tc>
          <w:tcPr>
            <w:tcW w:w="2336" w:type="dxa"/>
            <w:vMerge w:val="continue"/>
            <w:noWrap w:val="0"/>
            <w:vAlign w:val="center"/>
          </w:tcPr>
          <w:p>
            <w:pPr>
              <w:spacing w:line="560" w:lineRule="atLeast"/>
              <w:jc w:val="left"/>
              <w:rPr>
                <w:rFonts w:hint="eastAsia" w:ascii="宋体" w:hAnsi="Times New Roman" w:eastAsia="宋体" w:cs="Times New Roman"/>
                <w:bCs/>
                <w:color w:val="auto"/>
                <w:sz w:val="24"/>
                <w:szCs w:val="24"/>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jc w:val="center"/>
        </w:trPr>
        <w:tc>
          <w:tcPr>
            <w:tcW w:w="722" w:type="dxa"/>
            <w:noWrap w:val="0"/>
            <w:vAlign w:val="center"/>
          </w:tcPr>
          <w:p>
            <w:pPr>
              <w:spacing w:line="240" w:lineRule="auto"/>
              <w:ind w:left="0" w:right="0" w:rightChars="0"/>
              <w:jc w:val="center"/>
              <w:rPr>
                <w:rFonts w:hint="eastAsia" w:ascii="宋体" w:hAnsi="宋体" w:eastAsia="宋体" w:cs="宋体"/>
                <w:bCs w:val="0"/>
                <w:color w:val="auto"/>
                <w:kern w:val="2"/>
                <w:sz w:val="21"/>
                <w:szCs w:val="21"/>
                <w:highlight w:val="none"/>
                <w:u w:val="none"/>
                <w:lang w:val="en-US" w:eastAsia="zh-CN" w:bidi="ar-SA"/>
              </w:rPr>
            </w:pPr>
            <w:r>
              <w:rPr>
                <w:rFonts w:hint="eastAsia" w:ascii="宋体" w:hAnsi="宋体" w:eastAsia="宋体" w:cs="宋体"/>
                <w:bCs w:val="0"/>
                <w:color w:val="auto"/>
                <w:sz w:val="21"/>
                <w:szCs w:val="21"/>
                <w:highlight w:val="none"/>
                <w:u w:val="none"/>
                <w:lang w:val="en-US" w:eastAsia="zh-CN"/>
              </w:rPr>
              <w:t>8</w:t>
            </w:r>
          </w:p>
        </w:tc>
        <w:tc>
          <w:tcPr>
            <w:tcW w:w="4405" w:type="dxa"/>
            <w:noWrap w:val="0"/>
            <w:vAlign w:val="center"/>
          </w:tcPr>
          <w:p>
            <w:pPr>
              <w:spacing w:line="240" w:lineRule="auto"/>
              <w:ind w:left="0" w:right="0" w:rightChars="0"/>
              <w:jc w:val="left"/>
              <w:rPr>
                <w:rFonts w:hint="eastAsia" w:ascii="宋体" w:hAnsi="宋体" w:eastAsia="宋体" w:cs="宋体"/>
                <w:bCs w:val="0"/>
                <w:color w:val="auto"/>
                <w:kern w:val="2"/>
                <w:sz w:val="21"/>
                <w:szCs w:val="21"/>
                <w:highlight w:val="none"/>
                <w:u w:val="none"/>
                <w:lang w:val="en-US" w:eastAsia="zh-CN" w:bidi="ar-SA"/>
              </w:rPr>
            </w:pPr>
            <w:r>
              <w:rPr>
                <w:rFonts w:hint="eastAsia" w:ascii="宋体" w:hAnsi="宋体" w:eastAsia="宋体" w:cs="宋体"/>
                <w:bCs w:val="0"/>
                <w:color w:val="auto"/>
                <w:sz w:val="21"/>
                <w:szCs w:val="21"/>
                <w:highlight w:val="none"/>
                <w:u w:val="none"/>
              </w:rPr>
              <w:t>审核部门认为需要提供的其</w:t>
            </w:r>
            <w:r>
              <w:rPr>
                <w:rFonts w:hint="eastAsia" w:ascii="宋体" w:hAnsi="宋体" w:eastAsia="宋体" w:cs="宋体"/>
                <w:bCs w:val="0"/>
                <w:color w:val="auto"/>
                <w:sz w:val="21"/>
                <w:szCs w:val="21"/>
                <w:highlight w:val="none"/>
                <w:u w:val="none"/>
                <w:lang w:eastAsia="zh-CN"/>
              </w:rPr>
              <w:t>他</w:t>
            </w:r>
            <w:r>
              <w:rPr>
                <w:rFonts w:hint="eastAsia" w:ascii="宋体" w:hAnsi="宋体" w:eastAsia="宋体" w:cs="宋体"/>
                <w:bCs w:val="0"/>
                <w:color w:val="auto"/>
                <w:sz w:val="21"/>
                <w:szCs w:val="21"/>
                <w:highlight w:val="none"/>
                <w:u w:val="none"/>
              </w:rPr>
              <w:t>材料</w:t>
            </w:r>
          </w:p>
        </w:tc>
        <w:tc>
          <w:tcPr>
            <w:tcW w:w="1595" w:type="dxa"/>
            <w:noWrap w:val="0"/>
            <w:vAlign w:val="center"/>
          </w:tcPr>
          <w:p>
            <w:pPr>
              <w:spacing w:line="240" w:lineRule="auto"/>
              <w:ind w:left="0" w:right="0" w:rightChars="0"/>
              <w:jc w:val="center"/>
              <w:rPr>
                <w:rFonts w:hint="eastAsia" w:ascii="宋体" w:hAnsi="宋体" w:eastAsia="宋体" w:cs="宋体"/>
                <w:bCs w:val="0"/>
                <w:color w:val="auto"/>
                <w:kern w:val="2"/>
                <w:sz w:val="21"/>
                <w:szCs w:val="21"/>
                <w:highlight w:val="none"/>
                <w:u w:val="none"/>
                <w:lang w:val="en-US" w:eastAsia="zh-CN" w:bidi="ar-SA"/>
              </w:rPr>
            </w:pPr>
            <w:r>
              <w:rPr>
                <w:rFonts w:hint="eastAsia" w:ascii="宋体" w:hAnsi="宋体" w:eastAsia="宋体" w:cs="宋体"/>
                <w:bCs w:val="0"/>
                <w:color w:val="auto"/>
                <w:sz w:val="21"/>
                <w:szCs w:val="21"/>
                <w:highlight w:val="none"/>
                <w:u w:val="none"/>
              </w:rPr>
              <w:t>否</w:t>
            </w:r>
          </w:p>
        </w:tc>
        <w:tc>
          <w:tcPr>
            <w:tcW w:w="2336" w:type="dxa"/>
            <w:vMerge w:val="continue"/>
            <w:noWrap w:val="0"/>
            <w:vAlign w:val="center"/>
          </w:tcPr>
          <w:p>
            <w:pPr>
              <w:spacing w:line="560" w:lineRule="atLeast"/>
              <w:jc w:val="left"/>
              <w:rPr>
                <w:rFonts w:hint="eastAsia" w:ascii="宋体" w:hAnsi="Times New Roman" w:eastAsia="宋体" w:cs="Times New Roman"/>
                <w:bCs/>
                <w:color w:val="auto"/>
                <w:sz w:val="24"/>
                <w:szCs w:val="24"/>
                <w:u w:val="none"/>
              </w:rPr>
            </w:pPr>
          </w:p>
        </w:tc>
      </w:tr>
    </w:tbl>
    <w:p>
      <w:pPr>
        <w:widowControl/>
        <w:adjustRightInd w:val="0"/>
        <w:snapToGrid w:val="0"/>
        <w:spacing w:line="560" w:lineRule="exact"/>
        <w:ind w:firstLine="537" w:firstLineChars="168"/>
        <w:rPr>
          <w:rFonts w:hint="eastAsia" w:hAnsi="黑体" w:eastAsia="黑体"/>
          <w:color w:val="000000"/>
          <w:sz w:val="32"/>
          <w:szCs w:val="32"/>
          <w:lang w:eastAsia="zh-CN"/>
        </w:rPr>
      </w:pPr>
      <w:r>
        <w:rPr>
          <w:rFonts w:hint="eastAsia" w:hAnsi="黑体" w:eastAsia="黑体"/>
          <w:color w:val="000000"/>
          <w:sz w:val="32"/>
          <w:szCs w:val="32"/>
          <w:lang w:eastAsia="zh-CN"/>
        </w:rPr>
        <w:t>八、时限要求</w:t>
      </w:r>
    </w:p>
    <w:p>
      <w:pPr>
        <w:widowControl/>
        <w:adjustRightInd/>
        <w:snapToGrid/>
        <w:spacing w:line="560" w:lineRule="exact"/>
        <w:ind w:firstLine="640" w:firstLineChars="200"/>
        <w:contextualSpacing/>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lang w:eastAsia="zh-CN"/>
        </w:rPr>
        <w:t>（一）区文化广电旅游体育局视申请情况安排集中受理企业申请，具体受理时间以发布的申报通知为准。</w:t>
      </w:r>
    </w:p>
    <w:p>
      <w:pPr>
        <w:shd w:val="clear" w:color="auto" w:fill="FFFFFF"/>
        <w:adjustRightInd/>
        <w:snapToGrid/>
        <w:spacing w:before="0" w:beforeAutospacing="0" w:after="0" w:afterAutospacing="0" w:line="560" w:lineRule="exact"/>
        <w:ind w:firstLine="640" w:firstLineChars="200"/>
        <w:contextualSpacing/>
        <w:jc w:val="both"/>
        <w:rPr>
          <w:rFonts w:hint="eastAsia" w:ascii="Times New Roman" w:hAnsi="黑体" w:eastAsia="黑体" w:cs="Times New Roman"/>
          <w:color w:val="000000" w:themeColor="text1"/>
          <w:kern w:val="2"/>
          <w:sz w:val="32"/>
          <w:szCs w:val="32"/>
          <w:highlight w:val="none"/>
          <w:lang w:val="en-US" w:eastAsia="zh-CN"/>
          <w14:textFill>
            <w14:solidFill>
              <w14:schemeClr w14:val="tx1"/>
            </w14:solidFill>
          </w14:textFill>
        </w:rPr>
      </w:pPr>
      <w:r>
        <w:rPr>
          <w:rFonts w:hint="eastAsia" w:ascii="仿宋_GB2312" w:hAnsi="仿宋" w:eastAsia="仿宋_GB2312"/>
          <w:color w:val="000000"/>
          <w:sz w:val="32"/>
          <w:szCs w:val="32"/>
          <w:lang w:eastAsia="zh-CN"/>
        </w:rPr>
        <w:t>（二）申报主体须按照区文化广电旅游体育局相关通知要求及时提交资金拨付所需材料，逾期不办理者视为自动放弃。</w:t>
      </w:r>
    </w:p>
    <w:p>
      <w:pPr>
        <w:pStyle w:val="8"/>
        <w:shd w:val="clear" w:color="auto" w:fill="FFFFFF"/>
        <w:adjustRightInd w:val="0"/>
        <w:snapToGrid w:val="0"/>
        <w:spacing w:before="0" w:beforeAutospacing="0" w:after="0" w:afterAutospacing="0" w:line="560" w:lineRule="atLeast"/>
        <w:ind w:firstLine="645"/>
        <w:jc w:val="both"/>
        <w:rPr>
          <w:rFonts w:ascii="Times New Roman" w:hAnsi="Times New Roman" w:eastAsia="黑体" w:cs="Times New Roman"/>
          <w:color w:val="000000" w:themeColor="text1"/>
          <w:kern w:val="2"/>
          <w:sz w:val="32"/>
          <w:szCs w:val="32"/>
          <w:highlight w:val="none"/>
          <w14:textFill>
            <w14:solidFill>
              <w14:schemeClr w14:val="tx1"/>
            </w14:solidFill>
          </w14:textFill>
        </w:rPr>
      </w:pPr>
      <w:r>
        <w:rPr>
          <w:rFonts w:hint="eastAsia" w:ascii="Times New Roman" w:hAnsi="黑体" w:eastAsia="黑体" w:cs="Times New Roman"/>
          <w:color w:val="000000" w:themeColor="text1"/>
          <w:kern w:val="2"/>
          <w:sz w:val="32"/>
          <w:szCs w:val="32"/>
          <w:highlight w:val="none"/>
          <w:lang w:val="en-US" w:eastAsia="zh-CN"/>
          <w14:textFill>
            <w14:solidFill>
              <w14:schemeClr w14:val="tx1"/>
            </w14:solidFill>
          </w14:textFill>
        </w:rPr>
        <w:t>九</w:t>
      </w:r>
      <w:r>
        <w:rPr>
          <w:rFonts w:hint="eastAsia" w:ascii="Times New Roman" w:hAnsi="黑体" w:eastAsia="黑体" w:cs="Times New Roman"/>
          <w:color w:val="000000" w:themeColor="text1"/>
          <w:kern w:val="2"/>
          <w:sz w:val="32"/>
          <w:szCs w:val="32"/>
          <w:highlight w:val="none"/>
          <w14:textFill>
            <w14:solidFill>
              <w14:schemeClr w14:val="tx1"/>
            </w14:solidFill>
          </w14:textFill>
        </w:rPr>
        <w:t>、其他事项</w:t>
      </w:r>
    </w:p>
    <w:p>
      <w:pPr>
        <w:pStyle w:val="8"/>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atLeast"/>
        <w:ind w:firstLine="645"/>
        <w:jc w:val="both"/>
        <w:textAlignment w:val="auto"/>
        <w:rPr>
          <w:rFonts w:hint="eastAsia" w:ascii="仿宋" w:hAnsi="仿宋" w:eastAsia="仿宋" w:cs="Times New Roman"/>
          <w:kern w:val="2"/>
          <w:sz w:val="32"/>
          <w:szCs w:val="32"/>
          <w:lang w:eastAsia="zh-CN"/>
        </w:rPr>
      </w:pPr>
      <w:r>
        <w:rPr>
          <w:rFonts w:hint="eastAsia" w:ascii="仿宋_GB2312" w:hAnsi="仿宋" w:eastAsia="仿宋_GB2312"/>
          <w:color w:val="000000"/>
          <w:sz w:val="32"/>
          <w:szCs w:val="32"/>
          <w:lang w:eastAsia="zh-CN"/>
        </w:rPr>
        <w:t>（一）本项目所依据的政策内容执行期间如遇国家、省、市有关政策调整的，按照上级有关规定执行。</w:t>
      </w:r>
    </w:p>
    <w:p>
      <w:pPr>
        <w:pStyle w:val="8"/>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atLeast"/>
        <w:ind w:firstLine="645"/>
        <w:jc w:val="both"/>
        <w:textAlignment w:val="auto"/>
        <w:rPr>
          <w:rFonts w:ascii="仿宋" w:hAnsi="仿宋" w:eastAsia="仿宋" w:cs="Times New Roman"/>
          <w:sz w:val="32"/>
          <w:szCs w:val="32"/>
        </w:rPr>
      </w:pPr>
      <w:r>
        <w:rPr>
          <w:rFonts w:hint="eastAsia" w:ascii="仿宋" w:hAnsi="仿宋" w:eastAsia="仿宋" w:cs="Times New Roman"/>
          <w:kern w:val="2"/>
          <w:sz w:val="32"/>
          <w:szCs w:val="32"/>
          <w:lang w:eastAsia="zh-CN"/>
        </w:rPr>
        <w:t>（二）</w:t>
      </w:r>
      <w:r>
        <w:rPr>
          <w:rFonts w:hint="eastAsia" w:ascii="仿宋" w:hAnsi="仿宋" w:eastAsia="仿宋" w:cs="Times New Roman"/>
          <w:kern w:val="2"/>
          <w:sz w:val="32"/>
          <w:szCs w:val="32"/>
        </w:rPr>
        <w:t>申请本项目资助的企业应保证其申报材料的完整性、</w:t>
      </w:r>
      <w:r>
        <w:rPr>
          <w:rFonts w:hint="eastAsia" w:ascii="仿宋" w:hAnsi="仿宋" w:eastAsia="仿宋" w:cs="Times New Roman"/>
          <w:sz w:val="32"/>
          <w:szCs w:val="32"/>
        </w:rPr>
        <w:t>真实性、</w:t>
      </w:r>
      <w:r>
        <w:rPr>
          <w:rFonts w:hint="eastAsia" w:ascii="仿宋" w:hAnsi="仿宋" w:eastAsia="仿宋" w:cs="Times New Roman"/>
          <w:kern w:val="2"/>
          <w:sz w:val="32"/>
          <w:szCs w:val="32"/>
        </w:rPr>
        <w:t>准确性</w:t>
      </w:r>
      <w:r>
        <w:rPr>
          <w:rFonts w:hint="eastAsia" w:ascii="仿宋" w:hAnsi="仿宋" w:eastAsia="仿宋" w:cs="Times New Roman"/>
          <w:sz w:val="32"/>
          <w:szCs w:val="32"/>
        </w:rPr>
        <w:t>及合法性</w:t>
      </w:r>
      <w:r>
        <w:rPr>
          <w:rFonts w:hint="eastAsia" w:ascii="仿宋" w:hAnsi="仿宋" w:eastAsia="仿宋" w:cs="Times New Roman"/>
          <w:kern w:val="2"/>
          <w:sz w:val="32"/>
          <w:szCs w:val="32"/>
        </w:rPr>
        <w:t>，</w:t>
      </w:r>
      <w:r>
        <w:rPr>
          <w:rFonts w:hint="eastAsia" w:ascii="仿宋" w:hAnsi="仿宋" w:eastAsia="仿宋" w:cs="Times New Roman"/>
          <w:sz w:val="32"/>
          <w:szCs w:val="32"/>
        </w:rPr>
        <w:t>并承担所提交的项目申报材料的相关法律责任，如有虚假或侵权等行为，该项目申请无效，如事后发现存在以上行为，本资金主管部门将保留依法追究其法律责任的权利。</w:t>
      </w:r>
    </w:p>
    <w:p>
      <w:pPr>
        <w:pStyle w:val="8"/>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atLeast"/>
        <w:ind w:firstLine="640" w:firstLineChars="200"/>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十</w:t>
      </w:r>
      <w:r>
        <w:rPr>
          <w:rFonts w:hint="eastAsia" w:ascii="Times New Roman" w:hAnsi="黑体" w:eastAsia="黑体" w:cs="Times New Roman"/>
          <w:color w:val="000000"/>
          <w:kern w:val="2"/>
          <w:sz w:val="32"/>
          <w:szCs w:val="32"/>
        </w:rPr>
        <w:t>、附则</w:t>
      </w:r>
    </w:p>
    <w:p>
      <w:pPr>
        <w:pStyle w:val="8"/>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atLeast"/>
        <w:ind w:firstLine="640" w:firstLineChars="200"/>
        <w:jc w:val="both"/>
        <w:textAlignment w:val="auto"/>
        <w:rPr>
          <w:rFonts w:hint="eastAsia" w:ascii="仿宋" w:hAnsi="仿宋" w:eastAsia="仿宋" w:cs="Times New Roman"/>
          <w:kern w:val="2"/>
          <w:sz w:val="32"/>
          <w:szCs w:val="32"/>
        </w:rPr>
      </w:pPr>
      <w:r>
        <w:rPr>
          <w:rFonts w:hint="eastAsia" w:ascii="仿宋" w:hAnsi="仿宋" w:eastAsia="仿宋" w:cs="Times New Roman"/>
          <w:kern w:val="2"/>
          <w:sz w:val="32"/>
          <w:szCs w:val="32"/>
        </w:rPr>
        <w:t>本规程由南山区文化广电旅游体育局负责解释，自发布之日起施行。</w:t>
      </w:r>
    </w:p>
    <w:p>
      <w:pPr>
        <w:pStyle w:val="8"/>
        <w:shd w:val="clear" w:color="auto" w:fill="FFFFFF"/>
        <w:adjustRightInd w:val="0"/>
        <w:snapToGrid w:val="0"/>
        <w:spacing w:before="0" w:beforeAutospacing="0" w:after="0" w:afterAutospacing="0" w:line="560" w:lineRule="atLeast"/>
        <w:ind w:firstLine="480" w:firstLineChars="200"/>
        <w:jc w:val="both"/>
        <w:rPr>
          <w:rFonts w:ascii="仿宋_GB2312" w:eastAsia="仿宋_GB2312"/>
          <w:color w:val="000000" w:themeColor="text1"/>
          <w:highlight w:val="none"/>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ˎ̥">
    <w:altName w:val="华文仿宋"/>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doNotDisplayPageBoundaries w:val="true"/>
  <w:embedSystemFonts/>
  <w:bordersDoNotSurroundHeader w:val="true"/>
  <w:bordersDoNotSurroundFooter w:val="true"/>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liOTU0NTc3ZTM1ZTYyZGY3YzYzMmZkODc4MjgyZWMifQ=="/>
  </w:docVars>
  <w:rsids>
    <w:rsidRoot w:val="1E9B000F"/>
    <w:rsid w:val="00007F6F"/>
    <w:rsid w:val="00024D3C"/>
    <w:rsid w:val="00031E90"/>
    <w:rsid w:val="00033CA7"/>
    <w:rsid w:val="00044F20"/>
    <w:rsid w:val="000472C9"/>
    <w:rsid w:val="00074783"/>
    <w:rsid w:val="000965F4"/>
    <w:rsid w:val="000B0273"/>
    <w:rsid w:val="000D3AF5"/>
    <w:rsid w:val="00115BCC"/>
    <w:rsid w:val="001421E0"/>
    <w:rsid w:val="00143A36"/>
    <w:rsid w:val="0015404E"/>
    <w:rsid w:val="00154D00"/>
    <w:rsid w:val="00177E5F"/>
    <w:rsid w:val="001952D7"/>
    <w:rsid w:val="001B0C22"/>
    <w:rsid w:val="0020003E"/>
    <w:rsid w:val="0026218E"/>
    <w:rsid w:val="00275C4B"/>
    <w:rsid w:val="002E7D20"/>
    <w:rsid w:val="003044C7"/>
    <w:rsid w:val="00385363"/>
    <w:rsid w:val="00396D2A"/>
    <w:rsid w:val="003E6CDD"/>
    <w:rsid w:val="003F33E9"/>
    <w:rsid w:val="0040302E"/>
    <w:rsid w:val="0040362C"/>
    <w:rsid w:val="004329C4"/>
    <w:rsid w:val="00456C09"/>
    <w:rsid w:val="00475747"/>
    <w:rsid w:val="00484F4E"/>
    <w:rsid w:val="0048721F"/>
    <w:rsid w:val="004C3649"/>
    <w:rsid w:val="005956B2"/>
    <w:rsid w:val="00595A1F"/>
    <w:rsid w:val="005C1AD0"/>
    <w:rsid w:val="005D048F"/>
    <w:rsid w:val="005D529D"/>
    <w:rsid w:val="005E6DED"/>
    <w:rsid w:val="006255F8"/>
    <w:rsid w:val="00651611"/>
    <w:rsid w:val="0070304A"/>
    <w:rsid w:val="00705AFF"/>
    <w:rsid w:val="00765457"/>
    <w:rsid w:val="00772729"/>
    <w:rsid w:val="007A67CC"/>
    <w:rsid w:val="007C0661"/>
    <w:rsid w:val="007D0365"/>
    <w:rsid w:val="007E2AAA"/>
    <w:rsid w:val="007E59AE"/>
    <w:rsid w:val="007F1E08"/>
    <w:rsid w:val="008058F8"/>
    <w:rsid w:val="00810CAC"/>
    <w:rsid w:val="0086601C"/>
    <w:rsid w:val="00886129"/>
    <w:rsid w:val="00896F3C"/>
    <w:rsid w:val="008A06B8"/>
    <w:rsid w:val="008B0EB5"/>
    <w:rsid w:val="008C5A2F"/>
    <w:rsid w:val="008C75B3"/>
    <w:rsid w:val="008D3C58"/>
    <w:rsid w:val="008F5A0A"/>
    <w:rsid w:val="00904B58"/>
    <w:rsid w:val="00920AE3"/>
    <w:rsid w:val="00956EE7"/>
    <w:rsid w:val="00977354"/>
    <w:rsid w:val="009944AF"/>
    <w:rsid w:val="00995D7C"/>
    <w:rsid w:val="009A0E64"/>
    <w:rsid w:val="009B0D2F"/>
    <w:rsid w:val="009B3AE0"/>
    <w:rsid w:val="009D57BC"/>
    <w:rsid w:val="009E2DAA"/>
    <w:rsid w:val="009F4297"/>
    <w:rsid w:val="00A047A0"/>
    <w:rsid w:val="00A271AA"/>
    <w:rsid w:val="00A82793"/>
    <w:rsid w:val="00A86FF4"/>
    <w:rsid w:val="00AA3ECD"/>
    <w:rsid w:val="00AC0D4D"/>
    <w:rsid w:val="00AD6040"/>
    <w:rsid w:val="00AE260C"/>
    <w:rsid w:val="00B101C1"/>
    <w:rsid w:val="00B17BF3"/>
    <w:rsid w:val="00B22CDB"/>
    <w:rsid w:val="00B30736"/>
    <w:rsid w:val="00B77C53"/>
    <w:rsid w:val="00B803E6"/>
    <w:rsid w:val="00B84C49"/>
    <w:rsid w:val="00B91CA9"/>
    <w:rsid w:val="00BA5F30"/>
    <w:rsid w:val="00BC06DD"/>
    <w:rsid w:val="00BD6E4F"/>
    <w:rsid w:val="00BE7C30"/>
    <w:rsid w:val="00C97DDB"/>
    <w:rsid w:val="00CA2CD5"/>
    <w:rsid w:val="00CA4770"/>
    <w:rsid w:val="00CD6F9A"/>
    <w:rsid w:val="00CE00CC"/>
    <w:rsid w:val="00CE1FF7"/>
    <w:rsid w:val="00CE6F5B"/>
    <w:rsid w:val="00CE7E06"/>
    <w:rsid w:val="00D13618"/>
    <w:rsid w:val="00D818FD"/>
    <w:rsid w:val="00DF10BB"/>
    <w:rsid w:val="00E040F9"/>
    <w:rsid w:val="00E102DA"/>
    <w:rsid w:val="00E1265B"/>
    <w:rsid w:val="00E23039"/>
    <w:rsid w:val="00E4544B"/>
    <w:rsid w:val="00EA5699"/>
    <w:rsid w:val="00EC4977"/>
    <w:rsid w:val="00ED5415"/>
    <w:rsid w:val="00F0380B"/>
    <w:rsid w:val="00F07B9B"/>
    <w:rsid w:val="00F07CA9"/>
    <w:rsid w:val="00F2135A"/>
    <w:rsid w:val="00F254EF"/>
    <w:rsid w:val="00F2602B"/>
    <w:rsid w:val="00F3450B"/>
    <w:rsid w:val="00F54B2C"/>
    <w:rsid w:val="00F8077A"/>
    <w:rsid w:val="00F85813"/>
    <w:rsid w:val="00F95C5E"/>
    <w:rsid w:val="00FB46B8"/>
    <w:rsid w:val="00FB6C39"/>
    <w:rsid w:val="00FD76D6"/>
    <w:rsid w:val="00FF0E03"/>
    <w:rsid w:val="0174291E"/>
    <w:rsid w:val="0381433E"/>
    <w:rsid w:val="09075A53"/>
    <w:rsid w:val="095C7285"/>
    <w:rsid w:val="104D08F5"/>
    <w:rsid w:val="119C505E"/>
    <w:rsid w:val="123C4C9F"/>
    <w:rsid w:val="168B0344"/>
    <w:rsid w:val="1CF2EC89"/>
    <w:rsid w:val="1D90796E"/>
    <w:rsid w:val="1E395720"/>
    <w:rsid w:val="1E9B000F"/>
    <w:rsid w:val="1FAD4DE8"/>
    <w:rsid w:val="22B723BC"/>
    <w:rsid w:val="26843B0A"/>
    <w:rsid w:val="282D50D7"/>
    <w:rsid w:val="2A0E4549"/>
    <w:rsid w:val="2B1B11BE"/>
    <w:rsid w:val="2BFA16CB"/>
    <w:rsid w:val="2EB67F07"/>
    <w:rsid w:val="3436272C"/>
    <w:rsid w:val="365F39E8"/>
    <w:rsid w:val="37B104F6"/>
    <w:rsid w:val="381C2CCF"/>
    <w:rsid w:val="3CB55CD9"/>
    <w:rsid w:val="42B24DAB"/>
    <w:rsid w:val="42D91274"/>
    <w:rsid w:val="431D4C7D"/>
    <w:rsid w:val="432C2634"/>
    <w:rsid w:val="43464909"/>
    <w:rsid w:val="435B3796"/>
    <w:rsid w:val="4A25750C"/>
    <w:rsid w:val="4A6807A1"/>
    <w:rsid w:val="4DB90697"/>
    <w:rsid w:val="4E92280E"/>
    <w:rsid w:val="4EFF5D90"/>
    <w:rsid w:val="50605CC5"/>
    <w:rsid w:val="54910013"/>
    <w:rsid w:val="57DF128D"/>
    <w:rsid w:val="57FB54C9"/>
    <w:rsid w:val="58A43CF2"/>
    <w:rsid w:val="5C8512A6"/>
    <w:rsid w:val="5E800D5D"/>
    <w:rsid w:val="613A4966"/>
    <w:rsid w:val="64561B9C"/>
    <w:rsid w:val="67183602"/>
    <w:rsid w:val="6792B00D"/>
    <w:rsid w:val="67CD10DC"/>
    <w:rsid w:val="684D1036"/>
    <w:rsid w:val="6A6E71F1"/>
    <w:rsid w:val="6BFD0D09"/>
    <w:rsid w:val="6CE13347"/>
    <w:rsid w:val="6D3414FD"/>
    <w:rsid w:val="6F6F700E"/>
    <w:rsid w:val="71E2790D"/>
    <w:rsid w:val="72490A6C"/>
    <w:rsid w:val="74754EEE"/>
    <w:rsid w:val="76051E1C"/>
    <w:rsid w:val="765E2969"/>
    <w:rsid w:val="79843D9B"/>
    <w:rsid w:val="7AF7A155"/>
    <w:rsid w:val="7B8E4662"/>
    <w:rsid w:val="7D9C7CC2"/>
    <w:rsid w:val="7E7D02CA"/>
    <w:rsid w:val="7FFFAEA2"/>
    <w:rsid w:val="9FFF04D6"/>
    <w:rsid w:val="A9CAE957"/>
    <w:rsid w:val="BFB7F1B2"/>
    <w:rsid w:val="CBFFCC77"/>
    <w:rsid w:val="DBFDB067"/>
    <w:rsid w:val="DFBBDE6F"/>
    <w:rsid w:val="F7DB2E69"/>
    <w:rsid w:val="FBCDA9DB"/>
    <w:rsid w:val="FFB78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4">
    <w:name w:val="annotation text"/>
    <w:basedOn w:val="1"/>
    <w:link w:val="16"/>
    <w:qFormat/>
    <w:uiPriority w:val="0"/>
    <w:pPr>
      <w:jc w:val="left"/>
    </w:pPr>
  </w:style>
  <w:style w:type="paragraph" w:styleId="5">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6">
    <w:name w:val="footer"/>
    <w:basedOn w:val="1"/>
    <w:link w:val="18"/>
    <w:qFormat/>
    <w:uiPriority w:val="99"/>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annotation subject"/>
    <w:basedOn w:val="4"/>
    <w:next w:val="4"/>
    <w:link w:val="17"/>
    <w:qFormat/>
    <w:uiPriority w:val="0"/>
    <w:rPr>
      <w:b/>
      <w:bCs/>
    </w:rPr>
  </w:style>
  <w:style w:type="character" w:styleId="12">
    <w:name w:val="annotation reference"/>
    <w:basedOn w:val="11"/>
    <w:qFormat/>
    <w:uiPriority w:val="0"/>
    <w:rPr>
      <w:sz w:val="21"/>
      <w:szCs w:val="21"/>
    </w:rPr>
  </w:style>
  <w:style w:type="character" w:customStyle="1" w:styleId="13">
    <w:name w:val="font51"/>
    <w:basedOn w:val="11"/>
    <w:qFormat/>
    <w:uiPriority w:val="0"/>
    <w:rPr>
      <w:rFonts w:hint="eastAsia" w:ascii="宋体" w:hAnsi="宋体" w:eastAsia="宋体" w:cs="宋体"/>
      <w:color w:val="000000"/>
      <w:sz w:val="24"/>
      <w:szCs w:val="24"/>
      <w:u w:val="none"/>
    </w:rPr>
  </w:style>
  <w:style w:type="character" w:customStyle="1" w:styleId="14">
    <w:name w:val="页眉 字符"/>
    <w:basedOn w:val="11"/>
    <w:link w:val="7"/>
    <w:qFormat/>
    <w:uiPriority w:val="0"/>
    <w:rPr>
      <w:kern w:val="2"/>
      <w:sz w:val="18"/>
      <w:szCs w:val="18"/>
    </w:rPr>
  </w:style>
  <w:style w:type="paragraph" w:customStyle="1" w:styleId="15">
    <w:name w:val="列出段落1"/>
    <w:basedOn w:val="1"/>
    <w:qFormat/>
    <w:uiPriority w:val="34"/>
    <w:pPr>
      <w:ind w:firstLine="420" w:firstLineChars="200"/>
    </w:pPr>
    <w:rPr>
      <w:rFonts w:ascii="Calibri" w:hAnsi="Calibri" w:cs="宋体"/>
    </w:rPr>
  </w:style>
  <w:style w:type="character" w:customStyle="1" w:styleId="16">
    <w:name w:val="批注文字 字符"/>
    <w:basedOn w:val="11"/>
    <w:link w:val="4"/>
    <w:qFormat/>
    <w:uiPriority w:val="0"/>
    <w:rPr>
      <w:kern w:val="2"/>
      <w:sz w:val="21"/>
      <w:szCs w:val="24"/>
    </w:rPr>
  </w:style>
  <w:style w:type="character" w:customStyle="1" w:styleId="17">
    <w:name w:val="批注主题 字符"/>
    <w:basedOn w:val="16"/>
    <w:link w:val="9"/>
    <w:qFormat/>
    <w:uiPriority w:val="0"/>
    <w:rPr>
      <w:b/>
      <w:bCs/>
      <w:kern w:val="2"/>
      <w:sz w:val="21"/>
      <w:szCs w:val="24"/>
    </w:rPr>
  </w:style>
  <w:style w:type="character" w:customStyle="1" w:styleId="18">
    <w:name w:val="页脚 字符"/>
    <w:basedOn w:val="11"/>
    <w:link w:val="6"/>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1534</Words>
  <Characters>1620</Characters>
  <Lines>11</Lines>
  <Paragraphs>3</Paragraphs>
  <TotalTime>277</TotalTime>
  <ScaleCrop>false</ScaleCrop>
  <LinksUpToDate>false</LinksUpToDate>
  <CharactersWithSpaces>1621</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2022-07-25T21:12:00Z</dcterms:created>
  <dc:creator>王榕</dc:creator>
  <cp:lastModifiedBy>ns</cp:lastModifiedBy>
  <cp:lastPrinted>2025-10-22T02:55:00Z</cp:lastPrinted>
  <dcterms:modified xsi:type="dcterms:W3CDTF">2025-10-27T18:48:17Z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F9B4B179ACCB4C4897F2212169195F0F</vt:lpwstr>
  </property>
  <property fmtid="{D5CDD505-2E9C-101B-9397-08002B2CF9AE}" pid="4" name="KSOTemplateDocerSaveRecord">
    <vt:lpwstr>eyJoZGlkIjoiNzliOTU0NTc3ZTM1ZTYyZGY3YzYzMmZkODc4MjgyZWMiLCJ1c2VySWQiOiIzMjk0MTYzNTUifQ==</vt:lpwstr>
  </property>
</Properties>
</file>