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73EE">
      <w:pPr>
        <w:spacing w:line="560" w:lineRule="exact"/>
        <w:ind w:firstLine="723" w:firstLineChars="20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深圳市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南山区文化广电旅游体育局高水平体育赛事资助协议书</w:t>
      </w:r>
    </w:p>
    <w:p w14:paraId="085B414D">
      <w:pPr>
        <w:spacing w:line="560" w:lineRule="exact"/>
        <w:ind w:firstLine="723" w:firstLineChars="200"/>
        <w:jc w:val="left"/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3622C5C1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甲方：深圳市南山区文化广电旅游体育局</w:t>
      </w:r>
    </w:p>
    <w:p w14:paraId="6AC6A81E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负责人：</w:t>
      </w:r>
    </w:p>
    <w:p w14:paraId="4A603D9E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</w:t>
      </w:r>
    </w:p>
    <w:p w14:paraId="4426D056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</w:t>
      </w:r>
    </w:p>
    <w:p w14:paraId="355032AD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7BDD7E5F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52FA3BBC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乙方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</w:p>
    <w:p w14:paraId="6C88A278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负责人：</w:t>
      </w:r>
    </w:p>
    <w:p w14:paraId="1E52CD11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</w:t>
      </w:r>
    </w:p>
    <w:p w14:paraId="1358E406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</w:t>
      </w:r>
    </w:p>
    <w:p w14:paraId="00CB0858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65533E46">
      <w:pPr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为进一步推动南山区</w:t>
      </w:r>
      <w:r>
        <w:rPr>
          <w:rFonts w:hint="eastAsia" w:ascii="仿宋" w:hAnsi="仿宋" w:eastAsia="仿宋" w:cs="仿宋_GB2312"/>
          <w:sz w:val="28"/>
          <w:szCs w:val="28"/>
        </w:rPr>
        <w:t>体育产业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高质量发展</w:t>
      </w:r>
      <w:r>
        <w:rPr>
          <w:rFonts w:hint="eastAsia" w:ascii="仿宋" w:hAnsi="仿宋" w:eastAsia="仿宋" w:cs="仿宋_GB2312"/>
          <w:sz w:val="28"/>
          <w:szCs w:val="28"/>
        </w:rPr>
        <w:t>，不断满足人民日益增长的美好生活需要，提升办赛质量，扩大高水平赛事影响力，经双方友好协商，签订以下协议：</w:t>
      </w:r>
    </w:p>
    <w:p w14:paraId="0FCA4848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第一条 赛事的名称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</w:t>
      </w:r>
    </w:p>
    <w:p w14:paraId="0CC4B56C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第二条 赛事日期、地点及规模等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</w:p>
    <w:p w14:paraId="402BA170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（一）活动日期：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</w:t>
      </w:r>
    </w:p>
    <w:p w14:paraId="1E138D1F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（二）活动场次/天数：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</w:t>
      </w:r>
    </w:p>
    <w:p w14:paraId="0823F049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（三）活动举办地点：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</w:t>
      </w:r>
    </w:p>
    <w:p w14:paraId="1DF48459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（四）活动参与人数：约 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人</w:t>
      </w:r>
    </w:p>
    <w:p w14:paraId="7BC7917F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（五）活动主要参与对象：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 </w:t>
      </w:r>
    </w:p>
    <w:p w14:paraId="4C30A7A3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第三条 甲方职责</w:t>
      </w:r>
    </w:p>
    <w:p w14:paraId="218DC31A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甲方对乙方具有业务指导、督促检查的职责。</w:t>
      </w:r>
    </w:p>
    <w:p w14:paraId="6B140FD2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第四条 乙方职责</w:t>
      </w:r>
    </w:p>
    <w:p w14:paraId="46CDA3A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（一）乙方负责赛事的筹办事宜，并按要求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接受甲方监督。</w:t>
      </w:r>
    </w:p>
    <w:p w14:paraId="35B19063"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乙方须及时向甲方报送相关材料。</w:t>
      </w:r>
    </w:p>
    <w:p w14:paraId="52C5C51E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1.申报相关材料：</w:t>
      </w:r>
    </w:p>
    <w:p w14:paraId="7BABCD4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主要包括：</w:t>
      </w:r>
      <w:r>
        <w:rPr>
          <w:rFonts w:hint="eastAsia" w:ascii="仿宋" w:hAnsi="仿宋" w:eastAsia="仿宋"/>
          <w:sz w:val="28"/>
          <w:szCs w:val="28"/>
        </w:rPr>
        <w:t>《南山区高水平体育赛事资助项目申请表》、资助单位与国际单项体育联合会、国家体育管理部门、省体育管理部门等签订的赛事或大型体育活动运营授权书、合同或批文、高水平体育赛事或大型体育活动的组织方案、营业执照或法人证书、赛事请示函、赛事经费预算表。</w:t>
      </w:r>
    </w:p>
    <w:p w14:paraId="1D99A46F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2.验收材料：</w:t>
      </w:r>
    </w:p>
    <w:p w14:paraId="0AC9FA9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资助项目完成之日起15个工作日内，乙方须向甲方指定的单位递交验收材料，内容包括：秩序册、成绩册、赛事总结、赛事相关现场照片（10张）、视频（2-3分钟）、宣传推文、</w:t>
      </w:r>
      <w:r>
        <w:rPr>
          <w:rFonts w:hint="eastAsia" w:ascii="仿宋" w:hAnsi="仿宋" w:eastAsia="仿宋" w:cs="Calibri"/>
          <w:sz w:val="28"/>
          <w:szCs w:val="28"/>
        </w:rPr>
        <w:t>费用明细表等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590BF46D">
      <w:pPr>
        <w:widowControl/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乙方须全力做好赛事安全、后勤保障等工作，</w:t>
      </w:r>
      <w:r>
        <w:rPr>
          <w:rFonts w:hint="eastAsia" w:ascii="仿宋" w:hAnsi="仿宋" w:eastAsia="仿宋" w:cs="仿宋_GB2312"/>
          <w:sz w:val="28"/>
          <w:szCs w:val="28"/>
        </w:rPr>
        <w:t>确保赛事安全有序进行。</w:t>
      </w:r>
    </w:p>
    <w:p w14:paraId="25F13C91">
      <w:pPr>
        <w:widowControl/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乙方须为参加赛事人员购买人身意外伤害险，因故发生的人身意外伤害均由乙方负责。</w:t>
      </w:r>
    </w:p>
    <w:p w14:paraId="1BF14A7F"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（五）乙方须在赛事举办前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60</w:t>
      </w:r>
      <w:r>
        <w:rPr>
          <w:rFonts w:hint="eastAsia" w:ascii="仿宋" w:hAnsi="仿宋" w:eastAsia="仿宋" w:cs="仿宋_GB2312"/>
          <w:sz w:val="28"/>
          <w:szCs w:val="28"/>
        </w:rPr>
        <w:t>个工作日内将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赛事竞赛规程上报到甲方相关科室。</w:t>
      </w:r>
    </w:p>
    <w:p w14:paraId="075A92E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（六）本次</w:t>
      </w:r>
      <w:r>
        <w:rPr>
          <w:rFonts w:hint="eastAsia" w:ascii="仿宋" w:hAnsi="仿宋" w:eastAsia="仿宋" w:cs="仿宋_GB2312"/>
          <w:sz w:val="28"/>
          <w:szCs w:val="28"/>
        </w:rPr>
        <w:t>赛事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不得委托第三方承办，乙方须独立核算，并</w:t>
      </w:r>
      <w:r>
        <w:rPr>
          <w:rFonts w:hint="eastAsia" w:ascii="仿宋" w:hAnsi="仿宋" w:eastAsia="仿宋" w:cs="仿宋_GB2312"/>
          <w:sz w:val="28"/>
          <w:szCs w:val="28"/>
        </w:rPr>
        <w:t>及时提供税务票据，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按要求接受甲方的监督检查。</w:t>
      </w:r>
    </w:p>
    <w:p w14:paraId="06ED36C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（七）</w:t>
      </w:r>
      <w:r>
        <w:rPr>
          <w:rFonts w:hint="eastAsia" w:ascii="仿宋" w:hAnsi="仿宋" w:eastAsia="仿宋" w:cs="仿宋_GB2312"/>
          <w:sz w:val="28"/>
          <w:szCs w:val="28"/>
        </w:rPr>
        <w:t>赛事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结束之日起10日内，乙方须到甲方指定的审计单位进行赛事审计，并按照相关审计要求在规定时间内提交赛事材料。</w:t>
      </w:r>
    </w:p>
    <w:p w14:paraId="4EB4E82B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第五条 资金使用规定</w:t>
      </w:r>
    </w:p>
    <w:p w14:paraId="2447CD5D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资助经费使用范围主要包括场租、灯光、音响、安保、医疗、保险、志愿者、宣传等费用，与赛事相关的接待费、中介费、出场费、奖金等不得列入该资助资金支出范围。相关支出标准参照《深圳市主办（承办）和参加大型体育赛事经费支出管理办法》执行。</w:t>
      </w:r>
    </w:p>
    <w:p w14:paraId="7299B8FA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第六条 资金拨付及使用</w:t>
      </w:r>
    </w:p>
    <w:p w14:paraId="0D676F44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（一）甲方资助乙方承办该项赛事，并在赛后拨付赛事资助款不超过人民币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28"/>
          <w:szCs w:val="28"/>
        </w:rPr>
        <w:t>万元（大写）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4E6D62C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（二）赛事结束之日起  个工作日内，甲方根据乙方开具的税务发票及第三方审计报告结果，根据经审定的办赛总支出情况确定并拨付资助款：</w:t>
      </w:r>
    </w:p>
    <w:p w14:paraId="591F348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审计合格则按审定的办赛总支出的一半支付资助款项，最高不超过本条第（一）款确定的资助额度。</w:t>
      </w:r>
    </w:p>
    <w:p w14:paraId="22645DB3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（三）支付方式：甲方按规定将有关经费转账至乙方账户。</w:t>
      </w:r>
    </w:p>
    <w:p w14:paraId="12C4E10E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户名：</w:t>
      </w:r>
    </w:p>
    <w:p w14:paraId="430E572E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开户行：</w:t>
      </w:r>
    </w:p>
    <w:p w14:paraId="40952A2D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账号：</w:t>
      </w:r>
    </w:p>
    <w:p w14:paraId="2CBB1D7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乙方在使用甲方拨付的经费时，须专款专用，每张票据均须注明该项活动名称。其中1000元以上的费用必须采用银行转账方式支付并保留支付凭证；乙方一次性购买超过3000元金额物资时，必须与对方公司签订购销协议或采购合同，不超过3000元的须罗列购买清单。</w:t>
      </w:r>
      <w:bookmarkStart w:id="0" w:name="_GoBack"/>
      <w:bookmarkEnd w:id="0"/>
    </w:p>
    <w:p w14:paraId="043B23ED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第七条 变更事项处理</w:t>
      </w:r>
    </w:p>
    <w:p w14:paraId="510CE36D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有下列变更事项之一者，乙方须提交书面申请报送甲方审核决定：</w:t>
      </w:r>
    </w:p>
    <w:p w14:paraId="536EA99E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（一）变更项目承办机构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1C74741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（二）变更已批准的资助项目名称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641E4A9E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（三）变更资助项目的赛事形式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76C97DC2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（四）资助项目内容有重大变化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1C70EB77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（五）资助项目延期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05B05F8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（六）终止资助项目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8A68A65"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（七）其他需要审批的重大变更事项。</w:t>
      </w:r>
    </w:p>
    <w:p w14:paraId="03D9CD9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上述变更事项如未经甲方同意，甲方有权不予以资助。</w:t>
      </w:r>
    </w:p>
    <w:p w14:paraId="18F17417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第八条 违约责任</w:t>
      </w:r>
    </w:p>
    <w:p w14:paraId="2722952B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乙方有下列情形之一者，为验收不合格，将承担违约责任，甲方有权视情形依法做出取消资助资格</w:t>
      </w:r>
      <w:r>
        <w:rPr>
          <w:rFonts w:hint="eastAsia" w:ascii="仿宋" w:hAnsi="仿宋" w:eastAsia="仿宋" w:cs="微软雅黑"/>
          <w:sz w:val="28"/>
          <w:szCs w:val="28"/>
        </w:rPr>
        <w:t>、降低或拒绝支付资助款等</w:t>
      </w:r>
      <w:r>
        <w:rPr>
          <w:rFonts w:hint="eastAsia" w:ascii="仿宋" w:hAnsi="仿宋" w:eastAsia="仿宋" w:cs="仿宋_GB2312"/>
          <w:sz w:val="28"/>
          <w:szCs w:val="28"/>
        </w:rPr>
        <w:t>相应处理：</w:t>
      </w:r>
    </w:p>
    <w:p w14:paraId="3CE55ECF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（一）违反《体育法》等其他有关规定的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46E39AC6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（二）有严重弄虚作假行为的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66B73A6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（三）未按照项目计划执行，或与批准的资助项目内容严重不符的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9FB9A4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（四）出现安全事故，造成严重社会影响的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2432AC5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（五）多次延期仍不能完成项目承办的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22DBE2E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（六）违反财务会计制度规定，将政府资助资金挪作他用的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428C63C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（七）项目申报、评审、验收工作中有行贿行为的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2E5F3911">
      <w:pPr>
        <w:widowControl/>
        <w:spacing w:line="560" w:lineRule="exact"/>
        <w:ind w:firstLine="560" w:firstLineChars="200"/>
        <w:jc w:val="left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（八）其他违法和严重违规事项。</w:t>
      </w:r>
    </w:p>
    <w:p w14:paraId="7ACFFBB7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_GB2312"/>
          <w:sz w:val="28"/>
          <w:szCs w:val="28"/>
        </w:rPr>
        <w:t xml:space="preserve"> 本协议书未尽事宜，由双方共同协商并签订补充协议。</w:t>
      </w:r>
    </w:p>
    <w:p w14:paraId="6A45C5A3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第十条 </w:t>
      </w:r>
      <w:r>
        <w:rPr>
          <w:rFonts w:hint="eastAsia" w:ascii="仿宋" w:hAnsi="仿宋" w:eastAsia="仿宋" w:cs="仿宋_GB2312"/>
          <w:sz w:val="28"/>
          <w:szCs w:val="28"/>
        </w:rPr>
        <w:t>本协议履行过程中，如有争议，双方协商解决。协商不成，可诉至甲方所在地人民法院。</w:t>
      </w:r>
    </w:p>
    <w:p w14:paraId="41C3AFD5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第十一条</w:t>
      </w:r>
      <w:r>
        <w:rPr>
          <w:rFonts w:hint="eastAsia" w:ascii="仿宋" w:hAnsi="仿宋" w:eastAsia="仿宋" w:cs="仿宋_GB2312"/>
          <w:sz w:val="28"/>
          <w:szCs w:val="28"/>
        </w:rPr>
        <w:t xml:space="preserve"> 本协议一式肆份，甲方执叁份乙方执壹份，具有同等法律效力，自双方法定代表人或授权代表签字并加盖单位公章之日起生效。</w:t>
      </w:r>
    </w:p>
    <w:p w14:paraId="6B41A929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7848B7D6">
      <w:pPr>
        <w:widowControl/>
        <w:spacing w:line="440" w:lineRule="exact"/>
        <w:ind w:firstLine="0" w:firstLineChars="0"/>
        <w:jc w:val="left"/>
        <w:rPr>
          <w:rFonts w:ascii="仿宋" w:hAnsi="仿宋" w:eastAsia="仿宋" w:cs="仿宋_GB2312"/>
          <w:sz w:val="28"/>
          <w:szCs w:val="28"/>
        </w:rPr>
      </w:pPr>
    </w:p>
    <w:p w14:paraId="5DD1745D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</w:p>
    <w:p w14:paraId="782C70C7">
      <w:pPr>
        <w:widowControl/>
        <w:spacing w:line="440" w:lineRule="exact"/>
        <w:ind w:firstLine="0" w:firstLineChars="0"/>
        <w:jc w:val="left"/>
        <w:rPr>
          <w:rFonts w:ascii="仿宋" w:hAnsi="仿宋" w:eastAsia="仿宋" w:cs="仿宋_GB2312"/>
          <w:sz w:val="28"/>
          <w:szCs w:val="28"/>
        </w:rPr>
      </w:pPr>
    </w:p>
    <w:p w14:paraId="50AA83A0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226B0C72">
      <w:pPr>
        <w:widowControl/>
        <w:spacing w:before="240" w:after="90"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甲方：   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 xml:space="preserve">    乙方：</w:t>
      </w:r>
    </w:p>
    <w:p w14:paraId="532A033C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（盖章）       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_GB2312"/>
          <w:sz w:val="28"/>
          <w:szCs w:val="28"/>
        </w:rPr>
        <w:t>（盖章）</w:t>
      </w:r>
    </w:p>
    <w:p w14:paraId="3C2D8AE4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代表人：                            代表人：</w:t>
      </w:r>
    </w:p>
    <w:p w14:paraId="18B81587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年  月  日                  日期：  年  月  日</w:t>
      </w:r>
    </w:p>
    <w:p w14:paraId="0D7128EA">
      <w:pPr>
        <w:spacing w:line="240" w:lineRule="auto"/>
        <w:ind w:firstLine="560" w:firstLineChars="200"/>
        <w:rPr>
          <w:rFonts w:hint="eastAsia" w:ascii="仿宋" w:hAnsi="仿宋" w:eastAsia="仿宋"/>
          <w:sz w:val="21"/>
          <w:szCs w:val="22"/>
        </w:rPr>
      </w:pPr>
      <w:r>
        <w:rPr>
          <w:rFonts w:hint="eastAsia" w:ascii="仿宋" w:hAnsi="仿宋" w:eastAsia="仿宋" w:cs="仿宋_GB2312"/>
          <w:sz w:val="28"/>
          <w:szCs w:val="28"/>
        </w:rPr>
        <w:t>联系方式：                          联系方式：</w:t>
      </w:r>
    </w:p>
    <w:p w14:paraId="3B6F318B">
      <w:pPr>
        <w:spacing w:line="560" w:lineRule="exact"/>
        <w:ind w:firstLine="0" w:firstLineChars="0"/>
        <w:outlineLvl w:val="0"/>
        <w:rPr>
          <w:rFonts w:hint="eastAsia" w:ascii="仿宋" w:hAnsi="仿宋" w:eastAsia="仿宋" w:cs="黑体"/>
          <w:sz w:val="32"/>
          <w:szCs w:val="32"/>
        </w:rPr>
      </w:pPr>
    </w:p>
    <w:p w14:paraId="51E4D539">
      <w:pPr>
        <w:spacing w:line="240" w:lineRule="auto"/>
        <w:ind w:firstLine="0" w:firstLineChars="0"/>
        <w:rPr>
          <w:rFonts w:hint="eastAsia" w:ascii="仿宋" w:hAnsi="仿宋" w:eastAsia="仿宋" w:cs="黑体"/>
          <w:sz w:val="32"/>
          <w:szCs w:val="32"/>
        </w:rPr>
      </w:pPr>
    </w:p>
    <w:p w14:paraId="52B92B60"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 w14:paraId="457ED7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0EF94"/>
    <w:multiLevelType w:val="singleLevel"/>
    <w:tmpl w:val="1920EF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8B55C9"/>
    <w:rsid w:val="3EFDCE7B"/>
    <w:rsid w:val="416B0766"/>
    <w:rsid w:val="CACFAED8"/>
    <w:rsid w:val="CEFC9643"/>
    <w:rsid w:val="D38B55C9"/>
    <w:rsid w:val="F3366A10"/>
    <w:rsid w:val="FDD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1739</Characters>
  <Lines>0</Lines>
  <Paragraphs>0</Paragraphs>
  <TotalTime>0</TotalTime>
  <ScaleCrop>false</ScaleCrop>
  <LinksUpToDate>false</LinksUpToDate>
  <CharactersWithSpaces>1967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2024-12-14T00:55:00Z</dcterms:created>
  <dc:creator>苏长顺</dc:creator>
  <cp:lastModifiedBy>微信用户</cp:lastModifiedBy>
  <dcterms:modified xsi:type="dcterms:W3CDTF">2025-09-25T08:35:53Z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D72853859FCE41518AABA6CA9579474B_12</vt:lpwstr>
  </property>
</Properties>
</file>