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88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pacing w:val="-14"/>
          <w:sz w:val="44"/>
          <w:szCs w:val="44"/>
          <w:highlight w:val="none"/>
        </w:rPr>
      </w:pPr>
      <w:bookmarkStart w:id="2" w:name="_GoBack"/>
      <w:r>
        <w:rPr>
          <w:rFonts w:hint="eastAsia" w:ascii="方正小标宋_GBK" w:hAnsi="方正小标宋_GBK" w:eastAsia="方正小标宋_GBK" w:cs="方正小标宋_GBK"/>
          <w:color w:val="auto"/>
          <w:spacing w:val="-14"/>
          <w:sz w:val="44"/>
          <w:szCs w:val="44"/>
          <w:highlight w:val="none"/>
        </w:rPr>
        <w:t>南山区促进产业高质量发展专项资金——</w:t>
      </w:r>
    </w:p>
    <w:p w14:paraId="18D48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pacing w:val="-14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-14"/>
          <w:sz w:val="44"/>
          <w:szCs w:val="44"/>
          <w:highlight w:val="none"/>
        </w:rPr>
        <w:t>区文化广电旅游体育局分项资金</w:t>
      </w:r>
    </w:p>
    <w:p w14:paraId="7CC8D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-14"/>
          <w:sz w:val="44"/>
          <w:szCs w:val="44"/>
          <w:highlight w:val="none"/>
        </w:rPr>
        <w:t>支持研发电竞游戏及衍生内容</w:t>
      </w:r>
      <w:r>
        <w:rPr>
          <w:rFonts w:hint="eastAsia" w:ascii="方正小标宋_GBK" w:hAnsi="方正小标宋_GBK" w:eastAsia="方正小标宋_GBK" w:cs="方正小标宋_GBK"/>
          <w:color w:val="auto"/>
          <w:spacing w:val="-14"/>
          <w:sz w:val="44"/>
          <w:szCs w:val="44"/>
          <w:highlight w:val="none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操作规程</w:t>
      </w:r>
    </w:p>
    <w:p w14:paraId="2218E1DB">
      <w:pPr>
        <w:adjustRightInd w:val="0"/>
        <w:snapToGrid w:val="0"/>
        <w:spacing w:line="560" w:lineRule="exact"/>
        <w:jc w:val="center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b/>
          <w:bCs/>
          <w:color w:val="auto"/>
          <w:sz w:val="32"/>
          <w:szCs w:val="32"/>
          <w:highlight w:val="none"/>
        </w:rPr>
        <w:t>（</w:t>
      </w:r>
      <w:r>
        <w:rPr>
          <w:rFonts w:eastAsia="黑体"/>
          <w:b/>
          <w:bCs/>
          <w:color w:val="auto"/>
          <w:sz w:val="32"/>
          <w:szCs w:val="32"/>
          <w:highlight w:val="none"/>
        </w:rPr>
        <w:t>20</w:t>
      </w:r>
      <w:r>
        <w:rPr>
          <w:rFonts w:hint="eastAsia" w:eastAsia="黑体"/>
          <w:b/>
          <w:bCs/>
          <w:color w:val="auto"/>
          <w:sz w:val="32"/>
          <w:szCs w:val="32"/>
          <w:highlight w:val="none"/>
        </w:rPr>
        <w:t>2</w:t>
      </w:r>
      <w:r>
        <w:rPr>
          <w:rFonts w:hint="eastAsia" w:eastAsia="黑体"/>
          <w:b/>
          <w:bCs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黑体"/>
          <w:b/>
          <w:bCs/>
          <w:color w:val="auto"/>
          <w:sz w:val="32"/>
          <w:szCs w:val="32"/>
          <w:highlight w:val="none"/>
        </w:rPr>
        <w:t>年）</w:t>
      </w:r>
    </w:p>
    <w:p w14:paraId="5DE1C38B">
      <w:pPr>
        <w:adjustRightInd w:val="0"/>
        <w:snapToGrid w:val="0"/>
        <w:spacing w:line="560" w:lineRule="exact"/>
        <w:rPr>
          <w:rFonts w:hAnsi="仿宋" w:eastAsia="仿宋"/>
          <w:color w:val="auto"/>
          <w:sz w:val="32"/>
          <w:szCs w:val="32"/>
          <w:highlight w:val="none"/>
        </w:rPr>
      </w:pPr>
    </w:p>
    <w:p w14:paraId="6C5566D7"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kern w:val="0"/>
          <w:sz w:val="32"/>
          <w:szCs w:val="32"/>
          <w:highlight w:val="none"/>
        </w:rPr>
        <w:t>为支持研发绿色健康、具有中国文化特色和南山元素的原创电竞游戏产品，鼓励电竞游戏衍生品开发，支持以电竞为主题的数字内容在电影院线、省级以上电视台和重点网络平台上播出，根据《南山区促进现代产业高质量发展专项资金管理办法》和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南山区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促进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电竞产业发展专项扶持措施</w:t>
      </w:r>
      <w:r>
        <w:rPr>
          <w:rFonts w:hint="eastAsia" w:ascii="仿宋_GB2312" w:hAnsi="仿宋" w:eastAsia="仿宋_GB2312"/>
          <w:color w:val="auto"/>
          <w:kern w:val="0"/>
          <w:sz w:val="32"/>
          <w:szCs w:val="32"/>
          <w:highlight w:val="none"/>
        </w:rPr>
        <w:t>》，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制定本操作规程。</w:t>
      </w:r>
    </w:p>
    <w:p w14:paraId="2734889D">
      <w:pPr>
        <w:widowControl/>
        <w:adjustRightInd w:val="0"/>
        <w:snapToGrid w:val="0"/>
        <w:spacing w:line="560" w:lineRule="exact"/>
        <w:ind w:firstLine="537" w:firstLineChars="168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</w:rPr>
        <w:t>一、政策内容</w:t>
      </w:r>
    </w:p>
    <w:p w14:paraId="21A923D6">
      <w:pPr>
        <w:pStyle w:val="17"/>
        <w:tabs>
          <w:tab w:val="left" w:pos="0"/>
        </w:tabs>
        <w:spacing w:line="560" w:lineRule="exact"/>
        <w:ind w:firstLine="640"/>
        <w:rPr>
          <w:rFonts w:ascii="仿宋_GB2312" w:hAnsi="仿宋" w:eastAsia="仿宋_GB2312" w:cs="仿宋"/>
          <w:bCs/>
          <w:color w:val="auto"/>
          <w:sz w:val="32"/>
          <w:highlight w:val="none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（一）电竞游戏产品开发。支持游戏企业开发绿色健康、具有中国文化特色和南山元素的原创电竞游戏产品，按照运营首年度营收的</w:t>
      </w:r>
      <w:r>
        <w:rPr>
          <w:rFonts w:ascii="仿宋_GB2312" w:hAnsi="仿宋" w:eastAsia="仿宋_GB2312" w:cs="仿宋"/>
          <w:bCs/>
          <w:color w:val="auto"/>
          <w:sz w:val="32"/>
          <w:highlight w:val="none"/>
        </w:rPr>
        <w:t>10%给予奖励，每家单位每年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奖励</w:t>
      </w:r>
      <w:r>
        <w:rPr>
          <w:rFonts w:ascii="仿宋_GB2312" w:hAnsi="仿宋" w:eastAsia="仿宋_GB2312" w:cs="仿宋"/>
          <w:bCs/>
          <w:color w:val="auto"/>
          <w:sz w:val="32"/>
          <w:highlight w:val="none"/>
        </w:rPr>
        <w:t>金额最高不超过100万元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。</w:t>
      </w:r>
    </w:p>
    <w:p w14:paraId="4BF50EF8">
      <w:pPr>
        <w:adjustRightInd w:val="0"/>
        <w:snapToGrid w:val="0"/>
        <w:spacing w:line="560" w:lineRule="exact"/>
        <w:ind w:firstLine="640" w:firstLineChars="200"/>
        <w:rPr>
          <w:rFonts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（二）电竞衍生内容开发。支持动漫和影视企业创作以电竞为主题的动漫、电影、电视剧、网络剧等，在</w:t>
      </w:r>
      <w:r>
        <w:rPr>
          <w:rFonts w:hint="eastAsia" w:ascii="仿宋_GB2312" w:hAnsi="宋体" w:eastAsia="仿宋_GB2312" w:cs="仿宋"/>
          <w:color w:val="auto"/>
          <w:sz w:val="32"/>
          <w:szCs w:val="32"/>
          <w:highlight w:val="none"/>
        </w:rPr>
        <w:t>院线、省级以上电视台或重点网络视频平台播出的，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按照播出首年度营收的15%给予奖励，</w:t>
      </w:r>
      <w:r>
        <w:rPr>
          <w:rFonts w:hint="eastAsia" w:ascii="仿宋_GB2312" w:hAnsi="宋体" w:eastAsia="仿宋_GB2312" w:cs="仿宋"/>
          <w:color w:val="auto"/>
          <w:sz w:val="32"/>
          <w:szCs w:val="32"/>
          <w:highlight w:val="none"/>
        </w:rPr>
        <w:t>每家单位每年不超过100万元。</w:t>
      </w:r>
    </w:p>
    <w:p w14:paraId="7F831792"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</w:rPr>
        <w:t>二、资助</w:t>
      </w: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标准</w:t>
      </w:r>
    </w:p>
    <w:p w14:paraId="30F3B8CB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24"/>
          <w:highlight w:val="none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支持游戏企业开发绿色健康、具有中国文化特色和南山元素的原创电竞游戏产品，按照运营首年度营收的</w:t>
      </w:r>
      <w:r>
        <w:rPr>
          <w:rFonts w:ascii="仿宋_GB2312" w:hAnsi="仿宋" w:eastAsia="仿宋_GB2312" w:cs="仿宋"/>
          <w:bCs/>
          <w:color w:val="auto"/>
          <w:sz w:val="32"/>
          <w:highlight w:val="none"/>
        </w:rPr>
        <w:t>10%给予奖励，每家单位每年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奖励</w:t>
      </w:r>
      <w:r>
        <w:rPr>
          <w:rFonts w:ascii="仿宋_GB2312" w:hAnsi="仿宋" w:eastAsia="仿宋_GB2312" w:cs="仿宋"/>
          <w:bCs/>
          <w:color w:val="auto"/>
          <w:sz w:val="32"/>
          <w:highlight w:val="none"/>
        </w:rPr>
        <w:t>金额最高不超过100万元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  <w:lang w:eastAsia="zh-CN"/>
        </w:rPr>
        <w:t>；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支持动漫和影视企业创作以电竞为主题的动漫、电影、电视剧、网络剧等，在</w:t>
      </w:r>
      <w:r>
        <w:rPr>
          <w:rFonts w:hint="eastAsia" w:ascii="仿宋_GB2312" w:hAnsi="仿宋" w:eastAsia="仿宋_GB2312" w:cs="仿宋"/>
          <w:bCs/>
          <w:color w:val="auto"/>
          <w:sz w:val="32"/>
          <w:szCs w:val="24"/>
          <w:highlight w:val="none"/>
        </w:rPr>
        <w:t>院线、省级以上电视台或重点网络视频平台播出的，按照播出首年度营收的15%给予奖励，每家单位每年不超过100万元。</w:t>
      </w:r>
    </w:p>
    <w:p w14:paraId="7A88CCF9">
      <w:pPr>
        <w:spacing w:after="0" w:line="560" w:lineRule="exact"/>
        <w:ind w:firstLine="640" w:firstLineChars="200"/>
        <w:contextualSpacing/>
        <w:jc w:val="both"/>
        <w:outlineLvl w:val="0"/>
        <w:rPr>
          <w:rFonts w:ascii="黑体" w:hAnsi="黑体" w:eastAsia="黑体" w:cs="黑体"/>
          <w:bCs/>
          <w:color w:val="auto"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highlight w:val="none"/>
          <w:lang w:eastAsia="zh-CN" w:bidi="ar-SA"/>
        </w:rPr>
        <w:t>三、设定依据</w:t>
      </w:r>
    </w:p>
    <w:p w14:paraId="61CF62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《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南山区促进产业高质量发展专项资金管理办法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》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；</w:t>
      </w:r>
    </w:p>
    <w:p w14:paraId="56FF2759">
      <w:pPr>
        <w:keepNext w:val="0"/>
        <w:keepLines w:val="0"/>
        <w:widowControl/>
        <w:adjustRightInd w:val="0"/>
        <w:snapToGrid w:val="0"/>
        <w:spacing w:line="560" w:lineRule="exact"/>
        <w:ind w:firstLine="640" w:firstLineChars="200"/>
        <w:rPr>
          <w:rFonts w:hint="default" w:eastAsia="黑体"/>
          <w:color w:val="auto"/>
          <w:lang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（二）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《南山区促进电竞产业发展专项扶持措施》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258A1B70">
      <w:pPr>
        <w:widowControl/>
        <w:adjustRightInd w:val="0"/>
        <w:snapToGrid w:val="0"/>
        <w:spacing w:line="560" w:lineRule="exact"/>
        <w:ind w:firstLine="640" w:firstLineChars="20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hAnsi="黑体" w:eastAsia="黑体"/>
          <w:color w:val="auto"/>
          <w:sz w:val="32"/>
          <w:szCs w:val="32"/>
          <w:highlight w:val="none"/>
        </w:rPr>
        <w:t>、申请</w:t>
      </w: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对象及条件</w:t>
      </w:r>
    </w:p>
    <w:p w14:paraId="058EF4C2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申报主体为在南山辖区依法实际从事经营、具有独立法人资格的企事业单位。</w:t>
      </w:r>
    </w:p>
    <w:p w14:paraId="1BEDA41A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（二）有下列情况之一的，本项资金不予资助：</w:t>
      </w:r>
    </w:p>
    <w:p w14:paraId="6CCD9B44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1.被依法依规纳入严重失信主体名单或失信惩戒措施清单的；</w:t>
      </w:r>
    </w:p>
    <w:p w14:paraId="5B45244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2.提出资助申请后，申报主体项目实施地或数据申报地发生变化，不再符合申报条件的。</w:t>
      </w:r>
    </w:p>
    <w:p w14:paraId="772FFF5B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hAnsi="黑体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hAnsi="黑体" w:eastAsia="黑体"/>
          <w:color w:val="auto"/>
          <w:sz w:val="32"/>
          <w:szCs w:val="32"/>
          <w:highlight w:val="none"/>
        </w:rPr>
        <w:t>申报类别</w:t>
      </w:r>
      <w:r>
        <w:rPr>
          <w:rFonts w:hint="eastAsia" w:hAnsi="黑体" w:eastAsia="黑体"/>
          <w:color w:val="auto"/>
          <w:sz w:val="32"/>
          <w:szCs w:val="32"/>
          <w:highlight w:val="none"/>
          <w:lang w:eastAsia="zh-CN"/>
        </w:rPr>
        <w:t>：</w:t>
      </w:r>
    </w:p>
    <w:p w14:paraId="7466C33A">
      <w:pPr>
        <w:pStyle w:val="17"/>
        <w:tabs>
          <w:tab w:val="left" w:pos="0"/>
        </w:tabs>
        <w:spacing w:line="560" w:lineRule="exact"/>
        <w:ind w:firstLine="64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b/>
          <w:bCs w:val="0"/>
          <w:color w:val="auto"/>
          <w:sz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 w:cs="仿宋"/>
          <w:b/>
          <w:bCs w:val="0"/>
          <w:color w:val="auto"/>
          <w:sz w:val="32"/>
          <w:highlight w:val="none"/>
        </w:rPr>
        <w:t>电竞游戏产品开发。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支持游戏企业开发绿色健康、具有中国文化特色和南山元素的原创电竞游戏产品，按照运营首年度营收的</w:t>
      </w:r>
      <w:r>
        <w:rPr>
          <w:rFonts w:ascii="仿宋_GB2312" w:hAnsi="仿宋" w:eastAsia="仿宋_GB2312" w:cs="仿宋"/>
          <w:bCs/>
          <w:color w:val="auto"/>
          <w:sz w:val="32"/>
          <w:highlight w:val="none"/>
        </w:rPr>
        <w:t>10%给予奖励，每家单位每年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奖励</w:t>
      </w:r>
      <w:r>
        <w:rPr>
          <w:rFonts w:ascii="仿宋_GB2312" w:hAnsi="仿宋" w:eastAsia="仿宋_GB2312" w:cs="仿宋"/>
          <w:bCs/>
          <w:color w:val="auto"/>
          <w:sz w:val="32"/>
          <w:highlight w:val="none"/>
        </w:rPr>
        <w:t>金额最高不超过100万元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。</w:t>
      </w:r>
    </w:p>
    <w:p w14:paraId="1992E605">
      <w:pPr>
        <w:adjustRightInd w:val="0"/>
        <w:snapToGrid w:val="0"/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申报条件及说明：</w:t>
      </w:r>
    </w:p>
    <w:p w14:paraId="24597E4B">
      <w:pPr>
        <w:pStyle w:val="17"/>
        <w:tabs>
          <w:tab w:val="left" w:pos="0"/>
        </w:tabs>
        <w:spacing w:line="560" w:lineRule="exact"/>
        <w:ind w:firstLine="640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1）原创电竞游戏，须符合社会主义核心价值观，且须具有中国文化特色和南山元素，需提供相关证明材料。</w:t>
      </w:r>
    </w:p>
    <w:p w14:paraId="2DF9C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</w:pPr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2）奖励范围为原创</w:t>
      </w:r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  <w:lang w:val="en-US" w:eastAsia="zh-CN"/>
        </w:rPr>
        <w:t>电竞</w:t>
      </w:r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游戏产品上两个年度内首次公开发售或投入运营之后12个月内所产生的全部收入；</w:t>
      </w:r>
    </w:p>
    <w:p w14:paraId="34C41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3）收入为不含税。产生收入时间在上两个年度内</w:t>
      </w:r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（自然年）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，连续不超过12个月。</w:t>
      </w:r>
    </w:p>
    <w:p w14:paraId="04D85CC0">
      <w:pPr>
        <w:pStyle w:val="17"/>
        <w:tabs>
          <w:tab w:val="left" w:pos="0"/>
        </w:tabs>
        <w:spacing w:line="560" w:lineRule="exact"/>
        <w:ind w:firstLine="640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b/>
          <w:bCs w:val="0"/>
          <w:color w:val="auto"/>
          <w:sz w:val="32"/>
          <w:highlight w:val="none"/>
          <w:lang w:val="en-US" w:eastAsia="zh-CN"/>
        </w:rPr>
        <w:t>2.</w:t>
      </w:r>
      <w:r>
        <w:rPr>
          <w:rFonts w:hint="eastAsia" w:ascii="仿宋_GB2312" w:hAnsi="仿宋" w:eastAsia="仿宋_GB2312" w:cs="仿宋"/>
          <w:b/>
          <w:bCs w:val="0"/>
          <w:color w:val="auto"/>
          <w:sz w:val="32"/>
          <w:highlight w:val="none"/>
        </w:rPr>
        <w:t>电竞衍生内容开发。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支持动漫和影视企业创作以电竞为主题的动漫、电影、电视剧、网络剧等，在电影院线、或省级以上电视台、或重点网络视频平台播出的，</w:t>
      </w:r>
      <w:r>
        <w:rPr>
          <w:rFonts w:hint="eastAsia" w:ascii="仿宋_GB2312" w:hAnsi="仿宋_GB2312" w:eastAsia="仿宋_GB2312"/>
          <w:color w:val="auto"/>
          <w:sz w:val="32"/>
          <w:szCs w:val="32"/>
          <w:highlight w:val="none"/>
        </w:rPr>
        <w:t>按照播出首年度总营收的15%给予奖励，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</w:rPr>
        <w:t>每家单位每年奖励金额最高不超过100万元。</w:t>
      </w:r>
    </w:p>
    <w:p w14:paraId="25E7FB1A">
      <w:pPr>
        <w:pStyle w:val="17"/>
        <w:tabs>
          <w:tab w:val="left" w:pos="0"/>
        </w:tabs>
        <w:spacing w:line="560" w:lineRule="exact"/>
        <w:ind w:firstLine="640"/>
        <w:rPr>
          <w:rFonts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申报条件及说明：</w:t>
      </w:r>
    </w:p>
    <w:p w14:paraId="6FB1A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1）电竞衍生内容，必须是以电竞为主题的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动漫、电影、电视剧、网络剧等作品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，且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申报主体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为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电竞衍生内容</w:t>
      </w:r>
      <w:r>
        <w:rPr>
          <w:rFonts w:hint="eastAsia" w:ascii="仿宋_GB2312" w:eastAsia="仿宋_GB2312"/>
          <w:color w:val="auto"/>
          <w:spacing w:val="4"/>
          <w:sz w:val="32"/>
          <w:szCs w:val="32"/>
          <w:highlight w:val="none"/>
          <w:lang w:eastAsia="zh-CN"/>
        </w:rPr>
        <w:t>开发商，</w:t>
      </w:r>
      <w:r>
        <w:rPr>
          <w:rFonts w:hint="eastAsia" w:ascii="仿宋_GB2312" w:eastAsia="仿宋_GB2312"/>
          <w:color w:val="auto"/>
          <w:spacing w:val="4"/>
          <w:sz w:val="32"/>
          <w:szCs w:val="32"/>
          <w:highlight w:val="none"/>
          <w:lang w:val="en-US" w:eastAsia="zh-CN"/>
        </w:rPr>
        <w:t>如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非第一出品方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val="en-US" w:eastAsia="zh-CN"/>
        </w:rPr>
        <w:t>还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需获得前位出品方的放弃申报声明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；</w:t>
      </w:r>
    </w:p>
    <w:p w14:paraId="2CEA8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</w:pPr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2）奖励范围为上</w:t>
      </w:r>
      <w:bookmarkStart w:id="0" w:name="OLE_LINK61"/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两个年度内</w:t>
      </w:r>
      <w:bookmarkEnd w:id="0"/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原创作品在国家级、省级的出版发行单位或电视台、网络播放平台等出版首次发行或播出、演出之后12个月内所产生的全部收入；</w:t>
      </w:r>
    </w:p>
    <w:p w14:paraId="0669A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3）收入为不含税。产生收入时间在上两个年度内</w:t>
      </w:r>
      <w:r>
        <w:rPr>
          <w:rFonts w:hint="eastAsia" w:ascii="仿宋_GB2312" w:hAnsi="黑体" w:eastAsia="仿宋_GB2312"/>
          <w:color w:val="auto"/>
          <w:spacing w:val="4"/>
          <w:sz w:val="32"/>
          <w:highlight w:val="none"/>
        </w:rPr>
        <w:t>（自然年）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，连续不超过12个月。</w:t>
      </w:r>
    </w:p>
    <w:p w14:paraId="1CCB5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 w:cs="黑体"/>
          <w:bCs/>
          <w:color w:val="auto"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highlight w:val="none"/>
          <w:lang w:eastAsia="zh-CN" w:bidi="ar-SA"/>
        </w:rPr>
        <w:t>五、资助方式</w:t>
      </w:r>
    </w:p>
    <w:p w14:paraId="716E4CFE">
      <w:pPr>
        <w:adjustRightInd w:val="0"/>
        <w:snapToGrid w:val="0"/>
        <w:spacing w:line="560" w:lineRule="exact"/>
        <w:ind w:firstLine="640" w:firstLineChars="200"/>
        <w:rPr>
          <w:rFonts w:hint="eastAsia"/>
          <w:color w:val="auto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本资助计划属核准类，实行单位申报、材料审核、社会公示、政府决策的原则，采取无偿资助方式，受资助项目无需验收。</w:t>
      </w:r>
    </w:p>
    <w:p w14:paraId="0F5F7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Ansi="黑体" w:eastAsia="黑体"/>
          <w:color w:val="auto"/>
          <w:sz w:val="32"/>
          <w:szCs w:val="32"/>
          <w:highlight w:val="none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hAnsi="黑体" w:eastAsia="黑体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highlight w:val="none"/>
          <w:lang w:eastAsia="zh-CN" w:bidi="ar-SA"/>
        </w:rPr>
        <w:t>办理流程</w:t>
      </w:r>
    </w:p>
    <w:p w14:paraId="3661A2A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（一）</w:t>
      </w:r>
      <w:r>
        <w:rPr>
          <w:rFonts w:hint="eastAsia"/>
          <w:color w:val="auto"/>
          <w:highlight w:val="none"/>
        </w:rPr>
        <w:t>申报主体登陆“i南山企业服务综合平台”（https://www.inanshan.org.cn/），网上提交项目申报材料；</w:t>
      </w:r>
    </w:p>
    <w:p w14:paraId="2C3458C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（二）</w:t>
      </w:r>
      <w:r>
        <w:rPr>
          <w:rFonts w:hint="eastAsia"/>
          <w:color w:val="auto"/>
          <w:highlight w:val="none"/>
        </w:rPr>
        <w:t xml:space="preserve">区企业发展服务中心受理申请，对申报材料进行形式性审核，区文化广电旅游体育局复审项目申报材料； </w:t>
      </w:r>
    </w:p>
    <w:p w14:paraId="4E7A810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（三）</w:t>
      </w:r>
      <w:r>
        <w:rPr>
          <w:rFonts w:hint="eastAsia"/>
          <w:color w:val="auto"/>
          <w:highlight w:val="none"/>
        </w:rPr>
        <w:t>区文化广电旅游体育局拟定资助计划；</w:t>
      </w:r>
    </w:p>
    <w:p w14:paraId="2AD5058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（四）区统计局对申报主体的数据申报情况进行核查，区企业发展服务中心组织对申报主体的在地经营情况、不良信用记录等情况进行核查；</w:t>
      </w:r>
    </w:p>
    <w:p w14:paraId="6E89BBC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（五）区企业发展服务中心将拟资助项目向社会公示5个工作日，对公示期满，无有效投诉的项目资助计划，</w:t>
      </w:r>
      <w:r>
        <w:rPr>
          <w:rFonts w:hint="eastAsia"/>
          <w:color w:val="auto"/>
          <w:highlight w:val="none"/>
        </w:rPr>
        <w:t>区文化广电旅游体育局</w:t>
      </w:r>
      <w:r>
        <w:rPr>
          <w:rFonts w:hint="eastAsia"/>
          <w:color w:val="auto"/>
          <w:highlight w:val="none"/>
          <w:lang w:val="en-US" w:eastAsia="zh-CN"/>
        </w:rPr>
        <w:t>再提交领导小组会议进行审议；</w:t>
      </w:r>
    </w:p>
    <w:p w14:paraId="5D57B71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（六）</w:t>
      </w:r>
      <w:r>
        <w:rPr>
          <w:rFonts w:hint="eastAsia"/>
          <w:color w:val="auto"/>
          <w:highlight w:val="none"/>
        </w:rPr>
        <w:t>经审议后，由区文化广电旅游体育局直接行文下达资金计划；</w:t>
      </w:r>
    </w:p>
    <w:p w14:paraId="0F5E2ED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color w:val="auto"/>
          <w:highlight w:val="none"/>
        </w:rPr>
      </w:pPr>
      <w:r>
        <w:rPr>
          <w:rFonts w:hint="eastAsia" w:cs="Times New Roman"/>
          <w:color w:val="auto"/>
          <w:kern w:val="2"/>
          <w:sz w:val="32"/>
          <w:szCs w:val="24"/>
          <w:highlight w:val="none"/>
          <w:lang w:val="en-US" w:eastAsia="zh-CN" w:bidi="ar-SA"/>
        </w:rPr>
        <w:t>（七）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24"/>
          <w:highlight w:val="none"/>
          <w:lang w:val="en-US" w:eastAsia="zh-CN" w:bidi="ar-SA"/>
        </w:rPr>
        <w:t>区财政部门及时安排资金，区文化广电旅游体育局办理资金拨付手续。</w:t>
      </w:r>
    </w:p>
    <w:p w14:paraId="4D3ABE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hAnsi="黑体" w:eastAsia="黑体"/>
          <w:color w:val="auto"/>
          <w:sz w:val="32"/>
          <w:szCs w:val="32"/>
          <w:highlight w:val="none"/>
        </w:rPr>
        <w:t>、所需材料</w:t>
      </w:r>
    </w:p>
    <w:p w14:paraId="23D928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（一）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登录“i南山企业服务综合平台”（https://www.inanshan.org.cn/）在线填写《南山区促进产业高质量发展专项资金——区文化广电旅游体育局分项资金支持建设电竞场馆项目申请书》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法定代表人签字并加盖单位公章后，原件彩色扫描成PDF文件上传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）；</w:t>
      </w:r>
    </w:p>
    <w:p w14:paraId="3127D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（二）统一社会信用代码证书（事业单位法人证书或社会组织登记证书）（原件彩色扫描成PDF文件上传）；</w:t>
      </w:r>
    </w:p>
    <w:p w14:paraId="29FEE7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（三）法定代表人身份证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[原件（或复印件加盖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公章）彩色扫描上传]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7A7C9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（四）申报单位由税务部门开具的单位上年度纳税证明（</w:t>
      </w:r>
      <w:bookmarkStart w:id="1" w:name="_Hlk98161019"/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上传税务系统下载带有税务机关红色印章的电子版，</w:t>
      </w:r>
      <w:bookmarkEnd w:id="1"/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事业单位除外)；</w:t>
      </w:r>
    </w:p>
    <w:p w14:paraId="79B5BA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首年度的实际收入相关证明材料、收入发票、系统截图、银行往来凭证等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（原件彩色扫描成PDF文件上传）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</w:t>
      </w:r>
    </w:p>
    <w:p w14:paraId="52C6AC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本作品知识产权证明材料（版权、著作权登记证书）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</w:t>
      </w:r>
    </w:p>
    <w:p w14:paraId="6BD6E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申请奖励项目收入到账明细表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val="en-US" w:eastAsia="zh-CN"/>
        </w:rPr>
        <w:t>Excel格式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）；</w:t>
      </w:r>
    </w:p>
    <w:p w14:paraId="79163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作品样品（包括但不限于截图、海报）</w:t>
      </w:r>
    </w:p>
    <w:p w14:paraId="4B82E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除以上资料，研发电竞游戏及衍生内容项目按照其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所属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类别需提交以下资料：</w:t>
      </w:r>
    </w:p>
    <w:p w14:paraId="4F10F35E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申请类别为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电竞游戏产品开发，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  <w:lang w:val="en-US" w:eastAsia="zh-CN"/>
        </w:rPr>
        <w:t>还须提供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：运营该作品的政府相关部门批文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运营该作品的合同（协议）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；遵循社会主义核心价值观的承诺函；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具有中国文化特色和南山元素的证明材料（包括但不限于设计灵感、设计小样、游戏截图等体现中国文化特色和南山元素的证明材料，文字和图片形式均可）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作品属于电竞游戏产品的证明材料（包括但不限于举办电竞比赛的证明材料）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（原件彩色扫描成PDF文件上传）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。</w:t>
      </w:r>
    </w:p>
    <w:p w14:paraId="4A7D8E0A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申请类别为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</w:rPr>
        <w:t>电竞衍生内容开发，</w:t>
      </w:r>
      <w:r>
        <w:rPr>
          <w:rFonts w:hint="eastAsia" w:ascii="仿宋_GB2312" w:hAnsi="仿宋" w:eastAsia="仿宋_GB2312" w:cs="仿宋"/>
          <w:bCs/>
          <w:color w:val="auto"/>
          <w:sz w:val="32"/>
          <w:highlight w:val="none"/>
          <w:lang w:val="en-US" w:eastAsia="zh-CN"/>
        </w:rPr>
        <w:t>还须提供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：出版/发行/播出该作品的政府相关部门批文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出版/发行/播出该作品的合同（协议）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作品以电竞为主题的证明材料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（原件彩色扫描成PDF文件上传）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。</w:t>
      </w:r>
    </w:p>
    <w:p w14:paraId="6D8D79C6">
      <w:pPr>
        <w:ind w:firstLine="640" w:firstLineChars="200"/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）审核部门认为需要提供的其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他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材料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原件彩色扫描成PDF文件上传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7DBBD908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Times New Roman" w:hAnsi="黑体" w:eastAsia="黑体" w:cs="Times New Roman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黑体" w:eastAsia="黑体" w:cs="Times New Roman"/>
          <w:color w:val="auto"/>
          <w:kern w:val="2"/>
          <w:sz w:val="32"/>
          <w:szCs w:val="32"/>
          <w:highlight w:val="none"/>
          <w:lang w:val="en-US" w:eastAsia="zh-CN"/>
        </w:rPr>
        <w:t>八、申报时间和办理要求</w:t>
      </w:r>
    </w:p>
    <w:p w14:paraId="0AE0042A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每年安排1-2次集中受理单位申请，具体受理时间以发布的申报通知为准。</w:t>
      </w:r>
    </w:p>
    <w:p w14:paraId="371F7087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申报主体需按照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highlight w:val="none"/>
        </w:rPr>
        <w:t>区文化广电旅游体育局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相关通知要求办理资金拨付手续。</w:t>
      </w:r>
    </w:p>
    <w:p w14:paraId="66AE566B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</w:pPr>
      <w:r>
        <w:rPr>
          <w:rFonts w:hint="eastAsia" w:ascii="Times New Roman" w:hAnsi="黑体" w:eastAsia="黑体" w:cs="Times New Roman"/>
          <w:color w:val="auto"/>
          <w:kern w:val="2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Times New Roman" w:hAnsi="黑体" w:eastAsia="黑体" w:cs="Times New Roman"/>
          <w:color w:val="auto"/>
          <w:kern w:val="2"/>
          <w:sz w:val="32"/>
          <w:szCs w:val="32"/>
          <w:highlight w:val="none"/>
        </w:rPr>
        <w:t>、附则</w:t>
      </w:r>
    </w:p>
    <w:p w14:paraId="27B819C3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highlight w:val="none"/>
        </w:rPr>
        <w:t>本规程由南山区文化广电旅游体育局负责解释，自发布之日起施行。</w:t>
      </w:r>
    </w:p>
    <w:p w14:paraId="6E35518A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480" w:firstLineChars="200"/>
        <w:jc w:val="both"/>
        <w:rPr>
          <w:rFonts w:ascii="仿宋_GB2312" w:eastAsia="仿宋_GB2312"/>
          <w:color w:val="auto"/>
          <w:highlight w:val="none"/>
        </w:rPr>
      </w:pPr>
    </w:p>
    <w:bookmarkEnd w:id="2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7793761"/>
      <w:docPartObj>
        <w:docPartGallery w:val="autotext"/>
      </w:docPartObj>
    </w:sdtPr>
    <w:sdtContent>
      <w:p w14:paraId="2C955EFE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B693692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C7BC5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26FB0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F6501">
    <w:pPr>
      <w:pStyle w:val="8"/>
      <w:pBdr>
        <w:bottom w:val="none" w:color="auto" w:sz="0" w:space="1"/>
      </w:pBdr>
      <w:tabs>
        <w:tab w:val="left" w:pos="7208"/>
        <w:tab w:val="clear" w:pos="4153"/>
      </w:tabs>
      <w:jc w:val="both"/>
      <w:rPr>
        <w:rFonts w:hint="eastAsia" w:eastAsia="宋体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F6A4F"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CE0CF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iOTU0NTc3ZTM1ZTYyZGY3YzYzMmZkODc4MjgyZWMifQ=="/>
  </w:docVars>
  <w:rsids>
    <w:rsidRoot w:val="1E9B000F"/>
    <w:rsid w:val="00024D3C"/>
    <w:rsid w:val="00031E90"/>
    <w:rsid w:val="000B0273"/>
    <w:rsid w:val="00115BCC"/>
    <w:rsid w:val="001421E0"/>
    <w:rsid w:val="00143A36"/>
    <w:rsid w:val="0016393F"/>
    <w:rsid w:val="001B0C22"/>
    <w:rsid w:val="002133DE"/>
    <w:rsid w:val="0026218E"/>
    <w:rsid w:val="0040362C"/>
    <w:rsid w:val="004329C4"/>
    <w:rsid w:val="00456C09"/>
    <w:rsid w:val="00475747"/>
    <w:rsid w:val="00484F4E"/>
    <w:rsid w:val="00581EF9"/>
    <w:rsid w:val="005C1AD0"/>
    <w:rsid w:val="006255F8"/>
    <w:rsid w:val="00651611"/>
    <w:rsid w:val="006B22B4"/>
    <w:rsid w:val="00765457"/>
    <w:rsid w:val="00785D52"/>
    <w:rsid w:val="007A42C1"/>
    <w:rsid w:val="007E59AE"/>
    <w:rsid w:val="008058F8"/>
    <w:rsid w:val="00896F3C"/>
    <w:rsid w:val="008A06B8"/>
    <w:rsid w:val="008B0EB5"/>
    <w:rsid w:val="008C75B3"/>
    <w:rsid w:val="008D3C58"/>
    <w:rsid w:val="00920AE3"/>
    <w:rsid w:val="00933C65"/>
    <w:rsid w:val="009B0D2F"/>
    <w:rsid w:val="009B273E"/>
    <w:rsid w:val="009E2DAA"/>
    <w:rsid w:val="009F4297"/>
    <w:rsid w:val="00A24237"/>
    <w:rsid w:val="00A82793"/>
    <w:rsid w:val="00AD6040"/>
    <w:rsid w:val="00AE260C"/>
    <w:rsid w:val="00B101C1"/>
    <w:rsid w:val="00B17BF3"/>
    <w:rsid w:val="00B803E6"/>
    <w:rsid w:val="00BA51AB"/>
    <w:rsid w:val="00BA5F30"/>
    <w:rsid w:val="00BC034D"/>
    <w:rsid w:val="00BD6E4F"/>
    <w:rsid w:val="00CA4770"/>
    <w:rsid w:val="00CD5E3B"/>
    <w:rsid w:val="00CE00CC"/>
    <w:rsid w:val="00CE1FF7"/>
    <w:rsid w:val="00CE6F5B"/>
    <w:rsid w:val="00D818FD"/>
    <w:rsid w:val="00DF10BB"/>
    <w:rsid w:val="00E040F9"/>
    <w:rsid w:val="00EA5699"/>
    <w:rsid w:val="00F2135A"/>
    <w:rsid w:val="00F2602B"/>
    <w:rsid w:val="00F3450B"/>
    <w:rsid w:val="00F85813"/>
    <w:rsid w:val="00F95C5E"/>
    <w:rsid w:val="00FB6C39"/>
    <w:rsid w:val="01904948"/>
    <w:rsid w:val="0381433E"/>
    <w:rsid w:val="04163248"/>
    <w:rsid w:val="04E15802"/>
    <w:rsid w:val="06DD2A01"/>
    <w:rsid w:val="07B923BD"/>
    <w:rsid w:val="08E00673"/>
    <w:rsid w:val="095C7285"/>
    <w:rsid w:val="0D246BD4"/>
    <w:rsid w:val="0D672AD6"/>
    <w:rsid w:val="0F7E4DAA"/>
    <w:rsid w:val="104D08F5"/>
    <w:rsid w:val="119C505E"/>
    <w:rsid w:val="11E80AD6"/>
    <w:rsid w:val="12FB6FE8"/>
    <w:rsid w:val="168B0344"/>
    <w:rsid w:val="17897EC4"/>
    <w:rsid w:val="1B7166E0"/>
    <w:rsid w:val="1E395720"/>
    <w:rsid w:val="1E9B000F"/>
    <w:rsid w:val="1FAD4DE8"/>
    <w:rsid w:val="20531BD9"/>
    <w:rsid w:val="28180E9D"/>
    <w:rsid w:val="2A0E4549"/>
    <w:rsid w:val="2DFA4E12"/>
    <w:rsid w:val="2EF24C5F"/>
    <w:rsid w:val="365F39E8"/>
    <w:rsid w:val="36C24008"/>
    <w:rsid w:val="37B104F6"/>
    <w:rsid w:val="3E2F3F8D"/>
    <w:rsid w:val="3F0F2990"/>
    <w:rsid w:val="3F480F09"/>
    <w:rsid w:val="42D91274"/>
    <w:rsid w:val="431D4C7D"/>
    <w:rsid w:val="432C2634"/>
    <w:rsid w:val="456E3271"/>
    <w:rsid w:val="47300CCE"/>
    <w:rsid w:val="4A6807A1"/>
    <w:rsid w:val="4BB73CA2"/>
    <w:rsid w:val="4C6D1422"/>
    <w:rsid w:val="4E92280E"/>
    <w:rsid w:val="4F4A1802"/>
    <w:rsid w:val="517F2225"/>
    <w:rsid w:val="51E41294"/>
    <w:rsid w:val="53420220"/>
    <w:rsid w:val="534B16FE"/>
    <w:rsid w:val="53794425"/>
    <w:rsid w:val="5619233F"/>
    <w:rsid w:val="591D6ADB"/>
    <w:rsid w:val="5D683F19"/>
    <w:rsid w:val="5D8D13ED"/>
    <w:rsid w:val="62C44CF3"/>
    <w:rsid w:val="64561B9C"/>
    <w:rsid w:val="69191FBD"/>
    <w:rsid w:val="6B160A7F"/>
    <w:rsid w:val="6D1546D2"/>
    <w:rsid w:val="6D3414FD"/>
    <w:rsid w:val="6FFFC447"/>
    <w:rsid w:val="719549B3"/>
    <w:rsid w:val="774C1ED8"/>
    <w:rsid w:val="77EF7F20"/>
    <w:rsid w:val="7B1E74DC"/>
    <w:rsid w:val="7D9C7CC2"/>
    <w:rsid w:val="7F19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eastAsia="仿宋_GB2312"/>
      <w:sz w:val="32"/>
      <w:szCs w:val="24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annotation text"/>
    <w:basedOn w:val="1"/>
    <w:link w:val="18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7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19"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character" w:customStyle="1" w:styleId="15">
    <w:name w:val="font51"/>
    <w:basedOn w:val="1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页眉 字符"/>
    <w:basedOn w:val="13"/>
    <w:link w:val="8"/>
    <w:qFormat/>
    <w:uiPriority w:val="0"/>
    <w:rPr>
      <w:kern w:val="2"/>
      <w:sz w:val="18"/>
      <w:szCs w:val="18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  <w:style w:type="character" w:customStyle="1" w:styleId="18">
    <w:name w:val="批注文字 字符"/>
    <w:basedOn w:val="13"/>
    <w:link w:val="5"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0">
    <w:name w:val="页脚 字符"/>
    <w:basedOn w:val="13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2443</Words>
  <Characters>2552</Characters>
  <Lines>17</Lines>
  <Paragraphs>4</Paragraphs>
  <TotalTime>6</TotalTime>
  <ScaleCrop>false</ScaleCrop>
  <LinksUpToDate>false</LinksUpToDate>
  <CharactersWithSpaces>2553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2022-07-22T18:12:00Z</dcterms:created>
  <dc:creator>王榕</dc:creator>
  <cp:lastModifiedBy>hjx</cp:lastModifiedBy>
  <cp:lastPrinted>2021-06-04T11:18:00Z</cp:lastPrinted>
  <dcterms:modified xsi:type="dcterms:W3CDTF">2025-07-10T12:10:15Z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BBF0DE717AF4425FA564CED907486129</vt:lpwstr>
  </property>
  <property fmtid="{D5CDD505-2E9C-101B-9397-08002B2CF9AE}" pid="4" name="KSOTemplateDocerSaveRecord">
    <vt:lpwstr>eyJoZGlkIjoiNzliOTU0NTc3ZTM1ZTYyZGY3YzYzMmZkODc4MjgyZWMiLCJ1c2VySWQiOiIzMjk0MTYzNTUifQ==</vt:lpwstr>
  </property>
</Properties>
</file>