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4E6484">
      <w:pPr>
        <w:adjustRightInd w:val="0"/>
        <w:snapToGrid w:val="0"/>
        <w:spacing w:line="560" w:lineRule="exact"/>
        <w:jc w:val="center"/>
        <w:rPr>
          <w:rFonts w:hint="eastAsia" w:ascii="方正小标宋_GBK" w:hAnsi="方正小标宋_GBK" w:eastAsia="方正小标宋_GBK" w:cs="方正小标宋_GBK"/>
          <w:color w:val="000000" w:themeColor="text1"/>
          <w:spacing w:val="-14"/>
          <w:sz w:val="44"/>
          <w:szCs w:val="44"/>
          <w:highlight w:val="none"/>
          <w14:textFill>
            <w14:solidFill>
              <w14:schemeClr w14:val="tx1"/>
            </w14:solidFill>
          </w14:textFill>
        </w:rPr>
      </w:pPr>
      <w:r>
        <w:rPr>
          <w:rFonts w:hint="eastAsia" w:ascii="方正小标宋_GBK" w:hAnsi="方正小标宋_GBK" w:eastAsia="方正小标宋_GBK" w:cs="方正小标宋_GBK"/>
          <w:color w:val="000000" w:themeColor="text1"/>
          <w:spacing w:val="-14"/>
          <w:sz w:val="44"/>
          <w:szCs w:val="44"/>
          <w:highlight w:val="none"/>
          <w14:textFill>
            <w14:solidFill>
              <w14:schemeClr w14:val="tx1"/>
            </w14:solidFill>
          </w14:textFill>
        </w:rPr>
        <w:t>南山区促进产业高质量发展专项资金——</w:t>
      </w:r>
    </w:p>
    <w:p w14:paraId="7D5B295F">
      <w:pPr>
        <w:adjustRightInd w:val="0"/>
        <w:snapToGrid w:val="0"/>
        <w:spacing w:line="560" w:lineRule="exact"/>
        <w:jc w:val="center"/>
        <w:rPr>
          <w:rFonts w:hint="eastAsia" w:ascii="方正小标宋_GBK" w:hAnsi="方正小标宋_GBK" w:eastAsia="方正小标宋_GBK" w:cs="方正小标宋_GBK"/>
          <w:color w:val="000000" w:themeColor="text1"/>
          <w:spacing w:val="-14"/>
          <w:sz w:val="44"/>
          <w:szCs w:val="44"/>
          <w:highlight w:val="none"/>
          <w14:textFill>
            <w14:solidFill>
              <w14:schemeClr w14:val="tx1"/>
            </w14:solidFill>
          </w14:textFill>
        </w:rPr>
      </w:pPr>
      <w:r>
        <w:rPr>
          <w:rFonts w:hint="eastAsia" w:ascii="方正小标宋_GBK" w:hAnsi="方正小标宋_GBK" w:eastAsia="方正小标宋_GBK" w:cs="方正小标宋_GBK"/>
          <w:color w:val="000000" w:themeColor="text1"/>
          <w:spacing w:val="-14"/>
          <w:sz w:val="44"/>
          <w:szCs w:val="44"/>
          <w:highlight w:val="none"/>
          <w14:textFill>
            <w14:solidFill>
              <w14:schemeClr w14:val="tx1"/>
            </w14:solidFill>
          </w14:textFill>
        </w:rPr>
        <w:t>区文化广电旅游体育局分项资金</w:t>
      </w:r>
    </w:p>
    <w:p w14:paraId="716316B1">
      <w:pPr>
        <w:adjustRightInd w:val="0"/>
        <w:snapToGrid w:val="0"/>
        <w:spacing w:line="560" w:lineRule="exact"/>
        <w:jc w:val="center"/>
        <w:rPr>
          <w:rFonts w:hint="eastAsia" w:ascii="方正小标宋_GBK" w:hAnsi="方正小标宋_GBK" w:eastAsia="方正小标宋_GBK" w:cs="方正小标宋_GBK"/>
          <w:color w:val="000000" w:themeColor="text1"/>
          <w:spacing w:val="-14"/>
          <w:sz w:val="44"/>
          <w:szCs w:val="44"/>
          <w:highlight w:val="none"/>
          <w14:textFill>
            <w14:solidFill>
              <w14:schemeClr w14:val="tx1"/>
            </w14:solidFill>
          </w14:textFill>
        </w:rPr>
      </w:pPr>
      <w:r>
        <w:rPr>
          <w:rFonts w:hint="eastAsia" w:ascii="方正小标宋_GBK" w:hAnsi="方正小标宋_GBK" w:eastAsia="方正小标宋_GBK" w:cs="方正小标宋_GBK"/>
          <w:color w:val="000000" w:themeColor="text1"/>
          <w:spacing w:val="-14"/>
          <w:sz w:val="44"/>
          <w:szCs w:val="44"/>
          <w:highlight w:val="none"/>
          <w14:textFill>
            <w14:solidFill>
              <w14:schemeClr w14:val="tx1"/>
            </w14:solidFill>
          </w14:textFill>
        </w:rPr>
        <w:t>支持运营电竞俱乐部</w:t>
      </w:r>
      <w:r>
        <w:rPr>
          <w:rFonts w:hint="eastAsia" w:ascii="方正小标宋_GBK" w:hAnsi="方正小标宋_GBK" w:eastAsia="方正小标宋_GBK" w:cs="方正小标宋_GBK"/>
          <w:color w:val="000000" w:themeColor="text1"/>
          <w:spacing w:val="-14"/>
          <w:sz w:val="44"/>
          <w:szCs w:val="44"/>
          <w:highlight w:val="none"/>
          <w:lang w:val="en-US" w:eastAsia="zh-CN"/>
          <w14:textFill>
            <w14:solidFill>
              <w14:schemeClr w14:val="tx1"/>
            </w14:solidFill>
          </w14:textFill>
        </w:rPr>
        <w:t>项目</w:t>
      </w:r>
      <w:r>
        <w:rPr>
          <w:rFonts w:hint="eastAsia" w:ascii="方正小标宋_GBK" w:hAnsi="方正小标宋_GBK" w:eastAsia="方正小标宋_GBK" w:cs="方正小标宋_GBK"/>
          <w:color w:val="000000" w:themeColor="text1"/>
          <w:spacing w:val="-14"/>
          <w:sz w:val="44"/>
          <w:szCs w:val="44"/>
          <w:highlight w:val="none"/>
          <w14:textFill>
            <w14:solidFill>
              <w14:schemeClr w14:val="tx1"/>
            </w14:solidFill>
          </w14:textFill>
        </w:rPr>
        <w:t>操作规程</w:t>
      </w:r>
    </w:p>
    <w:p w14:paraId="57EB331F">
      <w:pPr>
        <w:adjustRightInd w:val="0"/>
        <w:snapToGrid w:val="0"/>
        <w:spacing w:line="560" w:lineRule="exact"/>
        <w:jc w:val="center"/>
        <w:rPr>
          <w:rFonts w:ascii="Times New Roman" w:hAnsi="Times New Roman" w:eastAsia="黑体" w:cs="Times New Roman"/>
          <w:b/>
          <w:bCs/>
          <w:color w:val="000000" w:themeColor="text1"/>
          <w:sz w:val="32"/>
          <w:szCs w:val="32"/>
          <w:highlight w:val="none"/>
          <w14:textFill>
            <w14:solidFill>
              <w14:schemeClr w14:val="tx1"/>
            </w14:solidFill>
          </w14:textFill>
        </w:rPr>
      </w:pPr>
      <w:r>
        <w:rPr>
          <w:rFonts w:hint="default" w:ascii="Times New Roman" w:hAnsi="Times New Roman" w:eastAsia="黑体" w:cs="Times New Roman"/>
          <w:b/>
          <w:bCs/>
          <w:color w:val="000000" w:themeColor="text1"/>
          <w:sz w:val="32"/>
          <w:szCs w:val="32"/>
          <w:highlight w:val="none"/>
          <w14:textFill>
            <w14:solidFill>
              <w14:schemeClr w14:val="tx1"/>
            </w14:solidFill>
          </w14:textFill>
        </w:rPr>
        <w:t>（</w:t>
      </w:r>
      <w:r>
        <w:rPr>
          <w:rFonts w:ascii="Times New Roman" w:hAnsi="Times New Roman" w:eastAsia="黑体" w:cs="Times New Roman"/>
          <w:b/>
          <w:bCs/>
          <w:color w:val="000000" w:themeColor="text1"/>
          <w:sz w:val="32"/>
          <w:szCs w:val="32"/>
          <w:highlight w:val="none"/>
          <w14:textFill>
            <w14:solidFill>
              <w14:schemeClr w14:val="tx1"/>
            </w14:solidFill>
          </w14:textFill>
        </w:rPr>
        <w:t>20</w:t>
      </w:r>
      <w:r>
        <w:rPr>
          <w:rFonts w:hint="default" w:ascii="Times New Roman" w:hAnsi="Times New Roman" w:eastAsia="黑体" w:cs="Times New Roman"/>
          <w:b/>
          <w:bCs/>
          <w:color w:val="000000" w:themeColor="text1"/>
          <w:sz w:val="32"/>
          <w:szCs w:val="32"/>
          <w:highlight w:val="none"/>
          <w14:textFill>
            <w14:solidFill>
              <w14:schemeClr w14:val="tx1"/>
            </w14:solidFill>
          </w14:textFill>
        </w:rPr>
        <w:t>2</w:t>
      </w:r>
      <w:r>
        <w:rPr>
          <w:rFonts w:hint="eastAsia" w:eastAsia="黑体" w:cs="Times New Roman"/>
          <w:b/>
          <w:bCs/>
          <w:color w:val="000000" w:themeColor="text1"/>
          <w:sz w:val="32"/>
          <w:szCs w:val="32"/>
          <w:highlight w:val="none"/>
          <w:lang w:val="en-US" w:eastAsia="zh-CN"/>
          <w14:textFill>
            <w14:solidFill>
              <w14:schemeClr w14:val="tx1"/>
            </w14:solidFill>
          </w14:textFill>
        </w:rPr>
        <w:t>5</w:t>
      </w:r>
      <w:r>
        <w:rPr>
          <w:rFonts w:hint="default" w:ascii="Times New Roman" w:hAnsi="Times New Roman" w:eastAsia="黑体" w:cs="Times New Roman"/>
          <w:b/>
          <w:bCs/>
          <w:color w:val="000000" w:themeColor="text1"/>
          <w:sz w:val="32"/>
          <w:szCs w:val="32"/>
          <w:highlight w:val="none"/>
          <w14:textFill>
            <w14:solidFill>
              <w14:schemeClr w14:val="tx1"/>
            </w14:solidFill>
          </w14:textFill>
        </w:rPr>
        <w:t>年）</w:t>
      </w:r>
    </w:p>
    <w:p w14:paraId="30D4DE60">
      <w:pPr>
        <w:adjustRightInd w:val="0"/>
        <w:snapToGrid w:val="0"/>
        <w:spacing w:line="560" w:lineRule="exact"/>
        <w:rPr>
          <w:rFonts w:hAnsi="仿宋" w:eastAsia="仿宋"/>
          <w:color w:val="000000" w:themeColor="text1"/>
          <w:sz w:val="32"/>
          <w:szCs w:val="32"/>
          <w:highlight w:val="none"/>
          <w14:textFill>
            <w14:solidFill>
              <w14:schemeClr w14:val="tx1"/>
            </w14:solidFill>
          </w14:textFill>
        </w:rPr>
      </w:pPr>
    </w:p>
    <w:p w14:paraId="764AC2BA">
      <w:pPr>
        <w:widowControl/>
        <w:adjustRightInd w:val="0"/>
        <w:snapToGrid w:val="0"/>
        <w:spacing w:line="560" w:lineRule="exact"/>
        <w:ind w:firstLine="537" w:firstLineChars="168"/>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为鼓励国内外顶级电竞俱乐部落户，支持电竞俱乐部运营，鼓励参加国内外重大电竞赛事，增强南山区电竞产业的吸引力和竞争力，</w:t>
      </w:r>
      <w:r>
        <w:rPr>
          <w:rFonts w:hint="eastAsia" w:ascii="仿宋_GB2312" w:hAnsi="仿宋" w:eastAsia="仿宋_GB2312"/>
          <w:color w:val="000000" w:themeColor="text1"/>
          <w:kern w:val="2"/>
          <w:sz w:val="32"/>
          <w:szCs w:val="32"/>
          <w:highlight w:val="none"/>
          <w14:textFill>
            <w14:solidFill>
              <w14:schemeClr w14:val="tx1"/>
            </w14:solidFill>
          </w14:textFill>
        </w:rPr>
        <w:t>根据《南山区促进产业高质量发展专项资金管理办法》和《</w:t>
      </w:r>
      <w:r>
        <w:rPr>
          <w:rFonts w:hint="eastAsia" w:ascii="仿宋_GB2312" w:hAnsi="仿宋" w:eastAsia="仿宋_GB2312"/>
          <w:color w:val="000000" w:themeColor="text1"/>
          <w:sz w:val="32"/>
          <w:szCs w:val="32"/>
          <w:highlight w:val="none"/>
          <w14:textFill>
            <w14:solidFill>
              <w14:schemeClr w14:val="tx1"/>
            </w14:solidFill>
          </w14:textFill>
        </w:rPr>
        <w:t>南山区</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促进</w:t>
      </w:r>
      <w:r>
        <w:rPr>
          <w:rFonts w:hint="eastAsia" w:ascii="仿宋_GB2312" w:hAnsi="仿宋" w:eastAsia="仿宋_GB2312"/>
          <w:color w:val="000000" w:themeColor="text1"/>
          <w:sz w:val="32"/>
          <w:szCs w:val="32"/>
          <w:highlight w:val="none"/>
          <w14:textFill>
            <w14:solidFill>
              <w14:schemeClr w14:val="tx1"/>
            </w14:solidFill>
          </w14:textFill>
        </w:rPr>
        <w:t>电竞产业发展专项扶持措施</w:t>
      </w:r>
      <w:r>
        <w:rPr>
          <w:rFonts w:hint="eastAsia" w:ascii="仿宋_GB2312" w:hAnsi="仿宋" w:eastAsia="仿宋_GB2312"/>
          <w:color w:val="000000" w:themeColor="text1"/>
          <w:kern w:val="2"/>
          <w:sz w:val="32"/>
          <w:szCs w:val="32"/>
          <w:highlight w:val="none"/>
          <w14:textFill>
            <w14:solidFill>
              <w14:schemeClr w14:val="tx1"/>
            </w14:solidFill>
          </w14:textFill>
        </w:rPr>
        <w:t>》</w:t>
      </w:r>
      <w:r>
        <w:rPr>
          <w:rFonts w:hint="eastAsia" w:ascii="仿宋_GB2312" w:hAnsi="仿宋" w:eastAsia="仿宋_GB2312"/>
          <w:color w:val="000000" w:themeColor="text1"/>
          <w:kern w:val="0"/>
          <w:sz w:val="32"/>
          <w:szCs w:val="32"/>
          <w:highlight w:val="none"/>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制定本操作规程。</w:t>
      </w:r>
    </w:p>
    <w:p w14:paraId="11318D1E">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一、政策内容</w:t>
      </w:r>
    </w:p>
    <w:p w14:paraId="6A9C0A23">
      <w:pPr>
        <w:widowControl/>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（一）电竞俱乐部落户。支持国际性/全国顶级职业杯赛/联赛联盟俱乐部的主场落户，给予最高不超过500万元的一次性补贴。</w:t>
      </w:r>
    </w:p>
    <w:p w14:paraId="75E6C0C1">
      <w:pPr>
        <w:widowControl/>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（二）电竞俱乐部运营。</w:t>
      </w:r>
      <w:r>
        <w:rPr>
          <w:rFonts w:hint="eastAsia" w:ascii="仿宋_GB2312" w:hAnsi="仿宋_GB2312" w:eastAsia="仿宋_GB2312" w:cs="仿宋_GB2312"/>
          <w:color w:val="000000" w:themeColor="text1"/>
          <w:sz w:val="32"/>
          <w:szCs w:val="32"/>
          <w:highlight w:val="none"/>
          <w14:textFill>
            <w14:solidFill>
              <w14:schemeClr w14:val="tx1"/>
            </w14:solidFill>
          </w14:textFill>
        </w:rPr>
        <w:t>对落户南山的国内外顶级电竞俱乐部，按照实际培训和运动员身心康复费、商业保险费给予50%的补贴，每个俱乐部每年不超过50万元。</w:t>
      </w:r>
    </w:p>
    <w:p w14:paraId="0ED84EEB">
      <w:pPr>
        <w:widowControl/>
        <w:adjustRightInd w:val="0"/>
        <w:snapToGrid w:val="0"/>
        <w:spacing w:line="560" w:lineRule="exact"/>
        <w:ind w:firstLine="537" w:firstLineChars="168"/>
        <w:rPr>
          <w:rFonts w:hint="eastAsia"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三）电竞俱乐部参赛获奖。对电竞俱乐部或俱乐部成员参加国际性/全国顶级职业杯赛/联赛，或政府举办的高水平、综合性运动会电竞赛事，按所获比赛名次给予俱乐部不超过100万元奖励，每个俱乐部每年不超过200万元。</w:t>
      </w:r>
    </w:p>
    <w:p w14:paraId="2FEB4C1C">
      <w:pPr>
        <w:widowControl/>
        <w:adjustRightInd w:val="0"/>
        <w:snapToGrid w:val="0"/>
        <w:spacing w:line="560" w:lineRule="exact"/>
        <w:ind w:firstLine="537" w:firstLineChars="168"/>
        <w:rPr>
          <w:rFonts w:hint="eastAsia" w:eastAsia="黑体"/>
          <w:color w:val="000000" w:themeColor="text1"/>
          <w:sz w:val="32"/>
          <w:szCs w:val="32"/>
          <w:highlight w:val="none"/>
          <w:lang w:eastAsia="zh-CN"/>
          <w14:textFill>
            <w14:solidFill>
              <w14:schemeClr w14:val="tx1"/>
            </w14:solidFill>
          </w14:textFill>
        </w:rPr>
      </w:pPr>
      <w:r>
        <w:rPr>
          <w:rFonts w:hint="eastAsia" w:hAnsi="黑体" w:eastAsia="黑体"/>
          <w:color w:val="000000" w:themeColor="text1"/>
          <w:sz w:val="32"/>
          <w:szCs w:val="32"/>
          <w:highlight w:val="none"/>
          <w:lang w:val="en-US" w:eastAsia="zh-CN"/>
          <w14:textFill>
            <w14:solidFill>
              <w14:schemeClr w14:val="tx1"/>
            </w14:solidFill>
          </w14:textFill>
        </w:rPr>
        <w:t>二</w:t>
      </w:r>
      <w:r>
        <w:rPr>
          <w:rFonts w:hint="eastAsia" w:hAnsi="黑体" w:eastAsia="黑体"/>
          <w:color w:val="000000" w:themeColor="text1"/>
          <w:sz w:val="32"/>
          <w:szCs w:val="32"/>
          <w:highlight w:val="none"/>
          <w14:textFill>
            <w14:solidFill>
              <w14:schemeClr w14:val="tx1"/>
            </w14:solidFill>
          </w14:textFill>
        </w:rPr>
        <w:t>、</w:t>
      </w:r>
      <w:r>
        <w:rPr>
          <w:rFonts w:hint="eastAsia" w:hAnsi="黑体" w:eastAsia="黑体"/>
          <w:color w:val="000000" w:themeColor="text1"/>
          <w:sz w:val="32"/>
          <w:szCs w:val="32"/>
          <w:highlight w:val="none"/>
          <w:lang w:val="en-US" w:eastAsia="zh-CN"/>
          <w14:textFill>
            <w14:solidFill>
              <w14:schemeClr w14:val="tx1"/>
            </w14:solidFill>
          </w14:textFill>
        </w:rPr>
        <w:t>资助标准</w:t>
      </w:r>
    </w:p>
    <w:p w14:paraId="0D125D4C">
      <w:pPr>
        <w:widowControl/>
        <w:spacing w:line="560" w:lineRule="exact"/>
        <w:ind w:firstLine="640" w:firstLineChars="200"/>
        <w:rPr>
          <w:rFonts w:hint="eastAsia"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对</w:t>
      </w:r>
      <w:r>
        <w:rPr>
          <w:rFonts w:hint="eastAsia" w:ascii="仿宋_GB2312" w:hAnsi="仿宋" w:eastAsia="仿宋_GB2312" w:cs="仿宋"/>
          <w:color w:val="000000" w:themeColor="text1"/>
          <w:sz w:val="32"/>
          <w:szCs w:val="32"/>
          <w:highlight w:val="none"/>
          <w14:textFill>
            <w14:solidFill>
              <w14:schemeClr w14:val="tx1"/>
            </w14:solidFill>
          </w14:textFill>
        </w:rPr>
        <w:t>国际性/全国顶级职业杯赛/联赛联盟俱乐部的主场落户，</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综合考虑参赛级别、比赛成绩、经营情况，</w:t>
      </w:r>
      <w:r>
        <w:rPr>
          <w:rFonts w:hint="eastAsia" w:ascii="仿宋_GB2312" w:hAnsi="仿宋" w:eastAsia="仿宋_GB2312" w:cs="仿宋"/>
          <w:color w:val="000000" w:themeColor="text1"/>
          <w:sz w:val="32"/>
          <w:szCs w:val="32"/>
          <w:highlight w:val="none"/>
          <w14:textFill>
            <w14:solidFill>
              <w14:schemeClr w14:val="tx1"/>
            </w14:solidFill>
          </w14:textFill>
        </w:rPr>
        <w:t>给予最高不超过500万元的一次性补贴</w:t>
      </w:r>
      <w:r>
        <w:rPr>
          <w:rFonts w:hint="eastAsia" w:ascii="仿宋_GB2312" w:hAnsi="仿宋" w:eastAsia="仿宋_GB2312" w:cs="仿宋"/>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对落户南山的国内外顶级电竞俱乐部，按照实际培训和运动员身心康复费、商业保险费给予50%的补贴，每个俱乐部每年不超过50万元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s="仿宋"/>
          <w:color w:val="000000" w:themeColor="text1"/>
          <w:sz w:val="32"/>
          <w:szCs w:val="32"/>
          <w:highlight w:val="none"/>
          <w14:textFill>
            <w14:solidFill>
              <w14:schemeClr w14:val="tx1"/>
            </w14:solidFill>
          </w14:textFill>
        </w:rPr>
        <w:t>对电竞俱乐部或俱乐部成员参加国际性/全国顶级职业杯赛/联赛，或政府举办的高水平、综合性运动会电竞赛事，按所获比赛名次给予俱乐部不超过100万元奖励，每个俱乐部每年不超过200万元。</w:t>
      </w:r>
    </w:p>
    <w:p w14:paraId="1E4E967A">
      <w:pPr>
        <w:spacing w:after="0" w:line="560" w:lineRule="exact"/>
        <w:ind w:firstLine="640" w:firstLineChars="200"/>
        <w:contextualSpacing/>
        <w:jc w:val="both"/>
        <w:outlineLvl w:val="0"/>
        <w:rPr>
          <w:rFonts w:ascii="黑体" w:hAnsi="黑体" w:eastAsia="黑体" w:cs="黑体"/>
          <w:bCs/>
          <w:kern w:val="2"/>
          <w:sz w:val="32"/>
          <w:szCs w:val="32"/>
          <w:highlight w:val="none"/>
          <w:lang w:eastAsia="zh-CN" w:bidi="ar-SA"/>
        </w:rPr>
      </w:pPr>
      <w:r>
        <w:rPr>
          <w:rFonts w:hint="eastAsia" w:ascii="黑体" w:hAnsi="黑体" w:eastAsia="黑体" w:cs="黑体"/>
          <w:bCs/>
          <w:kern w:val="2"/>
          <w:sz w:val="32"/>
          <w:szCs w:val="32"/>
          <w:highlight w:val="none"/>
          <w:lang w:eastAsia="zh-CN" w:bidi="ar-SA"/>
        </w:rPr>
        <w:t>三、设定依据</w:t>
      </w:r>
    </w:p>
    <w:p w14:paraId="55C64637">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仿宋" w:eastAsia="仿宋_GB2312" w:cs="Times New Roman"/>
          <w:color w:val="000000" w:themeColor="text1"/>
          <w:sz w:val="32"/>
          <w:szCs w:val="32"/>
          <w:highlight w:val="none"/>
          <w:lang w:eastAsia="zh-CN"/>
          <w14:textFill>
            <w14:solidFill>
              <w14:schemeClr w14:val="tx1"/>
            </w14:solidFill>
          </w14:textFill>
        </w:rPr>
        <w:t>（一）</w:t>
      </w:r>
      <w:r>
        <w:rPr>
          <w:rFonts w:hint="eastAsia" w:ascii="仿宋_GB2312" w:hAnsi="仿宋" w:eastAsia="仿宋_GB2312"/>
          <w:color w:val="000000" w:themeColor="text1"/>
          <w:sz w:val="32"/>
          <w:szCs w:val="32"/>
          <w:highlight w:val="none"/>
          <w14:textFill>
            <w14:solidFill>
              <w14:schemeClr w14:val="tx1"/>
            </w14:solidFill>
          </w14:textFill>
        </w:rPr>
        <w:t>《</w:t>
      </w:r>
      <w:r>
        <w:rPr>
          <w:rFonts w:hint="eastAsia" w:ascii="仿宋_GB2312" w:hAnsi="仿宋" w:eastAsia="仿宋_GB2312" w:cs="Times New Roman"/>
          <w:color w:val="000000" w:themeColor="text1"/>
          <w:sz w:val="32"/>
          <w:szCs w:val="32"/>
          <w:highlight w:val="none"/>
          <w:lang w:eastAsia="zh-CN"/>
          <w14:textFill>
            <w14:solidFill>
              <w14:schemeClr w14:val="tx1"/>
            </w14:solidFill>
          </w14:textFill>
        </w:rPr>
        <w:t>南山区促进产业高质量发展专项资金管理办法</w:t>
      </w:r>
      <w:r>
        <w:rPr>
          <w:rFonts w:hint="eastAsia" w:ascii="仿宋_GB2312" w:hAnsi="仿宋" w:eastAsia="仿宋_GB2312"/>
          <w:color w:val="000000" w:themeColor="text1"/>
          <w:sz w:val="32"/>
          <w:szCs w:val="32"/>
          <w:highlight w:val="none"/>
          <w14:textFill>
            <w14:solidFill>
              <w14:schemeClr w14:val="tx1"/>
            </w14:solidFill>
          </w14:textFill>
        </w:rPr>
        <w:t>》</w:t>
      </w:r>
      <w:r>
        <w:rPr>
          <w:rFonts w:hint="eastAsia" w:ascii="仿宋_GB2312" w:hAnsi="仿宋" w:eastAsia="仿宋_GB2312"/>
          <w:color w:val="000000" w:themeColor="text1"/>
          <w:sz w:val="32"/>
          <w:szCs w:val="32"/>
          <w:highlight w:val="none"/>
          <w:lang w:eastAsia="zh-CN"/>
          <w14:textFill>
            <w14:solidFill>
              <w14:schemeClr w14:val="tx1"/>
            </w14:solidFill>
          </w14:textFill>
        </w:rPr>
        <w:t>；</w:t>
      </w:r>
    </w:p>
    <w:p w14:paraId="5A6D7285">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仿宋" w:eastAsia="仿宋_GB2312" w:cs="Times New Roman"/>
          <w:color w:val="000000" w:themeColor="text1"/>
          <w:sz w:val="32"/>
          <w:szCs w:val="32"/>
          <w:highlight w:val="none"/>
          <w:lang w:eastAsia="zh-CN"/>
          <w14:textFill>
            <w14:solidFill>
              <w14:schemeClr w14:val="tx1"/>
            </w14:solidFill>
          </w14:textFill>
        </w:rPr>
        <w:t>（二）</w:t>
      </w:r>
      <w:r>
        <w:rPr>
          <w:rFonts w:hint="eastAsia" w:ascii="仿宋_GB2312" w:hAnsi="仿宋" w:eastAsia="仿宋_GB2312"/>
          <w:color w:val="000000" w:themeColor="text1"/>
          <w:sz w:val="32"/>
          <w:szCs w:val="32"/>
          <w:highlight w:val="none"/>
          <w14:textFill>
            <w14:solidFill>
              <w14:schemeClr w14:val="tx1"/>
            </w14:solidFill>
          </w14:textFill>
        </w:rPr>
        <w:t>《南山区促进电竞产业发展专项扶持措施》</w:t>
      </w:r>
      <w:r>
        <w:rPr>
          <w:rFonts w:hint="eastAsia" w:ascii="仿宋_GB2312" w:hAnsi="仿宋" w:eastAsia="仿宋_GB2312"/>
          <w:color w:val="000000" w:themeColor="text1"/>
          <w:sz w:val="32"/>
          <w:szCs w:val="32"/>
          <w:highlight w:val="none"/>
          <w:lang w:eastAsia="zh-CN"/>
          <w14:textFill>
            <w14:solidFill>
              <w14:schemeClr w14:val="tx1"/>
            </w14:solidFill>
          </w14:textFill>
        </w:rPr>
        <w:t>。</w:t>
      </w:r>
    </w:p>
    <w:p w14:paraId="7F5770D4">
      <w:pPr>
        <w:widowControl/>
        <w:adjustRightInd w:val="0"/>
        <w:snapToGrid w:val="0"/>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lang w:val="en-US" w:eastAsia="zh-CN"/>
          <w14:textFill>
            <w14:solidFill>
              <w14:schemeClr w14:val="tx1"/>
            </w14:solidFill>
          </w14:textFill>
        </w:rPr>
        <w:t>四</w:t>
      </w:r>
      <w:r>
        <w:rPr>
          <w:rFonts w:hint="eastAsia" w:hAnsi="黑体" w:eastAsia="黑体"/>
          <w:color w:val="000000" w:themeColor="text1"/>
          <w:sz w:val="32"/>
          <w:szCs w:val="32"/>
          <w:highlight w:val="none"/>
          <w14:textFill>
            <w14:solidFill>
              <w14:schemeClr w14:val="tx1"/>
            </w14:solidFill>
          </w14:textFill>
        </w:rPr>
        <w:t>、申报对象和条件</w:t>
      </w:r>
    </w:p>
    <w:p w14:paraId="290B4A6D">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（一）基本条件：</w:t>
      </w:r>
    </w:p>
    <w:p w14:paraId="6DF64028">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olor w:val="000000" w:themeColor="text1"/>
          <w:sz w:val="32"/>
          <w:szCs w:val="32"/>
          <w:highlight w:val="none"/>
          <w14:textFill>
            <w14:solidFill>
              <w14:schemeClr w14:val="tx1"/>
            </w14:solidFill>
          </w14:textFill>
        </w:rPr>
        <w:t>在南山辖区</w:t>
      </w:r>
      <w:r>
        <w:rPr>
          <w:rFonts w:hint="eastAsia" w:ascii="仿宋_GB2312" w:hAnsi="仿宋" w:eastAsia="仿宋_GB2312"/>
          <w:color w:val="000000" w:themeColor="text1"/>
          <w:sz w:val="32"/>
          <w:szCs w:val="32"/>
          <w:highlight w:val="none"/>
          <w:lang w:eastAsia="zh-CN"/>
          <w14:textFill>
            <w14:solidFill>
              <w14:schemeClr w14:val="tx1"/>
            </w14:solidFill>
          </w14:textFill>
        </w:rPr>
        <w:t>依法实际从事经营</w:t>
      </w:r>
      <w:r>
        <w:rPr>
          <w:rFonts w:hint="eastAsia" w:ascii="仿宋_GB2312" w:hAnsi="仿宋" w:eastAsia="仿宋_GB2312"/>
          <w:color w:val="000000" w:themeColor="text1"/>
          <w:sz w:val="32"/>
          <w:szCs w:val="32"/>
          <w:highlight w:val="none"/>
          <w14:textFill>
            <w14:solidFill>
              <w14:schemeClr w14:val="tx1"/>
            </w14:solidFill>
          </w14:textFill>
        </w:rPr>
        <w:t>、具有独立法人资格</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,且已在南山区统计在库</w:t>
      </w:r>
      <w:r>
        <w:rPr>
          <w:rFonts w:hint="eastAsia" w:ascii="仿宋_GB2312" w:hAnsi="仿宋" w:eastAsia="仿宋_GB2312"/>
          <w:color w:val="000000" w:themeColor="text1"/>
          <w:sz w:val="32"/>
          <w:szCs w:val="32"/>
          <w:highlight w:val="none"/>
          <w14:textFill>
            <w14:solidFill>
              <w14:schemeClr w14:val="tx1"/>
            </w14:solidFill>
          </w14:textFill>
        </w:rPr>
        <w:t>；</w:t>
      </w:r>
    </w:p>
    <w:p w14:paraId="1EB4DEEA">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履行</w:t>
      </w:r>
      <w:r>
        <w:rPr>
          <w:rFonts w:hint="eastAsia" w:ascii="仿宋_GB2312" w:hAnsi="仿宋" w:eastAsia="仿宋_GB2312"/>
          <w:color w:val="000000" w:themeColor="text1"/>
          <w:sz w:val="32"/>
          <w:szCs w:val="32"/>
          <w:highlight w:val="none"/>
          <w:lang w:eastAsia="zh-CN"/>
          <w14:textFill>
            <w14:solidFill>
              <w14:schemeClr w14:val="tx1"/>
            </w14:solidFill>
          </w14:textFill>
        </w:rPr>
        <w:t>相关</w:t>
      </w:r>
      <w:r>
        <w:rPr>
          <w:rFonts w:hint="eastAsia" w:ascii="仿宋_GB2312" w:hAnsi="仿宋" w:eastAsia="仿宋_GB2312"/>
          <w:color w:val="000000" w:themeColor="text1"/>
          <w:sz w:val="32"/>
          <w:szCs w:val="32"/>
          <w:highlight w:val="none"/>
          <w14:textFill>
            <w14:solidFill>
              <w14:schemeClr w14:val="tx1"/>
            </w14:solidFill>
          </w14:textFill>
        </w:rPr>
        <w:t>数据申报义务、守法经营、诚实守信、有规范健全的财务制度；</w:t>
      </w:r>
    </w:p>
    <w:p w14:paraId="4B98881E">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olor w:val="000000" w:themeColor="text1"/>
          <w:sz w:val="32"/>
          <w:szCs w:val="32"/>
          <w:highlight w:val="none"/>
          <w14:textFill>
            <w14:solidFill>
              <w14:schemeClr w14:val="tx1"/>
            </w14:solidFill>
          </w14:textFill>
        </w:rPr>
        <w:t>其他除外情形的，由资金主管部门在产业扶持政策措施或其操作规程中另行作出明确规定。</w:t>
      </w:r>
    </w:p>
    <w:p w14:paraId="750B50D9">
      <w:pPr>
        <w:pStyle w:val="18"/>
        <w:tabs>
          <w:tab w:val="left" w:pos="0"/>
        </w:tabs>
        <w:spacing w:line="560" w:lineRule="exact"/>
        <w:ind w:firstLine="640"/>
        <w:rPr>
          <w:rFonts w:hint="eastAsia" w:ascii="仿宋_GB2312" w:hAnsi="仿宋" w:eastAsia="仿宋_GB2312" w:cs="Times New Roman"/>
          <w:color w:val="000000"/>
          <w:sz w:val="32"/>
          <w:szCs w:val="32"/>
          <w:highlight w:val="none"/>
          <w:lang w:eastAsia="zh-CN"/>
        </w:rPr>
      </w:pPr>
      <w:r>
        <w:rPr>
          <w:rFonts w:hint="eastAsia" w:ascii="仿宋_GB2312" w:hAnsi="仿宋" w:eastAsia="仿宋_GB2312" w:cs="Times New Roman"/>
          <w:color w:val="000000"/>
          <w:sz w:val="32"/>
          <w:szCs w:val="32"/>
          <w:highlight w:val="none"/>
          <w:lang w:val="en-US" w:eastAsia="zh-CN"/>
        </w:rPr>
        <w:t>4.</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本条政策所述电竞俱乐部，指参加</w:t>
      </w:r>
      <w:r>
        <w:rPr>
          <w:rFonts w:hint="eastAsia" w:ascii="仿宋_GB2312" w:hAnsi="仿宋" w:eastAsia="仿宋_GB2312" w:cs="Times New Roman"/>
          <w:color w:val="000000"/>
          <w:sz w:val="32"/>
          <w:szCs w:val="32"/>
          <w:highlight w:val="none"/>
          <w:lang w:val="en-US" w:eastAsia="zh-CN"/>
        </w:rPr>
        <w:t>官方联盟电竞比赛</w:t>
      </w:r>
      <w:r>
        <w:rPr>
          <w:rFonts w:hint="eastAsia" w:ascii="仿宋_GB2312" w:hAnsi="仿宋" w:eastAsia="仿宋_GB2312" w:cs="Times New Roman"/>
          <w:color w:val="000000"/>
          <w:sz w:val="32"/>
          <w:szCs w:val="32"/>
          <w:highlight w:val="none"/>
        </w:rPr>
        <w:t>的电竞俱乐部</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lang w:val="en-US" w:eastAsia="zh-CN"/>
        </w:rPr>
        <w:t>联盟分为两类，一类为：英雄联盟、王者荣耀、和平精英；二类为：</w:t>
      </w:r>
      <w:r>
        <w:rPr>
          <w:rFonts w:hint="eastAsia" w:ascii="仿宋_GB2312" w:hAnsi="仿宋" w:eastAsia="仿宋_GB2312" w:cs="Times New Roman"/>
          <w:color w:val="000000"/>
          <w:sz w:val="32"/>
          <w:szCs w:val="32"/>
          <w:highlight w:val="none"/>
        </w:rPr>
        <w:t>无畏契约</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rPr>
        <w:t>永劫无间</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rPr>
        <w:t>第五人格</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rPr>
        <w:t>DOTA2</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rPr>
        <w:t>CS:GO</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rPr>
        <w:t>FC Online</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rPr>
        <w:t>英雄联盟手游等</w:t>
      </w:r>
      <w:r>
        <w:rPr>
          <w:rFonts w:hint="eastAsia" w:ascii="仿宋_GB2312" w:hAnsi="仿宋" w:eastAsia="仿宋_GB2312" w:cs="Times New Roman"/>
          <w:color w:val="000000"/>
          <w:sz w:val="32"/>
          <w:szCs w:val="32"/>
          <w:highlight w:val="none"/>
          <w:lang w:eastAsia="zh-CN"/>
        </w:rPr>
        <w:t>。</w:t>
      </w:r>
    </w:p>
    <w:p w14:paraId="7A9C88BC">
      <w:pPr>
        <w:pStyle w:val="18"/>
        <w:tabs>
          <w:tab w:val="left" w:pos="0"/>
        </w:tabs>
        <w:spacing w:line="560" w:lineRule="exact"/>
        <w:ind w:firstLine="640"/>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pPr>
      <w:r>
        <w:rPr>
          <w:rFonts w:hint="eastAsia" w:ascii="仿宋_GB2312" w:hAnsi="仿宋" w:eastAsia="仿宋_GB2312" w:cs="Times New Roman"/>
          <w:color w:val="000000"/>
          <w:sz w:val="32"/>
          <w:szCs w:val="32"/>
          <w:highlight w:val="none"/>
          <w:lang w:val="en-US" w:eastAsia="zh-CN"/>
        </w:rPr>
        <w:t>5.申报本项目</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的电竞俱乐部，均须经南山区文化广电旅游体育局备案。</w:t>
      </w:r>
    </w:p>
    <w:p w14:paraId="6EBA926B">
      <w:pPr>
        <w:pStyle w:val="18"/>
        <w:tabs>
          <w:tab w:val="left" w:pos="0"/>
        </w:tabs>
        <w:spacing w:line="560" w:lineRule="exact"/>
        <w:ind w:firstLine="640"/>
        <w:rPr>
          <w:rFonts w:hint="default" w:ascii="仿宋_GB2312" w:hAnsi="仿宋" w:eastAsia="仿宋_GB2312" w:cs="仿宋"/>
          <w:color w:val="000000" w:themeColor="text1"/>
          <w:sz w:val="32"/>
          <w:szCs w:val="32"/>
          <w:highlight w:val="none"/>
          <w:lang w:val="en-US" w:eastAsia="zh-CN"/>
          <w14:textFill>
            <w14:solidFill>
              <w14:schemeClr w14:val="tx1"/>
            </w14:solidFill>
          </w14:textFill>
        </w:rPr>
      </w:pPr>
      <w:r>
        <w:rPr>
          <w:rFonts w:hint="default" w:ascii="仿宋_GB2312" w:hAnsi="仿宋" w:eastAsia="仿宋_GB2312" w:cs="仿宋"/>
          <w:color w:val="000000" w:themeColor="text1"/>
          <w:sz w:val="32"/>
          <w:szCs w:val="32"/>
          <w:highlight w:val="none"/>
          <w:lang w:val="en-US" w:eastAsia="zh-CN"/>
          <w14:textFill>
            <w14:solidFill>
              <w14:schemeClr w14:val="tx1"/>
            </w14:solidFill>
          </w14:textFill>
        </w:rPr>
        <w:t>（二）有下列情况之一的，本项资金不予资助：</w:t>
      </w:r>
    </w:p>
    <w:p w14:paraId="386EDD14">
      <w:pPr>
        <w:pStyle w:val="18"/>
        <w:tabs>
          <w:tab w:val="left" w:pos="0"/>
        </w:tabs>
        <w:spacing w:line="560" w:lineRule="exact"/>
        <w:ind w:firstLine="640"/>
        <w:rPr>
          <w:rFonts w:hint="default" w:ascii="仿宋_GB2312" w:hAnsi="仿宋" w:eastAsia="仿宋_GB2312" w:cs="仿宋"/>
          <w:color w:val="000000" w:themeColor="text1"/>
          <w:sz w:val="32"/>
          <w:szCs w:val="32"/>
          <w:highlight w:val="none"/>
          <w:lang w:val="en-US" w:eastAsia="zh-CN"/>
          <w14:textFill>
            <w14:solidFill>
              <w14:schemeClr w14:val="tx1"/>
            </w14:solidFill>
          </w14:textFill>
        </w:rPr>
      </w:pPr>
      <w:r>
        <w:rPr>
          <w:rFonts w:hint="default" w:ascii="仿宋_GB2312" w:hAnsi="仿宋" w:eastAsia="仿宋_GB2312" w:cs="仿宋"/>
          <w:color w:val="000000" w:themeColor="text1"/>
          <w:sz w:val="32"/>
          <w:szCs w:val="32"/>
          <w:highlight w:val="none"/>
          <w:lang w:val="en-US" w:eastAsia="zh-CN"/>
          <w14:textFill>
            <w14:solidFill>
              <w14:schemeClr w14:val="tx1"/>
            </w14:solidFill>
          </w14:textFill>
        </w:rPr>
        <w:t>1.被依法依规纳入严重失信主体名单或失信惩戒措施清单的；</w:t>
      </w:r>
    </w:p>
    <w:p w14:paraId="2C179503">
      <w:pPr>
        <w:pStyle w:val="18"/>
        <w:tabs>
          <w:tab w:val="left" w:pos="0"/>
        </w:tabs>
        <w:spacing w:line="560" w:lineRule="exact"/>
        <w:ind w:firstLine="640"/>
        <w:rPr>
          <w:rFonts w:hint="default" w:ascii="仿宋_GB2312" w:hAnsi="仿宋" w:eastAsia="仿宋_GB2312" w:cs="仿宋"/>
          <w:color w:val="000000" w:themeColor="text1"/>
          <w:sz w:val="32"/>
          <w:szCs w:val="32"/>
          <w:highlight w:val="none"/>
          <w:lang w:val="en-US" w:eastAsia="zh-CN"/>
          <w14:textFill>
            <w14:solidFill>
              <w14:schemeClr w14:val="tx1"/>
            </w14:solidFill>
          </w14:textFill>
        </w:rPr>
      </w:pPr>
      <w:r>
        <w:rPr>
          <w:rFonts w:hint="default" w:ascii="仿宋_GB2312" w:hAnsi="仿宋" w:eastAsia="仿宋_GB2312" w:cs="仿宋"/>
          <w:color w:val="000000" w:themeColor="text1"/>
          <w:sz w:val="32"/>
          <w:szCs w:val="32"/>
          <w:highlight w:val="none"/>
          <w:lang w:val="en-US" w:eastAsia="zh-CN"/>
          <w14:textFill>
            <w14:solidFill>
              <w14:schemeClr w14:val="tx1"/>
            </w14:solidFill>
          </w14:textFill>
        </w:rPr>
        <w:t>2.提出资助申请后，申报主体项目实施地或数据申报地发生变化，不再符合申报条件的。</w:t>
      </w:r>
    </w:p>
    <w:p w14:paraId="038ACC77">
      <w:pPr>
        <w:widowControl/>
        <w:adjustRightInd w:val="0"/>
        <w:snapToGrid w:val="0"/>
        <w:spacing w:line="560" w:lineRule="exact"/>
        <w:ind w:firstLine="640" w:firstLineChars="200"/>
        <w:rPr>
          <w:rFonts w:hint="eastAsia" w:ascii="仿宋_GB2312" w:hAnsi="仿宋"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w:t>
      </w:r>
      <w:r>
        <w:rPr>
          <w:rFonts w:hint="eastAsia" w:ascii="仿宋_GB2312" w:hAnsi="仿宋" w:eastAsia="仿宋_GB2312"/>
          <w:color w:val="000000" w:themeColor="text1"/>
          <w:sz w:val="32"/>
          <w:szCs w:val="32"/>
          <w:highlight w:val="none"/>
          <w:lang w:eastAsia="zh-CN"/>
          <w14:textFill>
            <w14:solidFill>
              <w14:schemeClr w14:val="tx1"/>
            </w14:solidFill>
          </w14:textFill>
        </w:rPr>
        <w:t>三</w:t>
      </w:r>
      <w:r>
        <w:rPr>
          <w:rFonts w:hint="eastAsia" w:ascii="仿宋_GB2312" w:hAnsi="仿宋" w:eastAsia="仿宋_GB2312"/>
          <w:color w:val="000000" w:themeColor="text1"/>
          <w:sz w:val="32"/>
          <w:szCs w:val="32"/>
          <w:highlight w:val="none"/>
          <w14:textFill>
            <w14:solidFill>
              <w14:schemeClr w14:val="tx1"/>
            </w14:solidFill>
          </w14:textFill>
        </w:rPr>
        <w:t>）</w:t>
      </w:r>
      <w:r>
        <w:rPr>
          <w:rFonts w:hint="eastAsia" w:ascii="仿宋_GB2312" w:hAnsi="仿宋" w:eastAsia="仿宋_GB2312" w:cs="Times New Roman"/>
          <w:color w:val="000000" w:themeColor="text1"/>
          <w:sz w:val="32"/>
          <w:szCs w:val="32"/>
          <w:highlight w:val="none"/>
          <w14:textFill>
            <w14:solidFill>
              <w14:schemeClr w14:val="tx1"/>
            </w14:solidFill>
          </w14:textFill>
        </w:rPr>
        <w:t>申报类别</w:t>
      </w:r>
      <w:r>
        <w:rPr>
          <w:rFonts w:hint="eastAsia" w:ascii="仿宋_GB2312" w:hAnsi="仿宋" w:eastAsia="仿宋_GB2312" w:cs="Times New Roman"/>
          <w:color w:val="000000" w:themeColor="text1"/>
          <w:sz w:val="32"/>
          <w:szCs w:val="32"/>
          <w:highlight w:val="none"/>
          <w:lang w:eastAsia="zh-CN"/>
          <w14:textFill>
            <w14:solidFill>
              <w14:schemeClr w14:val="tx1"/>
            </w14:solidFill>
          </w14:textFill>
        </w:rPr>
        <w:t>：</w:t>
      </w:r>
    </w:p>
    <w:p w14:paraId="3E23EC5C">
      <w:pPr>
        <w:pStyle w:val="18"/>
        <w:tabs>
          <w:tab w:val="left" w:pos="0"/>
        </w:tabs>
        <w:spacing w:line="560" w:lineRule="exact"/>
        <w:ind w:firstLine="640"/>
        <w:rPr>
          <w:rFonts w:ascii="仿宋" w:hAnsi="仿宋" w:eastAsia="仿宋" w:cs="Times New Roman"/>
          <w:color w:val="00B0F0"/>
          <w:sz w:val="32"/>
          <w:szCs w:val="32"/>
          <w:highlight w:val="none"/>
        </w:rPr>
      </w:pPr>
      <w:r>
        <w:rPr>
          <w:rFonts w:hint="eastAsia" w:ascii="仿宋_GB2312" w:hAnsi="仿宋" w:eastAsia="仿宋_GB2312" w:cs="仿宋"/>
          <w:b/>
          <w:bCs/>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s="仿宋"/>
          <w:b/>
          <w:bCs/>
          <w:color w:val="000000" w:themeColor="text1"/>
          <w:sz w:val="32"/>
          <w:szCs w:val="32"/>
          <w:highlight w:val="none"/>
          <w14:textFill>
            <w14:solidFill>
              <w14:schemeClr w14:val="tx1"/>
            </w14:solidFill>
          </w14:textFill>
        </w:rPr>
        <w:t>电竞俱乐部落户。</w:t>
      </w:r>
      <w:r>
        <w:rPr>
          <w:rFonts w:hint="eastAsia" w:ascii="仿宋_GB2312" w:hAnsi="仿宋" w:eastAsia="仿宋_GB2312" w:cs="仿宋"/>
          <w:color w:val="000000" w:themeColor="text1"/>
          <w:sz w:val="32"/>
          <w:szCs w:val="32"/>
          <w:highlight w:val="none"/>
          <w14:textFill>
            <w14:solidFill>
              <w14:schemeClr w14:val="tx1"/>
            </w14:solidFill>
          </w14:textFill>
        </w:rPr>
        <w:t>支持国际性/全国顶级职业杯赛/联赛联盟俱乐部的主场落户，给予最高不超过500万元的一次性补贴。</w:t>
      </w:r>
    </w:p>
    <w:p w14:paraId="538EB49B">
      <w:pPr>
        <w:adjustRightInd w:val="0"/>
        <w:snapToGrid w:val="0"/>
        <w:spacing w:line="560" w:lineRule="exact"/>
        <w:ind w:firstLine="640" w:firstLineChars="20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14:paraId="58355DCA">
      <w:pPr>
        <w:pStyle w:val="18"/>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1</w:t>
      </w:r>
      <w:r>
        <w:rPr>
          <w:rFonts w:hint="eastAsia" w:ascii="仿宋_GB2312" w:hAnsi="仿宋" w:eastAsia="仿宋_GB2312" w:cs="Times New Roman"/>
          <w:color w:val="000000"/>
          <w:sz w:val="32"/>
          <w:szCs w:val="32"/>
          <w:highlight w:val="none"/>
        </w:rPr>
        <w:t>）</w:t>
      </w:r>
      <w:r>
        <w:rPr>
          <w:rFonts w:hint="eastAsia" w:ascii="仿宋_GB2312" w:hAnsi="仿宋" w:eastAsia="仿宋_GB2312" w:cs="Times New Roman"/>
          <w:color w:val="000000"/>
          <w:sz w:val="32"/>
          <w:szCs w:val="32"/>
          <w:highlight w:val="none"/>
          <w:lang w:val="en-US" w:eastAsia="zh-CN"/>
        </w:rPr>
        <w:t>申请对象须为2024年1月1日以后落户的电竞俱乐部。</w:t>
      </w:r>
    </w:p>
    <w:p w14:paraId="029EB055">
      <w:pPr>
        <w:pStyle w:val="18"/>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2</w:t>
      </w:r>
      <w:r>
        <w:rPr>
          <w:rFonts w:hint="eastAsia" w:ascii="仿宋_GB2312" w:hAnsi="仿宋" w:eastAsia="仿宋_GB2312" w:cs="Times New Roman"/>
          <w:color w:val="000000"/>
          <w:sz w:val="32"/>
          <w:szCs w:val="32"/>
          <w:highlight w:val="none"/>
        </w:rPr>
        <w:t>）电竞俱乐部落户补贴分三档：</w:t>
      </w:r>
    </w:p>
    <w:p w14:paraId="1B7BACC6">
      <w:pPr>
        <w:pStyle w:val="18"/>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（1）拥有</w:t>
      </w:r>
      <w:r>
        <w:rPr>
          <w:rFonts w:hint="eastAsia" w:ascii="仿宋_GB2312" w:hAnsi="仿宋" w:eastAsia="仿宋_GB2312" w:cs="Times New Roman"/>
          <w:color w:val="000000"/>
          <w:sz w:val="32"/>
          <w:szCs w:val="32"/>
          <w:highlight w:val="none"/>
          <w:lang w:val="en-US" w:eastAsia="zh-CN"/>
        </w:rPr>
        <w:t>一类</w:t>
      </w:r>
      <w:r>
        <w:rPr>
          <w:rFonts w:hint="eastAsia" w:ascii="仿宋_GB2312" w:hAnsi="仿宋" w:eastAsia="仿宋_GB2312" w:cs="Times New Roman"/>
          <w:color w:val="000000"/>
          <w:sz w:val="32"/>
          <w:szCs w:val="32"/>
          <w:highlight w:val="none"/>
        </w:rPr>
        <w:t>联盟顶级联赛固定席位，且在南山设立主场的电竞俱乐部，</w:t>
      </w:r>
      <w:r>
        <w:rPr>
          <w:rFonts w:hint="eastAsia" w:ascii="仿宋_GB2312" w:hAnsi="仿宋" w:eastAsia="仿宋_GB2312" w:cs="Times New Roman"/>
          <w:color w:val="000000"/>
          <w:sz w:val="32"/>
          <w:szCs w:val="32"/>
          <w:highlight w:val="none"/>
          <w:lang w:eastAsia="zh-CN"/>
        </w:rPr>
        <w:t>年产值规模（营业收入）达</w:t>
      </w:r>
      <w:r>
        <w:rPr>
          <w:rFonts w:hint="eastAsia" w:ascii="仿宋_GB2312" w:hAnsi="仿宋" w:eastAsia="仿宋_GB2312" w:cs="Times New Roman"/>
          <w:color w:val="000000"/>
          <w:sz w:val="32"/>
          <w:szCs w:val="32"/>
          <w:highlight w:val="none"/>
          <w:lang w:val="en-US" w:eastAsia="zh-CN"/>
        </w:rPr>
        <w:t>500万</w:t>
      </w:r>
      <w:r>
        <w:rPr>
          <w:rFonts w:hint="eastAsia" w:ascii="仿宋_GB2312" w:hAnsi="仿宋" w:eastAsia="仿宋_GB2312" w:cs="Times New Roman"/>
          <w:color w:val="000000"/>
          <w:sz w:val="32"/>
          <w:szCs w:val="32"/>
          <w:highlight w:val="none"/>
          <w:lang w:eastAsia="zh-CN"/>
        </w:rPr>
        <w:t>元，可获得100万元</w:t>
      </w:r>
      <w:r>
        <w:rPr>
          <w:rFonts w:hint="eastAsia" w:ascii="仿宋_GB2312" w:hAnsi="仿宋" w:eastAsia="仿宋_GB2312" w:cs="Times New Roman"/>
          <w:color w:val="000000"/>
          <w:sz w:val="32"/>
          <w:szCs w:val="32"/>
          <w:highlight w:val="none"/>
          <w:lang w:val="en-US" w:eastAsia="zh-CN"/>
        </w:rPr>
        <w:t>补贴</w:t>
      </w:r>
      <w:r>
        <w:rPr>
          <w:rFonts w:hint="eastAsia" w:ascii="仿宋_GB2312" w:hAnsi="仿宋" w:eastAsia="仿宋_GB2312" w:cs="Times New Roman"/>
          <w:color w:val="000000"/>
          <w:sz w:val="32"/>
          <w:szCs w:val="32"/>
          <w:highlight w:val="none"/>
          <w:lang w:eastAsia="zh-CN"/>
        </w:rPr>
        <w:t>，产值规模（营业收入）每增加</w:t>
      </w:r>
      <w:r>
        <w:rPr>
          <w:rFonts w:hint="eastAsia" w:ascii="仿宋_GB2312" w:hAnsi="仿宋" w:eastAsia="仿宋_GB2312" w:cs="Times New Roman"/>
          <w:color w:val="000000"/>
          <w:sz w:val="32"/>
          <w:szCs w:val="32"/>
          <w:highlight w:val="none"/>
          <w:lang w:val="en-US" w:eastAsia="zh-CN"/>
        </w:rPr>
        <w:t>500万</w:t>
      </w:r>
      <w:r>
        <w:rPr>
          <w:rFonts w:hint="eastAsia" w:ascii="仿宋_GB2312" w:hAnsi="仿宋" w:eastAsia="仿宋_GB2312" w:cs="Times New Roman"/>
          <w:color w:val="000000"/>
          <w:sz w:val="32"/>
          <w:szCs w:val="32"/>
          <w:highlight w:val="none"/>
          <w:lang w:eastAsia="zh-CN"/>
        </w:rPr>
        <w:t>元，可增加50万元</w:t>
      </w:r>
      <w:r>
        <w:rPr>
          <w:rFonts w:hint="eastAsia" w:ascii="仿宋_GB2312" w:hAnsi="仿宋" w:eastAsia="仿宋_GB2312" w:cs="Times New Roman"/>
          <w:color w:val="000000"/>
          <w:sz w:val="32"/>
          <w:szCs w:val="32"/>
          <w:highlight w:val="none"/>
          <w:lang w:val="en-US" w:eastAsia="zh-CN"/>
        </w:rPr>
        <w:t>补贴</w:t>
      </w:r>
      <w:r>
        <w:rPr>
          <w:rFonts w:hint="eastAsia" w:ascii="仿宋_GB2312" w:hAnsi="仿宋" w:eastAsia="仿宋_GB2312" w:cs="Times New Roman"/>
          <w:color w:val="000000"/>
          <w:sz w:val="32"/>
          <w:szCs w:val="32"/>
          <w:highlight w:val="none"/>
          <w:lang w:eastAsia="zh-CN"/>
        </w:rPr>
        <w:t>，最高可获</w:t>
      </w:r>
      <w:r>
        <w:rPr>
          <w:rFonts w:hint="eastAsia" w:ascii="仿宋_GB2312" w:hAnsi="仿宋" w:eastAsia="仿宋_GB2312" w:cs="Times New Roman"/>
          <w:color w:val="000000"/>
          <w:sz w:val="32"/>
          <w:szCs w:val="32"/>
          <w:highlight w:val="none"/>
          <w:lang w:val="en-US" w:eastAsia="zh-CN"/>
        </w:rPr>
        <w:t>500</w:t>
      </w:r>
      <w:r>
        <w:rPr>
          <w:rFonts w:hint="eastAsia" w:ascii="仿宋_GB2312" w:hAnsi="仿宋" w:eastAsia="仿宋_GB2312" w:cs="Times New Roman"/>
          <w:color w:val="000000"/>
          <w:sz w:val="32"/>
          <w:szCs w:val="32"/>
          <w:highlight w:val="none"/>
          <w:lang w:eastAsia="zh-CN"/>
        </w:rPr>
        <w:t>万元</w:t>
      </w:r>
      <w:r>
        <w:rPr>
          <w:rFonts w:hint="eastAsia" w:ascii="仿宋_GB2312" w:hAnsi="仿宋" w:eastAsia="仿宋_GB2312" w:cs="Times New Roman"/>
          <w:color w:val="000000"/>
          <w:sz w:val="32"/>
          <w:szCs w:val="32"/>
          <w:highlight w:val="none"/>
          <w:lang w:val="en-US" w:eastAsia="zh-CN"/>
        </w:rPr>
        <w:t>的补贴</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rPr>
        <w:t>拥有</w:t>
      </w:r>
      <w:r>
        <w:rPr>
          <w:rFonts w:hint="eastAsia" w:ascii="仿宋_GB2312" w:hAnsi="仿宋" w:eastAsia="仿宋_GB2312" w:cs="Times New Roman"/>
          <w:color w:val="000000"/>
          <w:sz w:val="32"/>
          <w:szCs w:val="32"/>
          <w:highlight w:val="none"/>
          <w:lang w:val="en-US" w:eastAsia="zh-CN"/>
        </w:rPr>
        <w:t>二类</w:t>
      </w:r>
      <w:r>
        <w:rPr>
          <w:rFonts w:hint="eastAsia" w:ascii="仿宋_GB2312" w:hAnsi="仿宋" w:eastAsia="仿宋_GB2312" w:cs="Times New Roman"/>
          <w:color w:val="000000"/>
          <w:sz w:val="32"/>
          <w:szCs w:val="32"/>
          <w:highlight w:val="none"/>
        </w:rPr>
        <w:t>联盟顶级联赛固定席位，且在南山设立主场的电竞俱乐部，</w:t>
      </w:r>
      <w:r>
        <w:rPr>
          <w:rFonts w:hint="eastAsia" w:ascii="仿宋_GB2312" w:hAnsi="仿宋" w:eastAsia="仿宋_GB2312" w:cs="Times New Roman"/>
          <w:color w:val="000000"/>
          <w:sz w:val="32"/>
          <w:szCs w:val="32"/>
          <w:highlight w:val="none"/>
          <w:lang w:eastAsia="zh-CN"/>
        </w:rPr>
        <w:t>年产值规模</w:t>
      </w:r>
      <w:r>
        <w:rPr>
          <w:rFonts w:hint="eastAsia" w:ascii="仿宋_GB2312" w:hAnsi="仿宋" w:eastAsia="仿宋_GB2312" w:cs="Times New Roman"/>
          <w:color w:val="000000"/>
          <w:sz w:val="32"/>
          <w:szCs w:val="32"/>
          <w:highlight w:val="none"/>
        </w:rPr>
        <w:t>（营业收入）达500万元，可获得100万元补贴，产值规模（营业收入）每增加</w:t>
      </w: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rPr>
        <w:t>00万元，可增加</w:t>
      </w:r>
      <w:r>
        <w:rPr>
          <w:rFonts w:hint="eastAsia" w:ascii="仿宋_GB2312" w:hAnsi="仿宋" w:eastAsia="仿宋_GB2312" w:cs="Times New Roman"/>
          <w:color w:val="000000"/>
          <w:sz w:val="32"/>
          <w:szCs w:val="32"/>
          <w:highlight w:val="none"/>
          <w:lang w:val="en-US" w:eastAsia="zh-CN"/>
        </w:rPr>
        <w:t>2</w:t>
      </w:r>
      <w:r>
        <w:rPr>
          <w:rFonts w:hint="eastAsia" w:ascii="仿宋_GB2312" w:hAnsi="仿宋" w:eastAsia="仿宋_GB2312" w:cs="Times New Roman"/>
          <w:color w:val="000000"/>
          <w:sz w:val="32"/>
          <w:szCs w:val="32"/>
          <w:highlight w:val="none"/>
        </w:rPr>
        <w:t>0万元补贴，最高可获</w:t>
      </w: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rPr>
        <w:t>00万元的补贴。</w:t>
      </w:r>
    </w:p>
    <w:p w14:paraId="4CE2002B">
      <w:pPr>
        <w:pStyle w:val="18"/>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（2）拥有</w:t>
      </w:r>
      <w:r>
        <w:rPr>
          <w:rFonts w:hint="eastAsia" w:ascii="仿宋_GB2312" w:hAnsi="仿宋" w:eastAsia="仿宋_GB2312" w:cs="Times New Roman"/>
          <w:color w:val="000000"/>
          <w:sz w:val="32"/>
          <w:szCs w:val="32"/>
          <w:highlight w:val="none"/>
          <w:lang w:val="en-US" w:eastAsia="zh-CN"/>
        </w:rPr>
        <w:t>一类</w:t>
      </w:r>
      <w:r>
        <w:rPr>
          <w:rFonts w:hint="eastAsia" w:ascii="仿宋_GB2312" w:hAnsi="仿宋" w:eastAsia="仿宋_GB2312" w:cs="Times New Roman"/>
          <w:color w:val="000000"/>
          <w:sz w:val="32"/>
          <w:szCs w:val="32"/>
          <w:highlight w:val="none"/>
        </w:rPr>
        <w:t>联盟顶级联赛固定席位，未在南山设立主场</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lang w:val="en-US" w:eastAsia="zh-CN"/>
        </w:rPr>
        <w:t>或</w:t>
      </w:r>
      <w:r>
        <w:rPr>
          <w:rFonts w:hint="eastAsia" w:ascii="仿宋_GB2312" w:hAnsi="仿宋" w:eastAsia="仿宋_GB2312" w:cs="Times New Roman"/>
          <w:color w:val="000000"/>
          <w:sz w:val="32"/>
          <w:szCs w:val="32"/>
          <w:highlight w:val="none"/>
        </w:rPr>
        <w:t>参与</w:t>
      </w:r>
      <w:r>
        <w:rPr>
          <w:rFonts w:hint="eastAsia" w:ascii="仿宋_GB2312" w:hAnsi="仿宋" w:eastAsia="仿宋_GB2312" w:cs="Times New Roman"/>
          <w:color w:val="000000"/>
          <w:sz w:val="32"/>
          <w:szCs w:val="32"/>
          <w:highlight w:val="none"/>
          <w:lang w:val="en-US" w:eastAsia="zh-CN"/>
        </w:rPr>
        <w:t>一类</w:t>
      </w:r>
      <w:r>
        <w:rPr>
          <w:rFonts w:hint="eastAsia" w:ascii="仿宋_GB2312" w:hAnsi="仿宋" w:eastAsia="仿宋_GB2312" w:cs="Times New Roman"/>
          <w:color w:val="000000"/>
          <w:sz w:val="32"/>
          <w:szCs w:val="32"/>
          <w:highlight w:val="none"/>
        </w:rPr>
        <w:t>联盟顶级联赛但未取得固定席位或次级联赛</w:t>
      </w:r>
      <w:r>
        <w:rPr>
          <w:rFonts w:hint="eastAsia" w:ascii="仿宋_GB2312" w:hAnsi="仿宋" w:eastAsia="仿宋_GB2312" w:cs="Times New Roman"/>
          <w:color w:val="000000"/>
          <w:sz w:val="32"/>
          <w:szCs w:val="32"/>
          <w:highlight w:val="none"/>
          <w:lang w:val="en-US" w:eastAsia="zh-CN"/>
        </w:rPr>
        <w:t>前三名</w:t>
      </w:r>
      <w:r>
        <w:rPr>
          <w:rFonts w:hint="eastAsia" w:ascii="仿宋_GB2312" w:hAnsi="仿宋" w:eastAsia="仿宋_GB2312" w:cs="Times New Roman"/>
          <w:color w:val="000000"/>
          <w:sz w:val="32"/>
          <w:szCs w:val="32"/>
          <w:highlight w:val="none"/>
        </w:rPr>
        <w:t>，且在南山设立主场的电竞俱乐部，</w:t>
      </w:r>
      <w:r>
        <w:rPr>
          <w:rFonts w:hint="eastAsia" w:ascii="仿宋_GB2312" w:hAnsi="仿宋" w:eastAsia="仿宋_GB2312" w:cs="Times New Roman"/>
          <w:color w:val="000000"/>
          <w:sz w:val="32"/>
          <w:szCs w:val="32"/>
          <w:highlight w:val="none"/>
          <w:lang w:eastAsia="zh-CN"/>
        </w:rPr>
        <w:t>年产值规模</w:t>
      </w:r>
      <w:r>
        <w:rPr>
          <w:rFonts w:hint="eastAsia" w:ascii="仿宋_GB2312" w:hAnsi="仿宋" w:eastAsia="仿宋_GB2312" w:cs="Times New Roman"/>
          <w:color w:val="000000"/>
          <w:sz w:val="32"/>
          <w:szCs w:val="32"/>
          <w:highlight w:val="none"/>
        </w:rPr>
        <w:t>（营业收入）达500万元，可获得100万元补贴，产值规模（营业收入）每增加500万元，可增加</w:t>
      </w:r>
      <w:r>
        <w:rPr>
          <w:rFonts w:hint="eastAsia" w:ascii="仿宋_GB2312" w:hAnsi="仿宋" w:eastAsia="仿宋_GB2312" w:cs="Times New Roman"/>
          <w:color w:val="000000"/>
          <w:sz w:val="32"/>
          <w:szCs w:val="32"/>
          <w:highlight w:val="none"/>
          <w:lang w:val="en-US" w:eastAsia="zh-CN"/>
        </w:rPr>
        <w:t>25</w:t>
      </w:r>
      <w:r>
        <w:rPr>
          <w:rFonts w:hint="eastAsia" w:ascii="仿宋_GB2312" w:hAnsi="仿宋" w:eastAsia="仿宋_GB2312" w:cs="Times New Roman"/>
          <w:color w:val="000000"/>
          <w:sz w:val="32"/>
          <w:szCs w:val="32"/>
          <w:highlight w:val="none"/>
        </w:rPr>
        <w:t>万元补贴，最高可获</w:t>
      </w: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rPr>
        <w:t>00万元的补贴</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rPr>
        <w:t>拥有</w:t>
      </w:r>
      <w:r>
        <w:rPr>
          <w:rFonts w:hint="eastAsia" w:ascii="仿宋_GB2312" w:hAnsi="仿宋" w:eastAsia="仿宋_GB2312" w:cs="Times New Roman"/>
          <w:color w:val="000000"/>
          <w:sz w:val="32"/>
          <w:szCs w:val="32"/>
          <w:highlight w:val="none"/>
          <w:lang w:val="en-US" w:eastAsia="zh-CN"/>
        </w:rPr>
        <w:t>二类</w:t>
      </w:r>
      <w:r>
        <w:rPr>
          <w:rFonts w:hint="eastAsia" w:ascii="仿宋_GB2312" w:hAnsi="仿宋" w:eastAsia="仿宋_GB2312" w:cs="Times New Roman"/>
          <w:color w:val="000000"/>
          <w:sz w:val="32"/>
          <w:szCs w:val="32"/>
          <w:highlight w:val="none"/>
        </w:rPr>
        <w:t>联盟顶级联赛固定席位，未在南山设立主场</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lang w:val="en-US" w:eastAsia="zh-CN"/>
        </w:rPr>
        <w:t>或</w:t>
      </w:r>
      <w:r>
        <w:rPr>
          <w:rFonts w:hint="eastAsia" w:ascii="仿宋_GB2312" w:hAnsi="仿宋" w:eastAsia="仿宋_GB2312" w:cs="Times New Roman"/>
          <w:color w:val="000000"/>
          <w:sz w:val="32"/>
          <w:szCs w:val="32"/>
          <w:highlight w:val="none"/>
        </w:rPr>
        <w:t>参与</w:t>
      </w:r>
      <w:r>
        <w:rPr>
          <w:rFonts w:hint="eastAsia" w:ascii="仿宋_GB2312" w:hAnsi="仿宋" w:eastAsia="仿宋_GB2312" w:cs="Times New Roman"/>
          <w:color w:val="000000"/>
          <w:sz w:val="32"/>
          <w:szCs w:val="32"/>
          <w:highlight w:val="none"/>
          <w:lang w:val="en-US" w:eastAsia="zh-CN"/>
        </w:rPr>
        <w:t>二类</w:t>
      </w:r>
      <w:r>
        <w:rPr>
          <w:rFonts w:hint="eastAsia" w:ascii="仿宋_GB2312" w:hAnsi="仿宋" w:eastAsia="仿宋_GB2312" w:cs="Times New Roman"/>
          <w:color w:val="000000"/>
          <w:sz w:val="32"/>
          <w:szCs w:val="32"/>
          <w:highlight w:val="none"/>
        </w:rPr>
        <w:t>联盟顶级联赛但未取得固定席位或次级联赛</w:t>
      </w:r>
      <w:r>
        <w:rPr>
          <w:rFonts w:hint="eastAsia" w:ascii="仿宋_GB2312" w:hAnsi="仿宋" w:eastAsia="仿宋_GB2312" w:cs="Times New Roman"/>
          <w:color w:val="000000"/>
          <w:sz w:val="32"/>
          <w:szCs w:val="32"/>
          <w:highlight w:val="none"/>
          <w:lang w:val="en-US" w:eastAsia="zh-CN"/>
        </w:rPr>
        <w:t>前三名</w:t>
      </w:r>
      <w:r>
        <w:rPr>
          <w:rFonts w:hint="eastAsia" w:ascii="仿宋_GB2312" w:hAnsi="仿宋" w:eastAsia="仿宋_GB2312" w:cs="Times New Roman"/>
          <w:color w:val="000000"/>
          <w:sz w:val="32"/>
          <w:szCs w:val="32"/>
          <w:highlight w:val="none"/>
        </w:rPr>
        <w:t>，且在南山设立主场的电竞俱乐部，</w:t>
      </w:r>
      <w:r>
        <w:rPr>
          <w:rFonts w:hint="eastAsia" w:ascii="仿宋_GB2312" w:hAnsi="仿宋" w:eastAsia="仿宋_GB2312" w:cs="Times New Roman"/>
          <w:color w:val="000000"/>
          <w:sz w:val="32"/>
          <w:szCs w:val="32"/>
          <w:highlight w:val="none"/>
          <w:lang w:eastAsia="zh-CN"/>
        </w:rPr>
        <w:t>年产值规模</w:t>
      </w:r>
      <w:r>
        <w:rPr>
          <w:rFonts w:hint="eastAsia" w:ascii="仿宋_GB2312" w:hAnsi="仿宋" w:eastAsia="仿宋_GB2312" w:cs="Times New Roman"/>
          <w:color w:val="000000"/>
          <w:sz w:val="32"/>
          <w:szCs w:val="32"/>
          <w:highlight w:val="none"/>
        </w:rPr>
        <w:t>（营业收入）达500万元，可获得100万元补贴，产值规模（营业收入）每增加300万元，可增加</w:t>
      </w:r>
      <w:r>
        <w:rPr>
          <w:rFonts w:hint="eastAsia" w:ascii="仿宋_GB2312" w:hAnsi="仿宋" w:eastAsia="仿宋_GB2312" w:cs="Times New Roman"/>
          <w:color w:val="000000"/>
          <w:sz w:val="32"/>
          <w:szCs w:val="32"/>
          <w:highlight w:val="none"/>
          <w:lang w:val="en-US" w:eastAsia="zh-CN"/>
        </w:rPr>
        <w:t>1</w:t>
      </w:r>
      <w:r>
        <w:rPr>
          <w:rFonts w:hint="eastAsia" w:ascii="仿宋_GB2312" w:hAnsi="仿宋" w:eastAsia="仿宋_GB2312" w:cs="Times New Roman"/>
          <w:color w:val="000000"/>
          <w:sz w:val="32"/>
          <w:szCs w:val="32"/>
          <w:highlight w:val="none"/>
        </w:rPr>
        <w:t>0万元补贴，最高可获</w:t>
      </w:r>
      <w:r>
        <w:rPr>
          <w:rFonts w:hint="eastAsia" w:ascii="仿宋_GB2312" w:hAnsi="仿宋" w:eastAsia="仿宋_GB2312" w:cs="Times New Roman"/>
          <w:color w:val="000000"/>
          <w:sz w:val="32"/>
          <w:szCs w:val="32"/>
          <w:highlight w:val="none"/>
          <w:lang w:val="en-US" w:eastAsia="zh-CN"/>
        </w:rPr>
        <w:t>2</w:t>
      </w:r>
      <w:r>
        <w:rPr>
          <w:rFonts w:hint="eastAsia" w:ascii="仿宋_GB2312" w:hAnsi="仿宋" w:eastAsia="仿宋_GB2312" w:cs="Times New Roman"/>
          <w:color w:val="000000"/>
          <w:sz w:val="32"/>
          <w:szCs w:val="32"/>
          <w:highlight w:val="none"/>
        </w:rPr>
        <w:t>00万元的补贴。</w:t>
      </w:r>
    </w:p>
    <w:p w14:paraId="231D4893">
      <w:pPr>
        <w:pStyle w:val="18"/>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（3）参与</w:t>
      </w:r>
      <w:r>
        <w:rPr>
          <w:rFonts w:hint="eastAsia" w:ascii="仿宋_GB2312" w:hAnsi="仿宋" w:eastAsia="仿宋_GB2312" w:cs="Times New Roman"/>
          <w:color w:val="000000"/>
          <w:sz w:val="32"/>
          <w:szCs w:val="32"/>
          <w:highlight w:val="none"/>
          <w:lang w:val="en-US" w:eastAsia="zh-CN"/>
        </w:rPr>
        <w:t>一类</w:t>
      </w:r>
      <w:r>
        <w:rPr>
          <w:rFonts w:hint="eastAsia" w:ascii="仿宋_GB2312" w:hAnsi="仿宋" w:eastAsia="仿宋_GB2312" w:cs="Times New Roman"/>
          <w:color w:val="000000"/>
          <w:sz w:val="32"/>
          <w:szCs w:val="32"/>
          <w:highlight w:val="none"/>
        </w:rPr>
        <w:t>联盟顶级联赛但未取得固定席位或次级联赛</w:t>
      </w:r>
      <w:r>
        <w:rPr>
          <w:rFonts w:hint="eastAsia" w:ascii="仿宋_GB2312" w:hAnsi="仿宋" w:eastAsia="仿宋_GB2312" w:cs="Times New Roman"/>
          <w:color w:val="000000"/>
          <w:sz w:val="32"/>
          <w:szCs w:val="32"/>
          <w:highlight w:val="none"/>
          <w:lang w:val="en-US" w:eastAsia="zh-CN"/>
        </w:rPr>
        <w:t>前三名</w:t>
      </w:r>
      <w:r>
        <w:rPr>
          <w:rFonts w:hint="eastAsia" w:ascii="仿宋_GB2312" w:hAnsi="仿宋" w:eastAsia="仿宋_GB2312" w:cs="Times New Roman"/>
          <w:color w:val="000000"/>
          <w:sz w:val="32"/>
          <w:szCs w:val="32"/>
          <w:highlight w:val="none"/>
        </w:rPr>
        <w:t>，未在南山设立主场的，</w:t>
      </w:r>
      <w:r>
        <w:rPr>
          <w:rFonts w:hint="eastAsia" w:ascii="仿宋_GB2312" w:hAnsi="仿宋" w:eastAsia="仿宋_GB2312" w:cs="Times New Roman"/>
          <w:color w:val="000000"/>
          <w:sz w:val="32"/>
          <w:szCs w:val="32"/>
          <w:highlight w:val="none"/>
          <w:lang w:eastAsia="zh-CN"/>
        </w:rPr>
        <w:t>年产值规模</w:t>
      </w:r>
      <w:r>
        <w:rPr>
          <w:rFonts w:hint="eastAsia" w:ascii="仿宋_GB2312" w:hAnsi="仿宋" w:eastAsia="仿宋_GB2312" w:cs="Times New Roman"/>
          <w:color w:val="000000"/>
          <w:sz w:val="32"/>
          <w:szCs w:val="32"/>
          <w:highlight w:val="none"/>
        </w:rPr>
        <w:t>（营业收入）达500万元，可获得100万元补贴，产值规模（营业收入）每增加500万元，可增加</w:t>
      </w:r>
      <w:r>
        <w:rPr>
          <w:rFonts w:hint="eastAsia" w:ascii="仿宋_GB2312" w:hAnsi="仿宋" w:eastAsia="仿宋_GB2312" w:cs="Times New Roman"/>
          <w:color w:val="000000"/>
          <w:sz w:val="32"/>
          <w:szCs w:val="32"/>
          <w:highlight w:val="none"/>
          <w:lang w:val="en-US" w:eastAsia="zh-CN"/>
        </w:rPr>
        <w:t>12.5</w:t>
      </w:r>
      <w:r>
        <w:rPr>
          <w:rFonts w:hint="eastAsia" w:ascii="仿宋_GB2312" w:hAnsi="仿宋" w:eastAsia="仿宋_GB2312" w:cs="Times New Roman"/>
          <w:color w:val="000000"/>
          <w:sz w:val="32"/>
          <w:szCs w:val="32"/>
          <w:highlight w:val="none"/>
        </w:rPr>
        <w:t>万元补贴，最高可获</w:t>
      </w:r>
      <w:r>
        <w:rPr>
          <w:rFonts w:hint="eastAsia" w:ascii="仿宋_GB2312" w:hAnsi="仿宋" w:eastAsia="仿宋_GB2312" w:cs="Times New Roman"/>
          <w:color w:val="000000"/>
          <w:sz w:val="32"/>
          <w:szCs w:val="32"/>
          <w:highlight w:val="none"/>
          <w:lang w:val="en-US" w:eastAsia="zh-CN"/>
        </w:rPr>
        <w:t>2</w:t>
      </w:r>
      <w:r>
        <w:rPr>
          <w:rFonts w:hint="eastAsia" w:ascii="仿宋_GB2312" w:hAnsi="仿宋" w:eastAsia="仿宋_GB2312" w:cs="Times New Roman"/>
          <w:color w:val="000000"/>
          <w:sz w:val="32"/>
          <w:szCs w:val="32"/>
          <w:highlight w:val="none"/>
        </w:rPr>
        <w:t>00万元的补贴</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rPr>
        <w:t>参与</w:t>
      </w:r>
      <w:r>
        <w:rPr>
          <w:rFonts w:hint="eastAsia" w:ascii="仿宋_GB2312" w:hAnsi="仿宋" w:eastAsia="仿宋_GB2312" w:cs="Times New Roman"/>
          <w:color w:val="000000"/>
          <w:sz w:val="32"/>
          <w:szCs w:val="32"/>
          <w:highlight w:val="none"/>
          <w:lang w:val="en-US" w:eastAsia="zh-CN"/>
        </w:rPr>
        <w:t>二类</w:t>
      </w:r>
      <w:r>
        <w:rPr>
          <w:rFonts w:hint="eastAsia" w:ascii="仿宋_GB2312" w:hAnsi="仿宋" w:eastAsia="仿宋_GB2312" w:cs="Times New Roman"/>
          <w:color w:val="000000"/>
          <w:sz w:val="32"/>
          <w:szCs w:val="32"/>
          <w:highlight w:val="none"/>
        </w:rPr>
        <w:t>联盟顶级联赛但未取得固定席位或次级联赛</w:t>
      </w:r>
      <w:r>
        <w:rPr>
          <w:rFonts w:hint="eastAsia" w:ascii="仿宋_GB2312" w:hAnsi="仿宋" w:eastAsia="仿宋_GB2312" w:cs="Times New Roman"/>
          <w:color w:val="000000"/>
          <w:sz w:val="32"/>
          <w:szCs w:val="32"/>
          <w:highlight w:val="none"/>
          <w:lang w:val="en-US" w:eastAsia="zh-CN"/>
        </w:rPr>
        <w:t>前三名</w:t>
      </w:r>
      <w:r>
        <w:rPr>
          <w:rFonts w:hint="eastAsia" w:ascii="仿宋_GB2312" w:hAnsi="仿宋" w:eastAsia="仿宋_GB2312" w:cs="Times New Roman"/>
          <w:color w:val="000000"/>
          <w:sz w:val="32"/>
          <w:szCs w:val="32"/>
          <w:highlight w:val="none"/>
        </w:rPr>
        <w:t>，未在南山设立主场的，</w:t>
      </w:r>
      <w:r>
        <w:rPr>
          <w:rFonts w:hint="eastAsia" w:ascii="仿宋_GB2312" w:hAnsi="仿宋" w:eastAsia="仿宋_GB2312" w:cs="Times New Roman"/>
          <w:color w:val="000000"/>
          <w:sz w:val="32"/>
          <w:szCs w:val="32"/>
          <w:highlight w:val="none"/>
          <w:lang w:eastAsia="zh-CN"/>
        </w:rPr>
        <w:t>年产值规模</w:t>
      </w:r>
      <w:r>
        <w:rPr>
          <w:rFonts w:hint="eastAsia" w:ascii="仿宋_GB2312" w:hAnsi="仿宋" w:eastAsia="仿宋_GB2312" w:cs="Times New Roman"/>
          <w:color w:val="000000"/>
          <w:sz w:val="32"/>
          <w:szCs w:val="32"/>
          <w:highlight w:val="none"/>
        </w:rPr>
        <w:t>（营业收入）达500万元，可获得</w:t>
      </w:r>
      <w:r>
        <w:rPr>
          <w:rFonts w:hint="eastAsia" w:ascii="仿宋_GB2312" w:hAnsi="仿宋" w:eastAsia="仿宋_GB2312" w:cs="Times New Roman"/>
          <w:color w:val="000000"/>
          <w:sz w:val="32"/>
          <w:szCs w:val="32"/>
          <w:highlight w:val="none"/>
          <w:lang w:val="en-US" w:eastAsia="zh-CN"/>
        </w:rPr>
        <w:t>5</w:t>
      </w:r>
      <w:r>
        <w:rPr>
          <w:rFonts w:hint="eastAsia" w:ascii="仿宋_GB2312" w:hAnsi="仿宋" w:eastAsia="仿宋_GB2312" w:cs="Times New Roman"/>
          <w:color w:val="000000"/>
          <w:sz w:val="32"/>
          <w:szCs w:val="32"/>
          <w:highlight w:val="none"/>
        </w:rPr>
        <w:t>0万元补贴，产值规模（营业收入）每增加300万元，可增加</w:t>
      </w:r>
      <w:r>
        <w:rPr>
          <w:rFonts w:hint="eastAsia" w:ascii="仿宋_GB2312" w:hAnsi="仿宋" w:eastAsia="仿宋_GB2312" w:cs="Times New Roman"/>
          <w:color w:val="000000"/>
          <w:sz w:val="32"/>
          <w:szCs w:val="32"/>
          <w:highlight w:val="none"/>
          <w:lang w:val="en-US" w:eastAsia="zh-CN"/>
        </w:rPr>
        <w:t>5</w:t>
      </w:r>
      <w:r>
        <w:rPr>
          <w:rFonts w:hint="eastAsia" w:ascii="仿宋_GB2312" w:hAnsi="仿宋" w:eastAsia="仿宋_GB2312" w:cs="Times New Roman"/>
          <w:color w:val="000000"/>
          <w:sz w:val="32"/>
          <w:szCs w:val="32"/>
          <w:highlight w:val="none"/>
        </w:rPr>
        <w:t>万元补贴，最高可获</w:t>
      </w:r>
      <w:r>
        <w:rPr>
          <w:rFonts w:hint="eastAsia" w:ascii="仿宋_GB2312" w:hAnsi="仿宋" w:eastAsia="仿宋_GB2312" w:cs="Times New Roman"/>
          <w:color w:val="000000"/>
          <w:sz w:val="32"/>
          <w:szCs w:val="32"/>
          <w:highlight w:val="none"/>
          <w:lang w:val="en-US" w:eastAsia="zh-CN"/>
        </w:rPr>
        <w:t>1</w:t>
      </w:r>
      <w:r>
        <w:rPr>
          <w:rFonts w:hint="eastAsia" w:ascii="仿宋_GB2312" w:hAnsi="仿宋" w:eastAsia="仿宋_GB2312" w:cs="Times New Roman"/>
          <w:color w:val="000000"/>
          <w:sz w:val="32"/>
          <w:szCs w:val="32"/>
          <w:highlight w:val="none"/>
        </w:rPr>
        <w:t>00万元的补贴。</w:t>
      </w:r>
    </w:p>
    <w:p w14:paraId="5ED1939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rPr>
        <w:t>）</w:t>
      </w:r>
      <w:r>
        <w:rPr>
          <w:rFonts w:hint="eastAsia" w:ascii="仿宋_GB2312" w:hAnsi="仿宋" w:eastAsia="仿宋_GB2312" w:cs="Times New Roman"/>
          <w:color w:val="000000"/>
          <w:sz w:val="32"/>
          <w:szCs w:val="32"/>
          <w:highlight w:val="none"/>
          <w:lang w:val="en-US" w:eastAsia="zh-CN"/>
        </w:rPr>
        <w:t>俱乐部资格</w:t>
      </w:r>
      <w:r>
        <w:rPr>
          <w:rFonts w:hint="eastAsia" w:ascii="仿宋_GB2312" w:hAnsi="仿宋_GB2312" w:eastAsia="仿宋_GB2312" w:cs="仿宋_GB2312"/>
          <w:color w:val="000000"/>
          <w:sz w:val="32"/>
          <w:szCs w:val="32"/>
          <w:highlight w:val="none"/>
          <w:lang w:val="en-US" w:eastAsia="zh-CN"/>
        </w:rPr>
        <w:t>获得升格认定的，可按申请上年度快报产值规模（营业收入）重新计算补贴金额，并申请差额部分奖励，原则上每个俱乐部只补差一次。</w:t>
      </w:r>
    </w:p>
    <w:p w14:paraId="32F9EDC0">
      <w:pPr>
        <w:pStyle w:val="18"/>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4</w:t>
      </w:r>
      <w:r>
        <w:rPr>
          <w:rFonts w:hint="eastAsia" w:ascii="仿宋_GB2312" w:hAnsi="仿宋" w:eastAsia="仿宋_GB2312" w:cs="Times New Roman"/>
          <w:color w:val="000000"/>
          <w:sz w:val="32"/>
          <w:szCs w:val="32"/>
          <w:highlight w:val="none"/>
        </w:rPr>
        <w:t>）</w:t>
      </w:r>
      <w:r>
        <w:rPr>
          <w:rFonts w:hint="eastAsia" w:ascii="仿宋_GB2312" w:hAnsi="仿宋" w:eastAsia="仿宋_GB2312" w:cs="Times New Roman"/>
          <w:color w:val="000000"/>
          <w:sz w:val="32"/>
          <w:szCs w:val="32"/>
          <w:highlight w:val="none"/>
          <w:lang w:val="en-US" w:eastAsia="zh-CN"/>
        </w:rPr>
        <w:t>原则上针对一个法人主体，只扶持一个电竞俱乐部。</w:t>
      </w:r>
    </w:p>
    <w:p w14:paraId="5B953B14">
      <w:pPr>
        <w:widowControl/>
        <w:spacing w:line="560" w:lineRule="exact"/>
        <w:ind w:firstLine="643" w:firstLineChars="20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b/>
          <w:bCs/>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s="仿宋"/>
          <w:b/>
          <w:bCs/>
          <w:color w:val="000000" w:themeColor="text1"/>
          <w:sz w:val="32"/>
          <w:szCs w:val="32"/>
          <w:highlight w:val="none"/>
          <w14:textFill>
            <w14:solidFill>
              <w14:schemeClr w14:val="tx1"/>
            </w14:solidFill>
          </w14:textFill>
        </w:rPr>
        <w:t>电竞俱乐部运营。</w:t>
      </w:r>
      <w:r>
        <w:rPr>
          <w:rFonts w:hint="eastAsia" w:ascii="仿宋_GB2312" w:hAnsi="仿宋_GB2312" w:eastAsia="仿宋_GB2312" w:cs="仿宋_GB2312"/>
          <w:color w:val="000000" w:themeColor="text1"/>
          <w:sz w:val="32"/>
          <w:szCs w:val="32"/>
          <w:highlight w:val="none"/>
          <w14:textFill>
            <w14:solidFill>
              <w14:schemeClr w14:val="tx1"/>
            </w14:solidFill>
          </w14:textFill>
        </w:rPr>
        <w:t>对落户南山的国内外顶级电竞俱乐部，按照实际培训和运动员身心康复费、商业保险费给予50%的补贴，每个俱乐部每年不超过50万元。</w:t>
      </w:r>
    </w:p>
    <w:p w14:paraId="584EF33B">
      <w:pPr>
        <w:pStyle w:val="18"/>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14:paraId="673BC495">
      <w:pPr>
        <w:pStyle w:val="18"/>
        <w:tabs>
          <w:tab w:val="left" w:pos="0"/>
        </w:tabs>
        <w:spacing w:line="560" w:lineRule="exact"/>
        <w:ind w:firstLine="64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 w:eastAsia="仿宋_GB2312" w:cs="Times New Roman"/>
          <w:color w:val="auto"/>
          <w:sz w:val="32"/>
          <w:szCs w:val="32"/>
          <w:highlight w:val="none"/>
          <w:lang w:val="en-US" w:eastAsia="zh-CN"/>
        </w:rPr>
        <w:t>1</w:t>
      </w:r>
      <w:r>
        <w:rPr>
          <w:rFonts w:hint="eastAsia" w:ascii="仿宋_GB2312" w:hAnsi="仿宋" w:eastAsia="仿宋_GB2312" w:cs="Times New Roman"/>
          <w:color w:val="auto"/>
          <w:sz w:val="32"/>
          <w:szCs w:val="32"/>
          <w:highlight w:val="none"/>
        </w:rPr>
        <w:t>）</w:t>
      </w:r>
      <w:r>
        <w:rPr>
          <w:rFonts w:hint="eastAsia" w:ascii="仿宋_GB2312" w:hAnsi="仿宋" w:eastAsia="仿宋_GB2312" w:cs="Times New Roman"/>
          <w:color w:val="000000"/>
          <w:sz w:val="32"/>
          <w:szCs w:val="32"/>
          <w:highlight w:val="none"/>
          <w:lang w:val="en-US" w:eastAsia="zh-CN"/>
        </w:rPr>
        <w:t>经南山区文化广电旅游体育局备案的电竞俱乐部，</w:t>
      </w:r>
      <w:r>
        <w:rPr>
          <w:rFonts w:hint="eastAsia" w:ascii="仿宋_GB2312" w:hAnsi="仿宋" w:eastAsia="仿宋_GB2312" w:cs="Times New Roman"/>
          <w:color w:val="auto"/>
          <w:sz w:val="32"/>
          <w:szCs w:val="32"/>
          <w:highlight w:val="none"/>
          <w:lang w:val="en-US" w:eastAsia="zh-CN"/>
        </w:rPr>
        <w:t>补贴范围为上年度</w:t>
      </w:r>
      <w:r>
        <w:rPr>
          <w:rFonts w:hint="eastAsia" w:ascii="仿宋_GB2312" w:hAnsi="仿宋_GB2312" w:eastAsia="仿宋_GB2312" w:cs="仿宋_GB2312"/>
          <w:color w:val="auto"/>
          <w:sz w:val="32"/>
          <w:szCs w:val="32"/>
          <w:highlight w:val="none"/>
        </w:rPr>
        <w:t>培训费、身心康复费、商业保险费</w:t>
      </w:r>
      <w:r>
        <w:rPr>
          <w:rFonts w:hint="eastAsia" w:ascii="仿宋_GB2312" w:hAnsi="仿宋_GB2312" w:eastAsia="仿宋_GB2312" w:cs="仿宋_GB2312"/>
          <w:color w:val="auto"/>
          <w:sz w:val="32"/>
          <w:szCs w:val="32"/>
          <w:highlight w:val="none"/>
          <w:lang w:val="en-US" w:eastAsia="zh-CN"/>
        </w:rPr>
        <w:t>花费。</w:t>
      </w:r>
    </w:p>
    <w:p w14:paraId="73039871">
      <w:pPr>
        <w:pStyle w:val="18"/>
        <w:tabs>
          <w:tab w:val="left" w:pos="0"/>
        </w:tabs>
        <w:spacing w:line="560" w:lineRule="exact"/>
        <w:ind w:firstLine="640"/>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2</w:t>
      </w:r>
      <w:r>
        <w:rPr>
          <w:rFonts w:hint="eastAsia" w:ascii="仿宋_GB2312" w:hAnsi="仿宋" w:eastAsia="仿宋_GB2312" w:cs="Times New Roman"/>
          <w:color w:val="000000"/>
          <w:sz w:val="32"/>
          <w:szCs w:val="32"/>
          <w:highlight w:val="none"/>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按照培训费、身心康复费、商业保险费的总额给予50%的补贴，每个俱乐部每年不超过50万元。</w:t>
      </w:r>
      <w:r>
        <w:rPr>
          <w:rFonts w:hint="eastAsia" w:ascii="仿宋_GB2312" w:hAnsi="仿宋" w:eastAsia="仿宋_GB2312" w:cs="Times New Roman"/>
          <w:color w:val="000000"/>
          <w:sz w:val="32"/>
          <w:szCs w:val="32"/>
          <w:highlight w:val="none"/>
        </w:rPr>
        <w:t>电竞培训、身心康复、商业保险机构须为南山企业。</w:t>
      </w:r>
    </w:p>
    <w:p w14:paraId="5592F8CF">
      <w:pPr>
        <w:widowControl/>
        <w:spacing w:line="560" w:lineRule="exact"/>
        <w:ind w:firstLine="643" w:firstLineChars="200"/>
        <w:rPr>
          <w:rFonts w:hint="eastAsia"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b/>
          <w:bCs/>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s="仿宋"/>
          <w:b/>
          <w:bCs/>
          <w:color w:val="000000" w:themeColor="text1"/>
          <w:sz w:val="32"/>
          <w:szCs w:val="32"/>
          <w:highlight w:val="none"/>
          <w14:textFill>
            <w14:solidFill>
              <w14:schemeClr w14:val="tx1"/>
            </w14:solidFill>
          </w14:textFill>
        </w:rPr>
        <w:t>电竞俱乐部参赛获奖。</w:t>
      </w:r>
      <w:r>
        <w:rPr>
          <w:rFonts w:hint="eastAsia" w:ascii="仿宋_GB2312" w:hAnsi="仿宋" w:eastAsia="仿宋_GB2312" w:cs="仿宋"/>
          <w:color w:val="000000" w:themeColor="text1"/>
          <w:sz w:val="32"/>
          <w:szCs w:val="32"/>
          <w:highlight w:val="none"/>
          <w14:textFill>
            <w14:solidFill>
              <w14:schemeClr w14:val="tx1"/>
            </w14:solidFill>
          </w14:textFill>
        </w:rPr>
        <w:t>对电竞俱乐部或俱乐部成员参加国际性/全国顶级职业杯赛/联赛，或政府举办的高水平、综合性运动会电竞赛事，按所获比赛名次给予俱乐部不超过100万元奖励，每个俱乐部每年不超过200万元。</w:t>
      </w:r>
    </w:p>
    <w:p w14:paraId="32D08C09">
      <w:pPr>
        <w:pStyle w:val="18"/>
        <w:tabs>
          <w:tab w:val="left" w:pos="0"/>
        </w:tabs>
        <w:spacing w:line="560" w:lineRule="exact"/>
        <w:ind w:firstLine="64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14:paraId="66393EF8">
      <w:pPr>
        <w:pStyle w:val="18"/>
        <w:tabs>
          <w:tab w:val="left" w:pos="0"/>
        </w:tabs>
        <w:spacing w:line="560" w:lineRule="exact"/>
        <w:ind w:firstLine="640"/>
        <w:rPr>
          <w:rFonts w:hint="eastAsia" w:ascii="仿宋_GB2312" w:hAnsi="仿宋" w:eastAsia="仿宋_GB2312" w:cs="Times New Roman"/>
          <w:color w:val="000000"/>
          <w:sz w:val="32"/>
          <w:szCs w:val="32"/>
          <w:highlight w:val="none"/>
          <w:lang w:eastAsia="zh-CN"/>
        </w:rPr>
      </w:pPr>
      <w:r>
        <w:rPr>
          <w:rFonts w:hint="eastAsia" w:ascii="仿宋_GB2312" w:hAnsi="仿宋" w:eastAsia="仿宋_GB2312" w:cs="Times New Roman"/>
          <w:color w:val="000000"/>
          <w:sz w:val="32"/>
          <w:szCs w:val="32"/>
          <w:highlight w:val="none"/>
        </w:rPr>
        <w:t>1）</w:t>
      </w:r>
      <w:r>
        <w:rPr>
          <w:rFonts w:hint="eastAsia" w:ascii="仿宋_GB2312" w:hAnsi="仿宋" w:eastAsia="仿宋_GB2312" w:cs="Times New Roman"/>
          <w:color w:val="000000"/>
          <w:sz w:val="32"/>
          <w:szCs w:val="32"/>
          <w:highlight w:val="none"/>
          <w:lang w:val="en-US" w:eastAsia="zh-CN"/>
        </w:rPr>
        <w:t>经南山区文化广电旅游体育局备案的电竞俱乐部，</w:t>
      </w:r>
      <w:r>
        <w:rPr>
          <w:rFonts w:hint="eastAsia" w:ascii="仿宋_GB2312" w:hAnsi="仿宋" w:eastAsia="仿宋_GB2312" w:cs="Times New Roman"/>
          <w:color w:val="000000"/>
          <w:sz w:val="32"/>
          <w:szCs w:val="32"/>
          <w:highlight w:val="none"/>
        </w:rPr>
        <w:t>参加</w:t>
      </w:r>
      <w:r>
        <w:rPr>
          <w:rFonts w:hint="eastAsia" w:ascii="仿宋_GB2312" w:hAnsi="仿宋" w:eastAsia="仿宋_GB2312" w:cs="Times New Roman"/>
          <w:color w:val="000000"/>
          <w:sz w:val="32"/>
          <w:szCs w:val="32"/>
          <w:highlight w:val="none"/>
          <w:lang w:val="en-US" w:eastAsia="zh-CN"/>
        </w:rPr>
        <w:t>一类联盟</w:t>
      </w:r>
      <w:r>
        <w:rPr>
          <w:rFonts w:hint="eastAsia" w:ascii="仿宋_GB2312" w:hAnsi="仿宋" w:eastAsia="仿宋_GB2312" w:cs="Times New Roman"/>
          <w:color w:val="000000"/>
          <w:sz w:val="32"/>
          <w:szCs w:val="32"/>
          <w:highlight w:val="none"/>
        </w:rPr>
        <w:t>国际性职业赛事、全国职业赛事获得冠、亚、季军</w:t>
      </w:r>
      <w:r>
        <w:rPr>
          <w:rFonts w:hint="eastAsia" w:ascii="仿宋_GB2312" w:hAnsi="仿宋" w:eastAsia="仿宋_GB2312" w:cs="Times New Roman"/>
          <w:color w:val="000000"/>
          <w:sz w:val="32"/>
          <w:szCs w:val="32"/>
          <w:highlight w:val="none"/>
          <w:lang w:val="en-US" w:eastAsia="zh-CN"/>
        </w:rPr>
        <w:t>的</w:t>
      </w:r>
      <w:r>
        <w:rPr>
          <w:rFonts w:hint="eastAsia" w:ascii="仿宋_GB2312" w:hAnsi="仿宋" w:eastAsia="仿宋_GB2312" w:cs="Times New Roman"/>
          <w:color w:val="000000"/>
          <w:sz w:val="32"/>
          <w:szCs w:val="32"/>
          <w:highlight w:val="none"/>
        </w:rPr>
        <w:t>，分别给予50万元、30万元、20万元奖励</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rPr>
        <w:t>参加</w:t>
      </w:r>
      <w:r>
        <w:rPr>
          <w:rFonts w:hint="eastAsia" w:ascii="仿宋_GB2312" w:hAnsi="仿宋" w:eastAsia="仿宋_GB2312" w:cs="Times New Roman"/>
          <w:color w:val="000000"/>
          <w:sz w:val="32"/>
          <w:szCs w:val="32"/>
          <w:highlight w:val="none"/>
          <w:lang w:val="en-US" w:eastAsia="zh-CN"/>
        </w:rPr>
        <w:t>二类联盟</w:t>
      </w:r>
      <w:r>
        <w:rPr>
          <w:rFonts w:hint="eastAsia" w:ascii="仿宋_GB2312" w:hAnsi="仿宋" w:eastAsia="仿宋_GB2312" w:cs="Times New Roman"/>
          <w:color w:val="000000"/>
          <w:sz w:val="32"/>
          <w:szCs w:val="32"/>
          <w:highlight w:val="none"/>
        </w:rPr>
        <w:t>国际性职业赛事、全国职业赛事获得冠、亚、季军</w:t>
      </w:r>
      <w:r>
        <w:rPr>
          <w:rFonts w:hint="eastAsia" w:ascii="仿宋_GB2312" w:hAnsi="仿宋" w:eastAsia="仿宋_GB2312" w:cs="Times New Roman"/>
          <w:color w:val="000000"/>
          <w:sz w:val="32"/>
          <w:szCs w:val="32"/>
          <w:highlight w:val="none"/>
          <w:lang w:val="en-US" w:eastAsia="zh-CN"/>
        </w:rPr>
        <w:t>的</w:t>
      </w:r>
      <w:r>
        <w:rPr>
          <w:rFonts w:hint="eastAsia" w:ascii="仿宋_GB2312" w:hAnsi="仿宋" w:eastAsia="仿宋_GB2312" w:cs="Times New Roman"/>
          <w:color w:val="000000"/>
          <w:sz w:val="32"/>
          <w:szCs w:val="32"/>
          <w:highlight w:val="none"/>
        </w:rPr>
        <w:t>，分别给予</w:t>
      </w:r>
      <w:r>
        <w:rPr>
          <w:rFonts w:hint="eastAsia" w:ascii="仿宋_GB2312" w:hAnsi="仿宋" w:eastAsia="仿宋_GB2312" w:cs="Times New Roman"/>
          <w:color w:val="000000"/>
          <w:sz w:val="32"/>
          <w:szCs w:val="32"/>
          <w:highlight w:val="none"/>
          <w:lang w:val="en-US" w:eastAsia="zh-CN"/>
        </w:rPr>
        <w:t>30</w:t>
      </w:r>
      <w:r>
        <w:rPr>
          <w:rFonts w:hint="eastAsia" w:ascii="仿宋_GB2312" w:hAnsi="仿宋" w:eastAsia="仿宋_GB2312" w:cs="Times New Roman"/>
          <w:color w:val="000000"/>
          <w:sz w:val="32"/>
          <w:szCs w:val="32"/>
          <w:highlight w:val="none"/>
        </w:rPr>
        <w:t>万元、</w:t>
      </w:r>
      <w:r>
        <w:rPr>
          <w:rFonts w:hint="eastAsia" w:ascii="仿宋_GB2312" w:hAnsi="仿宋" w:eastAsia="仿宋_GB2312" w:cs="Times New Roman"/>
          <w:color w:val="000000"/>
          <w:sz w:val="32"/>
          <w:szCs w:val="32"/>
          <w:highlight w:val="none"/>
          <w:lang w:val="en-US" w:eastAsia="zh-CN"/>
        </w:rPr>
        <w:t>2</w:t>
      </w:r>
      <w:r>
        <w:rPr>
          <w:rFonts w:hint="eastAsia" w:ascii="仿宋_GB2312" w:hAnsi="仿宋" w:eastAsia="仿宋_GB2312" w:cs="Times New Roman"/>
          <w:color w:val="000000"/>
          <w:sz w:val="32"/>
          <w:szCs w:val="32"/>
          <w:highlight w:val="none"/>
        </w:rPr>
        <w:t>0万元、</w:t>
      </w:r>
      <w:r>
        <w:rPr>
          <w:rFonts w:hint="eastAsia" w:ascii="仿宋_GB2312" w:hAnsi="仿宋" w:eastAsia="仿宋_GB2312" w:cs="Times New Roman"/>
          <w:color w:val="000000"/>
          <w:sz w:val="32"/>
          <w:szCs w:val="32"/>
          <w:highlight w:val="none"/>
          <w:lang w:val="en-US" w:eastAsia="zh-CN"/>
        </w:rPr>
        <w:t>1</w:t>
      </w:r>
      <w:r>
        <w:rPr>
          <w:rFonts w:hint="eastAsia" w:ascii="仿宋_GB2312" w:hAnsi="仿宋" w:eastAsia="仿宋_GB2312" w:cs="Times New Roman"/>
          <w:color w:val="000000"/>
          <w:sz w:val="32"/>
          <w:szCs w:val="32"/>
          <w:highlight w:val="none"/>
        </w:rPr>
        <w:t>0万元奖励</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lang w:val="en-US" w:eastAsia="zh-CN"/>
        </w:rPr>
        <w:t>参赛获奖时间须在备案后</w:t>
      </w:r>
      <w:r>
        <w:rPr>
          <w:rFonts w:hint="eastAsia" w:ascii="仿宋_GB2312" w:hAnsi="仿宋" w:eastAsia="仿宋_GB2312" w:cs="Times New Roman"/>
          <w:color w:val="000000"/>
          <w:sz w:val="32"/>
          <w:szCs w:val="32"/>
          <w:highlight w:val="none"/>
          <w:lang w:eastAsia="zh-CN"/>
        </w:rPr>
        <w:t>）。</w:t>
      </w:r>
    </w:p>
    <w:p w14:paraId="7B9E0060">
      <w:pPr>
        <w:pStyle w:val="18"/>
        <w:tabs>
          <w:tab w:val="left" w:pos="0"/>
        </w:tabs>
        <w:spacing w:line="560" w:lineRule="exact"/>
        <w:ind w:firstLine="640"/>
        <w:rPr>
          <w:rFonts w:hint="eastAsia" w:ascii="仿宋_GB2312" w:hAnsi="仿宋_GB2312" w:eastAsia="仿宋_GB2312" w:cs="仿宋_GB2312"/>
          <w:color w:val="000000"/>
          <w:sz w:val="48"/>
          <w:szCs w:val="48"/>
          <w:highlight w:val="none"/>
        </w:rPr>
      </w:pPr>
      <w:r>
        <w:rPr>
          <w:rFonts w:hint="eastAsia" w:ascii="仿宋_GB2312" w:hAnsi="仿宋" w:eastAsia="仿宋_GB2312" w:cs="Times New Roman"/>
          <w:color w:val="000000"/>
          <w:sz w:val="32"/>
          <w:szCs w:val="32"/>
          <w:highlight w:val="none"/>
        </w:rPr>
        <w:t>2）</w:t>
      </w:r>
      <w:r>
        <w:rPr>
          <w:rFonts w:hint="eastAsia" w:ascii="仿宋_GB2312" w:hAnsi="仿宋_GB2312" w:eastAsia="仿宋_GB2312" w:cs="仿宋_GB2312"/>
          <w:color w:val="000000"/>
          <w:sz w:val="32"/>
          <w:szCs w:val="48"/>
          <w:highlight w:val="none"/>
        </w:rPr>
        <w:t>电竞俱乐部的运动员参加亚运会电竞赛事，获得冠、亚、季军，分别给予运动员所在的电竞俱乐部100万元、80万元、50万元奖励。</w:t>
      </w:r>
    </w:p>
    <w:p w14:paraId="25F6D9C8">
      <w:pPr>
        <w:widowControl/>
        <w:spacing w:line="560" w:lineRule="exact"/>
        <w:ind w:firstLine="640" w:firstLineChars="200"/>
        <w:rPr>
          <w:rFonts w:hint="eastAsia" w:ascii="仿宋_GB2312" w:hAnsi="仿宋" w:eastAsia="仿宋_GB2312"/>
          <w:color w:val="000000"/>
          <w:sz w:val="32"/>
          <w:szCs w:val="32"/>
          <w:highlight w:val="none"/>
          <w:lang w:val="en-US" w:eastAsia="zh-CN"/>
        </w:rPr>
      </w:pP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lang w:val="en-US" w:eastAsia="zh-CN"/>
        </w:rPr>
        <w:t>以上两项奖励合计，</w:t>
      </w:r>
      <w:r>
        <w:rPr>
          <w:rFonts w:hint="eastAsia" w:ascii="仿宋_GB2312" w:hAnsi="仿宋" w:eastAsia="仿宋_GB2312" w:cs="仿宋"/>
          <w:color w:val="000000" w:themeColor="text1"/>
          <w:sz w:val="32"/>
          <w:szCs w:val="32"/>
          <w:highlight w:val="none"/>
          <w14:textFill>
            <w14:solidFill>
              <w14:schemeClr w14:val="tx1"/>
            </w14:solidFill>
          </w14:textFill>
        </w:rPr>
        <w:t>每个俱乐部每年不超过200万元。</w:t>
      </w:r>
    </w:p>
    <w:p w14:paraId="48695FE7">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lang w:val="en-US" w:eastAsia="zh-CN"/>
          <w14:textFill>
            <w14:solidFill>
              <w14:schemeClr w14:val="tx1"/>
            </w14:solidFill>
          </w14:textFill>
        </w:rPr>
        <w:t>五</w:t>
      </w:r>
      <w:r>
        <w:rPr>
          <w:rFonts w:hint="eastAsia" w:hAnsi="黑体" w:eastAsia="黑体"/>
          <w:color w:val="000000" w:themeColor="text1"/>
          <w:sz w:val="32"/>
          <w:szCs w:val="32"/>
          <w:highlight w:val="none"/>
          <w14:textFill>
            <w14:solidFill>
              <w14:schemeClr w14:val="tx1"/>
            </w14:solidFill>
          </w14:textFill>
        </w:rPr>
        <w:t>、资助方式</w:t>
      </w:r>
    </w:p>
    <w:p w14:paraId="019FD0D9">
      <w:pPr>
        <w:widowControl/>
        <w:adjustRightInd w:val="0"/>
        <w:snapToGrid w:val="0"/>
        <w:spacing w:line="560" w:lineRule="exact"/>
        <w:ind w:firstLine="537" w:firstLineChars="168"/>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本资助计划属核准类，实行单位申报、材料审核、社会公示、政府决策的原则，采取无偿资助方式，受资助项目无需验收。</w:t>
      </w:r>
    </w:p>
    <w:p w14:paraId="30579AA0">
      <w:pPr>
        <w:spacing w:after="0" w:line="560" w:lineRule="exact"/>
        <w:ind w:firstLine="640" w:firstLineChars="200"/>
        <w:contextualSpacing/>
        <w:rPr>
          <w:rFonts w:hAnsi="黑体" w:eastAsia="黑体"/>
          <w:color w:val="000000"/>
          <w:sz w:val="32"/>
          <w:szCs w:val="32"/>
          <w:highlight w:val="none"/>
        </w:rPr>
      </w:pPr>
      <w:r>
        <w:rPr>
          <w:rFonts w:hint="eastAsia" w:hAnsi="黑体" w:eastAsia="黑体"/>
          <w:color w:val="000000"/>
          <w:sz w:val="32"/>
          <w:szCs w:val="32"/>
          <w:highlight w:val="none"/>
          <w:lang w:eastAsia="zh-CN"/>
        </w:rPr>
        <w:t>六</w:t>
      </w:r>
      <w:r>
        <w:rPr>
          <w:rFonts w:hint="eastAsia" w:hAnsi="黑体" w:eastAsia="黑体"/>
          <w:color w:val="000000"/>
          <w:sz w:val="32"/>
          <w:szCs w:val="32"/>
          <w:highlight w:val="none"/>
        </w:rPr>
        <w:t>、</w:t>
      </w:r>
      <w:r>
        <w:rPr>
          <w:rFonts w:hint="eastAsia" w:ascii="黑体" w:hAnsi="黑体" w:eastAsia="黑体"/>
          <w:bCs/>
          <w:kern w:val="2"/>
          <w:sz w:val="32"/>
          <w:szCs w:val="32"/>
          <w:highlight w:val="none"/>
          <w:lang w:eastAsia="zh-CN" w:bidi="ar-SA"/>
        </w:rPr>
        <w:t>办理流程</w:t>
      </w:r>
    </w:p>
    <w:p w14:paraId="01354FAB">
      <w:pPr>
        <w:spacing w:after="0" w:line="560" w:lineRule="exact"/>
        <w:ind w:firstLine="640" w:firstLineChars="200"/>
        <w:contextualSpacing/>
        <w:jc w:val="both"/>
        <w:rPr>
          <w:rFonts w:ascii="仿宋_GB2312" w:eastAsia="仿宋_GB2312"/>
          <w:sz w:val="32"/>
          <w:szCs w:val="32"/>
          <w:highlight w:val="none"/>
          <w:lang w:eastAsia="zh-CN"/>
        </w:rPr>
      </w:pPr>
      <w:r>
        <w:rPr>
          <w:rFonts w:hint="eastAsia" w:ascii="仿宋_GB2312" w:eastAsia="仿宋_GB2312"/>
          <w:sz w:val="32"/>
          <w:szCs w:val="32"/>
          <w:highlight w:val="none"/>
          <w:lang w:eastAsia="zh-CN"/>
        </w:rPr>
        <w:t>（一）申报</w:t>
      </w:r>
      <w:r>
        <w:rPr>
          <w:rFonts w:ascii="仿宋_GB2312" w:hAnsi="ˎ̥" w:eastAsia="仿宋_GB2312" w:cs="宋体"/>
          <w:sz w:val="32"/>
          <w:szCs w:val="32"/>
          <w:highlight w:val="none"/>
          <w:lang w:eastAsia="zh-CN" w:bidi="ar-SA"/>
        </w:rPr>
        <w:t>主体</w:t>
      </w:r>
      <w:r>
        <w:rPr>
          <w:rFonts w:hint="eastAsia" w:ascii="仿宋_GB2312" w:eastAsia="仿宋_GB2312"/>
          <w:sz w:val="32"/>
          <w:szCs w:val="32"/>
          <w:highlight w:val="none"/>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），网上提交项目申报材料；</w:t>
      </w:r>
    </w:p>
    <w:p w14:paraId="7A9A1551">
      <w:pPr>
        <w:spacing w:after="0" w:line="560" w:lineRule="exact"/>
        <w:ind w:firstLine="640" w:firstLineChars="200"/>
        <w:contextualSpacing/>
        <w:jc w:val="both"/>
        <w:rPr>
          <w:rFonts w:ascii="仿宋_GB2312" w:eastAsia="仿宋_GB2312"/>
          <w:sz w:val="32"/>
          <w:szCs w:val="32"/>
          <w:highlight w:val="none"/>
          <w:lang w:eastAsia="zh-CN"/>
        </w:rPr>
      </w:pPr>
      <w:r>
        <w:rPr>
          <w:rFonts w:hint="eastAsia" w:ascii="仿宋_GB2312" w:eastAsia="仿宋_GB2312"/>
          <w:sz w:val="32"/>
          <w:szCs w:val="32"/>
          <w:highlight w:val="none"/>
          <w:lang w:eastAsia="zh-CN"/>
        </w:rPr>
        <w:t>（二）区企业发展服务中心受理</w:t>
      </w:r>
      <w:r>
        <w:rPr>
          <w:rFonts w:hint="eastAsia" w:ascii="仿宋_GB2312" w:eastAsia="仿宋_GB2312"/>
          <w:kern w:val="2"/>
          <w:sz w:val="32"/>
          <w:szCs w:val="32"/>
          <w:highlight w:val="none"/>
          <w:lang w:eastAsia="zh-CN"/>
        </w:rPr>
        <w:t>申请，对申报材料进行形式性审核</w:t>
      </w:r>
      <w:r>
        <w:rPr>
          <w:rFonts w:hint="eastAsia" w:ascii="仿宋_GB2312" w:eastAsia="仿宋_GB2312"/>
          <w:sz w:val="32"/>
          <w:szCs w:val="32"/>
          <w:highlight w:val="none"/>
          <w:lang w:eastAsia="zh-CN"/>
        </w:rPr>
        <w:t>，区</w:t>
      </w:r>
      <w:r>
        <w:rPr>
          <w:rFonts w:hint="eastAsia" w:ascii="仿宋_GB2312" w:eastAsia="仿宋_GB2312"/>
          <w:sz w:val="32"/>
          <w:szCs w:val="32"/>
          <w:highlight w:val="none"/>
          <w:lang w:val="en-US" w:eastAsia="zh-CN"/>
        </w:rPr>
        <w:t>文化广电旅游体育</w:t>
      </w:r>
      <w:r>
        <w:rPr>
          <w:rFonts w:hint="eastAsia" w:ascii="仿宋_GB2312" w:eastAsia="仿宋_GB2312"/>
          <w:sz w:val="32"/>
          <w:szCs w:val="32"/>
          <w:highlight w:val="none"/>
          <w:lang w:eastAsia="zh-CN"/>
        </w:rPr>
        <w:t xml:space="preserve">局复审项目申报材料； </w:t>
      </w:r>
    </w:p>
    <w:p w14:paraId="79B7B8F7">
      <w:pPr>
        <w:spacing w:after="0" w:line="560" w:lineRule="exact"/>
        <w:ind w:firstLine="640" w:firstLineChars="200"/>
        <w:contextualSpacing/>
        <w:jc w:val="both"/>
        <w:rPr>
          <w:rFonts w:ascii="仿宋_GB2312" w:eastAsia="仿宋_GB2312"/>
          <w:sz w:val="32"/>
          <w:szCs w:val="32"/>
          <w:highlight w:val="none"/>
          <w:lang w:eastAsia="zh-CN"/>
        </w:rPr>
      </w:pPr>
      <w:r>
        <w:rPr>
          <w:rFonts w:hint="eastAsia" w:ascii="仿宋_GB2312" w:eastAsia="仿宋_GB2312"/>
          <w:sz w:val="32"/>
          <w:szCs w:val="32"/>
          <w:highlight w:val="none"/>
          <w:lang w:eastAsia="zh-CN"/>
        </w:rPr>
        <w:t>（三）区</w:t>
      </w:r>
      <w:r>
        <w:rPr>
          <w:rFonts w:hint="eastAsia" w:ascii="仿宋_GB2312" w:eastAsia="仿宋_GB2312"/>
          <w:sz w:val="32"/>
          <w:szCs w:val="32"/>
          <w:highlight w:val="none"/>
          <w:lang w:val="en-US" w:eastAsia="zh-CN"/>
        </w:rPr>
        <w:t>文化广电旅游体育</w:t>
      </w:r>
      <w:r>
        <w:rPr>
          <w:rFonts w:hint="eastAsia" w:ascii="仿宋_GB2312" w:eastAsia="仿宋_GB2312"/>
          <w:sz w:val="32"/>
          <w:szCs w:val="32"/>
          <w:highlight w:val="none"/>
          <w:lang w:eastAsia="zh-CN"/>
        </w:rPr>
        <w:t>局拟定资助计划；</w:t>
      </w:r>
    </w:p>
    <w:p w14:paraId="6F0FAE44">
      <w:pPr>
        <w:spacing w:after="0" w:line="560" w:lineRule="exact"/>
        <w:ind w:firstLine="640" w:firstLineChars="200"/>
        <w:contextualSpacing/>
        <w:jc w:val="both"/>
        <w:rPr>
          <w:rFonts w:ascii="仿宋_GB2312" w:eastAsia="仿宋_GB2312"/>
          <w:sz w:val="32"/>
          <w:szCs w:val="32"/>
          <w:highlight w:val="none"/>
          <w:lang w:eastAsia="zh-CN"/>
        </w:rPr>
      </w:pPr>
      <w:r>
        <w:rPr>
          <w:rFonts w:hint="eastAsia" w:ascii="仿宋_GB2312" w:eastAsia="仿宋_GB2312"/>
          <w:sz w:val="32"/>
          <w:szCs w:val="32"/>
          <w:highlight w:val="none"/>
          <w:lang w:eastAsia="zh-CN"/>
        </w:rPr>
        <w:t>（四）区统计局对申报主体的数据申报情况进行核查，</w:t>
      </w:r>
      <w:r>
        <w:rPr>
          <w:rFonts w:ascii="仿宋_GB2312" w:eastAsia="仿宋_GB2312"/>
          <w:sz w:val="32"/>
          <w:szCs w:val="32"/>
          <w:highlight w:val="none"/>
          <w:lang w:eastAsia="zh-CN"/>
        </w:rPr>
        <w:t>区企业发展服务中心组织对申报</w:t>
      </w:r>
      <w:r>
        <w:rPr>
          <w:rFonts w:hint="eastAsia" w:ascii="仿宋_GB2312" w:eastAsia="仿宋_GB2312"/>
          <w:sz w:val="32"/>
          <w:szCs w:val="32"/>
          <w:highlight w:val="none"/>
          <w:lang w:eastAsia="zh-CN"/>
        </w:rPr>
        <w:t>主体</w:t>
      </w:r>
      <w:r>
        <w:rPr>
          <w:rFonts w:ascii="仿宋_GB2312" w:eastAsia="仿宋_GB2312"/>
          <w:sz w:val="32"/>
          <w:szCs w:val="32"/>
          <w:highlight w:val="none"/>
          <w:lang w:eastAsia="zh-CN"/>
        </w:rPr>
        <w:t>的</w:t>
      </w:r>
      <w:r>
        <w:rPr>
          <w:rFonts w:hint="eastAsia" w:ascii="仿宋_GB2312" w:eastAsia="仿宋_GB2312"/>
          <w:sz w:val="32"/>
          <w:szCs w:val="32"/>
          <w:highlight w:val="none"/>
          <w:lang w:eastAsia="zh-CN"/>
        </w:rPr>
        <w:t>在地经营</w:t>
      </w:r>
      <w:r>
        <w:rPr>
          <w:rFonts w:ascii="仿宋_GB2312" w:eastAsia="仿宋_GB2312"/>
          <w:sz w:val="32"/>
          <w:szCs w:val="32"/>
          <w:highlight w:val="none"/>
          <w:lang w:eastAsia="zh-CN"/>
        </w:rPr>
        <w:t>情况</w:t>
      </w:r>
      <w:r>
        <w:rPr>
          <w:rFonts w:hint="eastAsia" w:ascii="仿宋_GB2312" w:eastAsia="仿宋_GB2312"/>
          <w:sz w:val="32"/>
          <w:szCs w:val="32"/>
          <w:highlight w:val="none"/>
          <w:lang w:eastAsia="zh-CN"/>
        </w:rPr>
        <w:t>、</w:t>
      </w:r>
      <w:r>
        <w:rPr>
          <w:rFonts w:ascii="仿宋_GB2312" w:eastAsia="仿宋_GB2312"/>
          <w:sz w:val="32"/>
          <w:szCs w:val="32"/>
          <w:highlight w:val="none"/>
          <w:lang w:eastAsia="zh-CN"/>
        </w:rPr>
        <w:t>不良信用记录等情况进行核查</w:t>
      </w:r>
      <w:r>
        <w:rPr>
          <w:rFonts w:hint="eastAsia" w:ascii="仿宋_GB2312" w:eastAsia="仿宋_GB2312"/>
          <w:sz w:val="32"/>
          <w:szCs w:val="32"/>
          <w:highlight w:val="none"/>
          <w:lang w:eastAsia="zh-CN"/>
        </w:rPr>
        <w:t>；</w:t>
      </w:r>
    </w:p>
    <w:p w14:paraId="6E3694FF">
      <w:pPr>
        <w:spacing w:after="0" w:line="560" w:lineRule="exact"/>
        <w:ind w:firstLine="640" w:firstLineChars="200"/>
        <w:contextualSpacing/>
        <w:jc w:val="both"/>
        <w:rPr>
          <w:rFonts w:ascii="仿宋_GB2312" w:eastAsia="仿宋_GB2312"/>
          <w:sz w:val="32"/>
          <w:szCs w:val="32"/>
          <w:highlight w:val="none"/>
          <w:lang w:eastAsia="zh-Hans"/>
        </w:rPr>
      </w:pPr>
      <w:r>
        <w:rPr>
          <w:rFonts w:hint="eastAsia" w:ascii="仿宋_GB2312" w:eastAsia="仿宋_GB2312"/>
          <w:sz w:val="32"/>
          <w:szCs w:val="32"/>
          <w:highlight w:val="none"/>
          <w:lang w:eastAsia="zh-Hans"/>
        </w:rPr>
        <w:t>（</w:t>
      </w:r>
      <w:r>
        <w:rPr>
          <w:rFonts w:hint="eastAsia" w:ascii="仿宋_GB2312" w:eastAsia="仿宋_GB2312"/>
          <w:sz w:val="32"/>
          <w:szCs w:val="32"/>
          <w:highlight w:val="none"/>
          <w:lang w:eastAsia="zh-CN"/>
        </w:rPr>
        <w:t>五</w:t>
      </w:r>
      <w:r>
        <w:rPr>
          <w:rFonts w:hint="eastAsia" w:ascii="仿宋_GB2312" w:eastAsia="仿宋_GB2312"/>
          <w:sz w:val="32"/>
          <w:szCs w:val="32"/>
          <w:highlight w:val="none"/>
          <w:lang w:eastAsia="zh-Hans"/>
        </w:rPr>
        <w:t>）</w:t>
      </w:r>
      <w:r>
        <w:rPr>
          <w:rFonts w:hint="eastAsia" w:ascii="仿宋_GB2312" w:hAnsi="仿宋_GB2312" w:eastAsia="仿宋_GB2312" w:cs="仿宋_GB2312"/>
          <w:sz w:val="32"/>
          <w:szCs w:val="32"/>
          <w:highlight w:val="none"/>
          <w:lang w:eastAsia="zh-CN"/>
        </w:rPr>
        <w:t>区企业</w:t>
      </w:r>
      <w:r>
        <w:rPr>
          <w:rFonts w:hint="eastAsia" w:ascii="仿宋_GB2312" w:eastAsia="仿宋_GB2312"/>
          <w:sz w:val="32"/>
          <w:szCs w:val="32"/>
          <w:highlight w:val="none"/>
          <w:lang w:eastAsia="zh-CN"/>
        </w:rPr>
        <w:t>发展</w:t>
      </w:r>
      <w:r>
        <w:rPr>
          <w:rFonts w:hint="eastAsia" w:ascii="仿宋_GB2312" w:hAnsi="仿宋_GB2312" w:eastAsia="仿宋_GB2312" w:cs="仿宋_GB2312"/>
          <w:sz w:val="32"/>
          <w:szCs w:val="32"/>
          <w:highlight w:val="none"/>
          <w:lang w:eastAsia="zh-CN"/>
        </w:rPr>
        <w:t>服务中心将拟资助项目向社会公示5个工作日，</w:t>
      </w:r>
      <w:r>
        <w:rPr>
          <w:rFonts w:hint="eastAsia" w:ascii="仿宋_GB2312" w:hAnsi="宋体" w:eastAsia="仿宋_GB2312"/>
          <w:sz w:val="32"/>
          <w:szCs w:val="32"/>
          <w:highlight w:val="none"/>
          <w:lang w:eastAsia="zh-CN"/>
        </w:rPr>
        <w:t>对公示期满，无有效投诉的项目资助计划，</w:t>
      </w:r>
      <w:r>
        <w:rPr>
          <w:rFonts w:hint="eastAsia" w:ascii="仿宋_GB2312" w:eastAsia="仿宋_GB2312"/>
          <w:sz w:val="32"/>
          <w:szCs w:val="32"/>
          <w:highlight w:val="none"/>
          <w:lang w:eastAsia="zh-CN"/>
        </w:rPr>
        <w:t>区</w:t>
      </w:r>
      <w:r>
        <w:rPr>
          <w:rFonts w:hint="eastAsia" w:ascii="仿宋_GB2312" w:eastAsia="仿宋_GB2312"/>
          <w:sz w:val="32"/>
          <w:szCs w:val="32"/>
          <w:highlight w:val="none"/>
          <w:lang w:val="en-US" w:eastAsia="zh-CN"/>
        </w:rPr>
        <w:t>文化广电旅游体育</w:t>
      </w:r>
      <w:r>
        <w:rPr>
          <w:rFonts w:hint="eastAsia" w:ascii="仿宋_GB2312" w:eastAsia="仿宋_GB2312"/>
          <w:sz w:val="32"/>
          <w:szCs w:val="32"/>
          <w:highlight w:val="none"/>
          <w:lang w:eastAsia="zh-CN"/>
        </w:rPr>
        <w:t>局</w:t>
      </w:r>
      <w:r>
        <w:rPr>
          <w:rFonts w:hint="eastAsia" w:ascii="仿宋_GB2312" w:hAnsi="宋体" w:eastAsia="仿宋_GB2312"/>
          <w:sz w:val="32"/>
          <w:szCs w:val="32"/>
          <w:highlight w:val="none"/>
          <w:lang w:eastAsia="zh-CN"/>
        </w:rPr>
        <w:t>再按照相应审核程序提交会议审议</w:t>
      </w:r>
      <w:r>
        <w:rPr>
          <w:rFonts w:hint="eastAsia" w:ascii="仿宋_GB2312" w:eastAsia="仿宋_GB2312"/>
          <w:sz w:val="32"/>
          <w:szCs w:val="32"/>
          <w:highlight w:val="none"/>
          <w:lang w:eastAsia="zh-CN"/>
        </w:rPr>
        <w:t>；</w:t>
      </w:r>
    </w:p>
    <w:p w14:paraId="282994BD">
      <w:pPr>
        <w:spacing w:after="0" w:line="560" w:lineRule="exact"/>
        <w:ind w:firstLine="640" w:firstLineChars="200"/>
        <w:contextualSpacing/>
        <w:jc w:val="both"/>
        <w:outlineLvl w:val="1"/>
        <w:rPr>
          <w:rFonts w:ascii="仿宋_GB2312" w:eastAsia="仿宋_GB2312"/>
          <w:sz w:val="32"/>
          <w:szCs w:val="32"/>
          <w:highlight w:val="none"/>
          <w:lang w:eastAsia="zh-CN"/>
        </w:rPr>
      </w:pPr>
      <w:r>
        <w:rPr>
          <w:rFonts w:hint="eastAsia" w:ascii="仿宋_GB2312" w:eastAsia="仿宋_GB2312"/>
          <w:sz w:val="32"/>
          <w:szCs w:val="32"/>
          <w:highlight w:val="none"/>
          <w:lang w:eastAsia="zh-CN"/>
        </w:rPr>
        <w:t>（</w:t>
      </w:r>
      <w:r>
        <w:rPr>
          <w:rFonts w:ascii="仿宋_GB2312" w:eastAsia="仿宋_GB2312"/>
          <w:sz w:val="32"/>
          <w:szCs w:val="32"/>
          <w:highlight w:val="none"/>
          <w:lang w:eastAsia="zh-CN"/>
        </w:rPr>
        <w:t>六</w:t>
      </w:r>
      <w:r>
        <w:rPr>
          <w:rFonts w:hint="eastAsia" w:ascii="仿宋_GB2312" w:eastAsia="仿宋_GB2312"/>
          <w:sz w:val="32"/>
          <w:szCs w:val="32"/>
          <w:highlight w:val="none"/>
          <w:lang w:eastAsia="zh-CN"/>
        </w:rPr>
        <w:t>）经审议后，由区</w:t>
      </w:r>
      <w:r>
        <w:rPr>
          <w:rFonts w:hint="eastAsia" w:ascii="仿宋_GB2312" w:eastAsia="仿宋_GB2312"/>
          <w:sz w:val="32"/>
          <w:szCs w:val="32"/>
          <w:highlight w:val="none"/>
          <w:lang w:val="en-US" w:eastAsia="zh-CN"/>
        </w:rPr>
        <w:t>文化广电旅游体育</w:t>
      </w:r>
      <w:r>
        <w:rPr>
          <w:rFonts w:hint="eastAsia" w:ascii="仿宋_GB2312" w:eastAsia="仿宋_GB2312"/>
          <w:sz w:val="32"/>
          <w:szCs w:val="32"/>
          <w:highlight w:val="none"/>
          <w:lang w:eastAsia="zh-CN"/>
        </w:rPr>
        <w:t>局直接行文下达资金计划；</w:t>
      </w:r>
    </w:p>
    <w:p w14:paraId="3122E028">
      <w:pPr>
        <w:pStyle w:val="6"/>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hAnsi="Times New Roman" w:cs="Times New Roman"/>
          <w:color w:val="000000" w:themeColor="text1"/>
          <w:highlight w:val="none"/>
          <w14:textFill>
            <w14:solidFill>
              <w14:schemeClr w14:val="tx1"/>
            </w14:solidFill>
          </w14:textFill>
        </w:rPr>
      </w:pPr>
      <w:r>
        <w:rPr>
          <w:rFonts w:hint="eastAsia" w:ascii="仿宋_GB2312" w:hAnsi="宋体" w:eastAsia="仿宋_GB2312"/>
          <w:sz w:val="32"/>
          <w:szCs w:val="32"/>
          <w:highlight w:val="none"/>
          <w:lang w:eastAsia="zh-CN"/>
        </w:rPr>
        <w:t>（七）区财政部门及时安排资金，</w:t>
      </w:r>
      <w:r>
        <w:rPr>
          <w:rFonts w:hint="eastAsia" w:ascii="仿宋_GB2312" w:eastAsia="仿宋_GB2312"/>
          <w:sz w:val="32"/>
          <w:szCs w:val="32"/>
          <w:highlight w:val="none"/>
          <w:lang w:eastAsia="zh-CN"/>
        </w:rPr>
        <w:t>区</w:t>
      </w:r>
      <w:r>
        <w:rPr>
          <w:rFonts w:hint="eastAsia" w:ascii="仿宋_GB2312" w:eastAsia="仿宋_GB2312"/>
          <w:sz w:val="32"/>
          <w:szCs w:val="32"/>
          <w:highlight w:val="none"/>
          <w:lang w:val="en-US" w:eastAsia="zh-CN"/>
        </w:rPr>
        <w:t>文化广电旅游体育</w:t>
      </w:r>
      <w:r>
        <w:rPr>
          <w:rFonts w:hint="eastAsia" w:ascii="仿宋_GB2312" w:eastAsia="仿宋_GB2312"/>
          <w:sz w:val="32"/>
          <w:szCs w:val="32"/>
          <w:highlight w:val="none"/>
          <w:lang w:eastAsia="zh-CN"/>
        </w:rPr>
        <w:t>局</w:t>
      </w:r>
      <w:r>
        <w:rPr>
          <w:rFonts w:hint="eastAsia" w:ascii="仿宋_GB2312" w:hAnsi="宋体" w:eastAsia="仿宋_GB2312"/>
          <w:sz w:val="32"/>
          <w:szCs w:val="32"/>
          <w:highlight w:val="none"/>
          <w:lang w:eastAsia="zh-CN"/>
        </w:rPr>
        <w:t>办理资金拨付手续</w:t>
      </w:r>
      <w:r>
        <w:rPr>
          <w:rFonts w:hint="eastAsia" w:ascii="仿宋_GB2312" w:eastAsia="仿宋_GB2312"/>
          <w:sz w:val="32"/>
          <w:szCs w:val="32"/>
          <w:highlight w:val="none"/>
          <w:lang w:eastAsia="zh-CN"/>
        </w:rPr>
        <w:t>。</w:t>
      </w:r>
    </w:p>
    <w:p w14:paraId="07C3932C">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lang w:val="en-US" w:eastAsia="zh-CN"/>
          <w14:textFill>
            <w14:solidFill>
              <w14:schemeClr w14:val="tx1"/>
            </w14:solidFill>
          </w14:textFill>
        </w:rPr>
        <w:t>七</w:t>
      </w:r>
      <w:r>
        <w:rPr>
          <w:rFonts w:hint="eastAsia" w:hAnsi="黑体" w:eastAsia="黑体"/>
          <w:color w:val="000000" w:themeColor="text1"/>
          <w:sz w:val="32"/>
          <w:szCs w:val="32"/>
          <w:highlight w:val="none"/>
          <w14:textFill>
            <w14:solidFill>
              <w14:schemeClr w14:val="tx1"/>
            </w14:solidFill>
          </w14:textFill>
        </w:rPr>
        <w:t>、所需材料</w:t>
      </w:r>
    </w:p>
    <w:p w14:paraId="347A7C99">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000000" w:themeColor="text1"/>
          <w:spacing w:val="4"/>
          <w:kern w:val="0"/>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登录“i南山企业服务综合平台”（https://www.inanshan.org.cn/）在线填写《南山区促进产业高质量发展专项资金——区文化广电旅游体育局分项资金支持建设电竞场馆项目申请书》</w:t>
      </w:r>
      <w:r>
        <w:rPr>
          <w:rFonts w:hint="eastAsia" w:ascii="仿宋_GB2312" w:hAnsi="宋体" w:eastAsia="仿宋_GB2312" w:cs="宋体"/>
          <w:color w:val="000000" w:themeColor="text1"/>
          <w:spacing w:val="4"/>
          <w:kern w:val="0"/>
          <w:sz w:val="32"/>
          <w:szCs w:val="32"/>
          <w:highlight w:val="none"/>
          <w:lang w:eastAsia="zh-CN"/>
          <w14:textFill>
            <w14:solidFill>
              <w14:schemeClr w14:val="tx1"/>
            </w14:solidFill>
          </w14:textFill>
        </w:rPr>
        <w:t>（</w:t>
      </w:r>
      <w:r>
        <w:rPr>
          <w:rFonts w:hint="eastAsia" w:ascii="仿宋_GB2312" w:hAnsi="仿宋_GB2312" w:eastAsia="仿宋_GB2312" w:cs="仿宋_GB2312"/>
          <w:sz w:val="32"/>
          <w:szCs w:val="32"/>
          <w:highlight w:val="none"/>
          <w:lang w:eastAsia="zh-CN"/>
        </w:rPr>
        <w:t>法定代表人签字并加盖单位公章后，原件彩色扫描成PDF文件上传</w:t>
      </w:r>
      <w:r>
        <w:rPr>
          <w:rFonts w:hint="eastAsia" w:ascii="仿宋_GB2312" w:hAnsi="宋体" w:eastAsia="仿宋_GB2312" w:cs="宋体"/>
          <w:color w:val="000000" w:themeColor="text1"/>
          <w:spacing w:val="4"/>
          <w:kern w:val="0"/>
          <w:sz w:val="32"/>
          <w:szCs w:val="32"/>
          <w:highlight w:val="none"/>
          <w:lang w:eastAsia="zh-CN"/>
          <w14:textFill>
            <w14:solidFill>
              <w14:schemeClr w14:val="tx1"/>
            </w14:solidFill>
          </w14:textFill>
        </w:rPr>
        <w:t>）；</w:t>
      </w:r>
    </w:p>
    <w:p w14:paraId="635EDAAD">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color w:val="000000" w:themeColor="text1"/>
          <w:sz w:val="32"/>
          <w:szCs w:val="32"/>
          <w:highlight w:val="none"/>
          <w14:textFill>
            <w14:solidFill>
              <w14:schemeClr w14:val="tx1"/>
            </w14:solidFill>
          </w14:textFill>
        </w:rPr>
      </w:pPr>
      <w:r>
        <w:rPr>
          <w:rFonts w:hint="eastAsia" w:ascii="仿宋_GB2312" w:hAnsi="Times New Roman" w:eastAsia="仿宋_GB2312" w:cs="Times New Roman"/>
          <w:color w:val="000000" w:themeColor="text1"/>
          <w:sz w:val="32"/>
          <w:szCs w:val="32"/>
          <w:highlight w:val="none"/>
          <w14:textFill>
            <w14:solidFill>
              <w14:schemeClr w14:val="tx1"/>
            </w14:solidFill>
          </w14:textFill>
        </w:rPr>
        <w:t>（二）统一社会信用代码证书（事业单位法人证书或社会组织登记证书）（原件彩色扫描成PDF文件上传）；</w:t>
      </w:r>
    </w:p>
    <w:p w14:paraId="7B53305C">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color w:val="000000" w:themeColor="text1"/>
          <w:sz w:val="32"/>
          <w:szCs w:val="32"/>
          <w:highlight w:val="none"/>
          <w14:textFill>
            <w14:solidFill>
              <w14:schemeClr w14:val="tx1"/>
            </w14:solidFill>
          </w14:textFill>
        </w:rPr>
      </w:pPr>
      <w:r>
        <w:rPr>
          <w:rFonts w:hint="eastAsia" w:ascii="仿宋_GB2312" w:hAnsi="Times New Roman" w:eastAsia="仿宋_GB2312" w:cs="Times New Roman"/>
          <w:color w:val="000000" w:themeColor="text1"/>
          <w:sz w:val="32"/>
          <w:szCs w:val="32"/>
          <w:highlight w:val="none"/>
          <w14:textFill>
            <w14:solidFill>
              <w14:schemeClr w14:val="tx1"/>
            </w14:solidFill>
          </w14:textFill>
        </w:rPr>
        <w:t>（三）法定代表人身份证</w:t>
      </w:r>
      <w:r>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t>[原件（或复印件加盖</w:t>
      </w:r>
      <w:r>
        <w:rPr>
          <w:rFonts w:hint="eastAsia" w:ascii="仿宋_GB2312" w:eastAsia="仿宋_GB2312" w:cs="Times New Roman"/>
          <w:color w:val="000000" w:themeColor="text1"/>
          <w:sz w:val="32"/>
          <w:szCs w:val="32"/>
          <w:highlight w:val="none"/>
          <w:lang w:eastAsia="zh-CN"/>
          <w14:textFill>
            <w14:solidFill>
              <w14:schemeClr w14:val="tx1"/>
            </w14:solidFill>
          </w14:textFill>
        </w:rPr>
        <w:t>单位</w:t>
      </w:r>
      <w:r>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t>公章）彩色扫描上传]</w:t>
      </w:r>
      <w:r>
        <w:rPr>
          <w:rFonts w:hint="eastAsia" w:ascii="仿宋_GB2312" w:hAnsi="Times New Roman" w:eastAsia="仿宋_GB2312" w:cs="Times New Roman"/>
          <w:color w:val="000000" w:themeColor="text1"/>
          <w:sz w:val="32"/>
          <w:szCs w:val="32"/>
          <w:highlight w:val="none"/>
          <w14:textFill>
            <w14:solidFill>
              <w14:schemeClr w14:val="tx1"/>
            </w14:solidFill>
          </w14:textFill>
        </w:rPr>
        <w:t>；</w:t>
      </w:r>
    </w:p>
    <w:p w14:paraId="632F73C9">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color w:val="000000" w:themeColor="text1"/>
          <w:sz w:val="32"/>
          <w:szCs w:val="32"/>
          <w:highlight w:val="none"/>
          <w14:textFill>
            <w14:solidFill>
              <w14:schemeClr w14:val="tx1"/>
            </w14:solidFill>
          </w14:textFill>
        </w:rPr>
      </w:pPr>
      <w:r>
        <w:rPr>
          <w:rFonts w:hint="eastAsia" w:ascii="仿宋_GB2312" w:hAnsi="Times New Roman" w:eastAsia="仿宋_GB2312" w:cs="Times New Roman"/>
          <w:color w:val="000000" w:themeColor="text1"/>
          <w:sz w:val="32"/>
          <w:szCs w:val="32"/>
          <w:highlight w:val="none"/>
          <w14:textFill>
            <w14:solidFill>
              <w14:schemeClr w14:val="tx1"/>
            </w14:solidFill>
          </w14:textFill>
        </w:rPr>
        <w:t>（四）申报单位由税务部门开具的单位上年度纳税证明（</w:t>
      </w:r>
      <w:bookmarkStart w:id="0" w:name="_Hlk98161019"/>
      <w:r>
        <w:rPr>
          <w:rFonts w:hint="eastAsia" w:ascii="仿宋_GB2312" w:hAnsi="Times New Roman" w:eastAsia="仿宋_GB2312" w:cs="Times New Roman"/>
          <w:color w:val="000000" w:themeColor="text1"/>
          <w:sz w:val="32"/>
          <w:szCs w:val="32"/>
          <w:highlight w:val="none"/>
          <w14:textFill>
            <w14:solidFill>
              <w14:schemeClr w14:val="tx1"/>
            </w14:solidFill>
          </w14:textFill>
        </w:rPr>
        <w:t>上传税务系统下载带有税务机关红色印章的电子版，</w:t>
      </w:r>
      <w:bookmarkEnd w:id="0"/>
      <w:r>
        <w:rPr>
          <w:rFonts w:hint="eastAsia" w:ascii="仿宋_GB2312" w:hAnsi="Times New Roman" w:eastAsia="仿宋_GB2312" w:cs="Times New Roman"/>
          <w:color w:val="000000" w:themeColor="text1"/>
          <w:sz w:val="32"/>
          <w:szCs w:val="32"/>
          <w:highlight w:val="none"/>
          <w14:textFill>
            <w14:solidFill>
              <w14:schemeClr w14:val="tx1"/>
            </w14:solidFill>
          </w14:textFill>
        </w:rPr>
        <w:t>事业单位除外)；</w:t>
      </w:r>
    </w:p>
    <w:p w14:paraId="0EA6953F">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color w:val="000000" w:themeColor="text1"/>
          <w:sz w:val="32"/>
          <w:szCs w:val="32"/>
          <w:highlight w:val="none"/>
          <w14:textFill>
            <w14:solidFill>
              <w14:schemeClr w14:val="tx1"/>
            </w14:solidFill>
          </w14:textFill>
        </w:rPr>
      </w:pPr>
      <w:r>
        <w:rPr>
          <w:rFonts w:hint="eastAsia" w:ascii="仿宋_GB2312" w:hAnsi="Times New Roman" w:eastAsia="仿宋_GB2312" w:cs="Times New Roman"/>
          <w:color w:val="000000" w:themeColor="text1"/>
          <w:sz w:val="32"/>
          <w:szCs w:val="32"/>
          <w:highlight w:val="none"/>
          <w14:textFill>
            <w14:solidFill>
              <w14:schemeClr w14:val="tx1"/>
            </w14:solidFill>
          </w14:textFill>
        </w:rPr>
        <w:t>（</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五</w:t>
      </w:r>
      <w:r>
        <w:rPr>
          <w:rFonts w:hint="eastAsia" w:ascii="仿宋_GB2312" w:hAnsi="Times New Roman" w:eastAsia="仿宋_GB2312" w:cs="Times New Roman"/>
          <w:color w:val="000000" w:themeColor="text1"/>
          <w:sz w:val="32"/>
          <w:szCs w:val="32"/>
          <w:highlight w:val="none"/>
          <w14:textFill>
            <w14:solidFill>
              <w14:schemeClr w14:val="tx1"/>
            </w14:solidFill>
          </w14:textFill>
        </w:rPr>
        <w:t>）电竞俱乐部落户，在南山区文化广电旅游体育局备案的证明材料（原件彩色扫描成PDF文件上传）；</w:t>
      </w:r>
    </w:p>
    <w:p w14:paraId="440AF54D">
      <w:pPr>
        <w:adjustRightInd w:val="0"/>
        <w:snapToGrid w:val="0"/>
        <w:spacing w:line="560" w:lineRule="exact"/>
        <w:ind w:firstLine="640" w:firstLineChars="200"/>
        <w:rPr>
          <w:rFonts w:hint="eastAsia" w:ascii="仿宋_GB2312" w:hAnsi="Times New Roman" w:eastAsia="仿宋_GB2312" w:cs="Times New Roman"/>
          <w:color w:val="000000" w:themeColor="text1"/>
          <w:sz w:val="32"/>
          <w:szCs w:val="32"/>
          <w:highlight w:val="none"/>
          <w14:textFill>
            <w14:solidFill>
              <w14:schemeClr w14:val="tx1"/>
            </w14:solidFill>
          </w14:textFill>
        </w:rPr>
      </w:pPr>
      <w:r>
        <w:rPr>
          <w:rFonts w:hint="eastAsia" w:ascii="仿宋_GB2312" w:hAnsi="Times New Roman" w:eastAsia="仿宋_GB2312" w:cs="Times New Roman"/>
          <w:color w:val="000000" w:themeColor="text1"/>
          <w:sz w:val="32"/>
          <w:szCs w:val="32"/>
          <w:highlight w:val="none"/>
          <w14:textFill>
            <w14:solidFill>
              <w14:schemeClr w14:val="tx1"/>
            </w14:solidFill>
          </w14:textFill>
        </w:rPr>
        <w:t>（</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六</w:t>
      </w:r>
      <w:r>
        <w:rPr>
          <w:rFonts w:hint="eastAsia" w:ascii="仿宋_GB2312" w:hAnsi="Times New Roman" w:eastAsia="仿宋_GB2312" w:cs="Times New Roman"/>
          <w:color w:val="000000" w:themeColor="text1"/>
          <w:sz w:val="32"/>
          <w:szCs w:val="32"/>
          <w:highlight w:val="none"/>
          <w14:textFill>
            <w14:solidFill>
              <w14:schemeClr w14:val="tx1"/>
            </w14:solidFill>
          </w14:textFill>
        </w:rPr>
        <w:t>）电竞俱乐部房屋租购合同（原件彩色扫描成PDF文件上传）；</w:t>
      </w:r>
    </w:p>
    <w:p w14:paraId="40A4BA76">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七</w:t>
      </w:r>
      <w:r>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仿宋_GB2312" w:hAnsi="Times New Roman" w:eastAsia="仿宋_GB2312" w:cs="Times New Roman"/>
          <w:color w:val="000000" w:themeColor="text1"/>
          <w:sz w:val="32"/>
          <w:szCs w:val="32"/>
          <w:highlight w:val="none"/>
          <w14:textFill>
            <w14:solidFill>
              <w14:schemeClr w14:val="tx1"/>
            </w14:solidFill>
          </w14:textFill>
        </w:rPr>
        <w:t>电竞俱乐部的人员社保证明材料（原件彩色扫描成PDF文件上传）；</w:t>
      </w:r>
    </w:p>
    <w:p w14:paraId="07DED5CA">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color w:val="000000" w:themeColor="text1"/>
          <w:sz w:val="32"/>
          <w:szCs w:val="32"/>
          <w:highlight w:val="none"/>
          <w14:textFill>
            <w14:solidFill>
              <w14:schemeClr w14:val="tx1"/>
            </w14:solidFill>
          </w14:textFill>
        </w:rPr>
      </w:pPr>
      <w:r>
        <w:rPr>
          <w:rFonts w:hint="eastAsia" w:ascii="仿宋_GB2312" w:hAnsi="Times New Roman" w:eastAsia="仿宋_GB2312" w:cs="Times New Roman"/>
          <w:color w:val="000000" w:themeColor="text1"/>
          <w:sz w:val="32"/>
          <w:szCs w:val="32"/>
          <w:highlight w:val="none"/>
          <w14:textFill>
            <w14:solidFill>
              <w14:schemeClr w14:val="tx1"/>
            </w14:solidFill>
          </w14:textFill>
        </w:rPr>
        <w:t>（</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八</w:t>
      </w:r>
      <w:r>
        <w:rPr>
          <w:rFonts w:hint="eastAsia" w:ascii="仿宋_GB2312" w:hAnsi="Times New Roman" w:eastAsia="仿宋_GB2312" w:cs="Times New Roman"/>
          <w:color w:val="000000" w:themeColor="text1"/>
          <w:sz w:val="32"/>
          <w:szCs w:val="32"/>
          <w:highlight w:val="none"/>
          <w14:textFill>
            <w14:solidFill>
              <w14:schemeClr w14:val="tx1"/>
            </w14:solidFill>
          </w14:textFill>
        </w:rPr>
        <w:t>）除以上资料，电竞</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俱乐部</w:t>
      </w:r>
      <w:r>
        <w:rPr>
          <w:rFonts w:hint="eastAsia" w:ascii="仿宋_GB2312" w:hAnsi="Times New Roman" w:eastAsia="仿宋_GB2312" w:cs="Times New Roman"/>
          <w:color w:val="000000" w:themeColor="text1"/>
          <w:sz w:val="32"/>
          <w:szCs w:val="32"/>
          <w:highlight w:val="none"/>
          <w14:textFill>
            <w14:solidFill>
              <w14:schemeClr w14:val="tx1"/>
            </w14:solidFill>
          </w14:textFill>
        </w:rPr>
        <w:t>项目按照其所属类别需提交以下资料：</w:t>
      </w:r>
    </w:p>
    <w:p w14:paraId="36E0F50B">
      <w:pPr>
        <w:adjustRightInd w:val="0"/>
        <w:snapToGrid w:val="0"/>
        <w:spacing w:line="560" w:lineRule="exact"/>
        <w:ind w:firstLine="640" w:firstLineChars="200"/>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1.属于电竞俱乐部落户的，还须提供：参加一、二类联盟顶级或次级电竞比赛的证明材料；拥有一、二类联盟顶级联赛固定席位证明材料（如有）；在南山设立主场的证明材料（如有）；参与一、二类联盟顶级联赛的证明材料</w:t>
      </w:r>
      <w:r>
        <w:rPr>
          <w:rFonts w:hint="eastAsia" w:ascii="仿宋_GB2312" w:eastAsia="仿宋_GB2312" w:cs="Times New Roman"/>
          <w:color w:val="000000" w:themeColor="text1"/>
          <w:sz w:val="32"/>
          <w:szCs w:val="32"/>
          <w:highlight w:val="none"/>
          <w:lang w:val="en-US" w:eastAsia="zh-CN"/>
          <w14:textFill>
            <w14:solidFill>
              <w14:schemeClr w14:val="tx1"/>
            </w14:solidFill>
          </w14:textFill>
        </w:rPr>
        <w:t>；</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参与一、二类联盟次级联赛并获得次级联赛前三名的证明材料（如有）（原件彩色扫描成PDF文件上传）；</w:t>
      </w:r>
    </w:p>
    <w:p w14:paraId="3288660C">
      <w:pPr>
        <w:adjustRightInd w:val="0"/>
        <w:snapToGrid w:val="0"/>
        <w:spacing w:line="560" w:lineRule="exact"/>
        <w:ind w:firstLine="640" w:firstLineChars="200"/>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2.属于电竞俱乐部运营的，还须提供：参加一、二类联盟顶级或次级联赛的证明材料</w:t>
      </w:r>
      <w:r>
        <w:rPr>
          <w:rFonts w:hint="eastAsia" w:ascii="仿宋_GB2312" w:eastAsia="仿宋_GB2312" w:cs="Times New Roman"/>
          <w:color w:val="000000" w:themeColor="text1"/>
          <w:sz w:val="32"/>
          <w:szCs w:val="32"/>
          <w:highlight w:val="none"/>
          <w:lang w:val="en-US" w:eastAsia="zh-CN"/>
          <w14:textFill>
            <w14:solidFill>
              <w14:schemeClr w14:val="tx1"/>
            </w14:solidFill>
          </w14:textFill>
        </w:rPr>
        <w:t>；</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上年度电竞培训、身心康复、商业保险费证明材料，包括合同、发票、保单、银行往来凭证（原件彩色扫描成PDF文件上传）；</w:t>
      </w:r>
    </w:p>
    <w:p w14:paraId="444AF087">
      <w:pPr>
        <w:adjustRightInd w:val="0"/>
        <w:snapToGrid w:val="0"/>
        <w:spacing w:line="560" w:lineRule="exact"/>
        <w:ind w:firstLine="640" w:firstLineChars="200"/>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3.属于电竞俱乐部参赛获奖的，还须提供：参加一、二类联盟顶级或次级联赛的证明材料</w:t>
      </w:r>
      <w:r>
        <w:rPr>
          <w:rFonts w:hint="eastAsia" w:ascii="仿宋_GB2312" w:eastAsia="仿宋_GB2312" w:cs="Times New Roman"/>
          <w:color w:val="000000" w:themeColor="text1"/>
          <w:sz w:val="32"/>
          <w:szCs w:val="32"/>
          <w:highlight w:val="none"/>
          <w:lang w:val="en-US" w:eastAsia="zh-CN"/>
          <w14:textFill>
            <w14:solidFill>
              <w14:schemeClr w14:val="tx1"/>
            </w14:solidFill>
          </w14:textFill>
        </w:rPr>
        <w:t>；</w:t>
      </w:r>
      <w:bookmarkStart w:id="1" w:name="_GoBack"/>
      <w:bookmarkEnd w:id="1"/>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近三年内获得一、二类联盟国际性职业赛事、全国职业赛事、亚运会电竞赛事获得冠、亚、季军的证明材料，包括总奖金、获奖的证明材料；获奖的电竞运动员的劳动合同；</w:t>
      </w:r>
    </w:p>
    <w:p w14:paraId="4EBA79D7">
      <w:pPr>
        <w:adjustRightInd w:val="0"/>
        <w:snapToGrid w:val="0"/>
        <w:spacing w:line="560" w:lineRule="exact"/>
        <w:ind w:firstLine="640" w:firstLineChars="200"/>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14:textFill>
            <w14:solidFill>
              <w14:schemeClr w14:val="tx1"/>
            </w14:solidFill>
          </w14:textFill>
        </w:rPr>
        <w:t>（</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九</w:t>
      </w:r>
      <w:r>
        <w:rPr>
          <w:rFonts w:hint="eastAsia" w:ascii="仿宋_GB2312" w:hAnsi="Times New Roman" w:eastAsia="仿宋_GB2312" w:cs="Times New Roman"/>
          <w:color w:val="000000" w:themeColor="text1"/>
          <w:sz w:val="32"/>
          <w:szCs w:val="32"/>
          <w:highlight w:val="none"/>
          <w14:textFill>
            <w14:solidFill>
              <w14:schemeClr w14:val="tx1"/>
            </w14:solidFill>
          </w14:textFill>
        </w:rPr>
        <w:t>）审核部门认为需要提供的其</w:t>
      </w:r>
      <w:r>
        <w:rPr>
          <w:rFonts w:hint="eastAsia" w:ascii="仿宋_GB2312" w:eastAsia="仿宋_GB2312" w:cs="Times New Roman"/>
          <w:color w:val="000000" w:themeColor="text1"/>
          <w:sz w:val="32"/>
          <w:szCs w:val="32"/>
          <w:highlight w:val="none"/>
          <w:lang w:eastAsia="zh-CN"/>
          <w14:textFill>
            <w14:solidFill>
              <w14:schemeClr w14:val="tx1"/>
            </w14:solidFill>
          </w14:textFill>
        </w:rPr>
        <w:t>他</w:t>
      </w:r>
      <w:r>
        <w:rPr>
          <w:rFonts w:hint="eastAsia" w:ascii="仿宋_GB2312" w:hAnsi="Times New Roman" w:eastAsia="仿宋_GB2312" w:cs="Times New Roman"/>
          <w:color w:val="000000" w:themeColor="text1"/>
          <w:sz w:val="32"/>
          <w:szCs w:val="32"/>
          <w:highlight w:val="none"/>
          <w14:textFill>
            <w14:solidFill>
              <w14:schemeClr w14:val="tx1"/>
            </w14:solidFill>
          </w14:textFill>
        </w:rPr>
        <w:t>材料</w:t>
      </w:r>
      <w:r>
        <w:rPr>
          <w:rFonts w:hint="eastAsia" w:ascii="仿宋_GB2312" w:eastAsia="仿宋_GB2312" w:cs="Times New Roman"/>
          <w:color w:val="000000" w:themeColor="text1"/>
          <w:sz w:val="32"/>
          <w:szCs w:val="32"/>
          <w:highlight w:val="none"/>
          <w:lang w:eastAsia="zh-CN"/>
          <w14:textFill>
            <w14:solidFill>
              <w14:schemeClr w14:val="tx1"/>
            </w14:solidFill>
          </w14:textFill>
        </w:rPr>
        <w:t>（</w:t>
      </w:r>
      <w:r>
        <w:rPr>
          <w:rFonts w:hint="eastAsia" w:ascii="仿宋_GB2312" w:hAnsi="Times New Roman" w:eastAsia="仿宋_GB2312" w:cs="Times New Roman"/>
          <w:color w:val="000000" w:themeColor="text1"/>
          <w:sz w:val="32"/>
          <w:szCs w:val="32"/>
          <w:highlight w:val="none"/>
          <w14:textFill>
            <w14:solidFill>
              <w14:schemeClr w14:val="tx1"/>
            </w14:solidFill>
          </w14:textFill>
        </w:rPr>
        <w:t>原件彩色扫描成PDF文件上传</w:t>
      </w:r>
      <w:r>
        <w:rPr>
          <w:rFonts w:hint="eastAsia" w:ascii="仿宋_GB2312" w:eastAsia="仿宋_GB2312" w:cs="Times New Roman"/>
          <w:color w:val="000000" w:themeColor="text1"/>
          <w:sz w:val="32"/>
          <w:szCs w:val="32"/>
          <w:highlight w:val="none"/>
          <w:lang w:eastAsia="zh-CN"/>
          <w14:textFill>
            <w14:solidFill>
              <w14:schemeClr w14:val="tx1"/>
            </w14:solidFill>
          </w14:textFill>
        </w:rPr>
        <w:t>）</w:t>
      </w:r>
      <w:r>
        <w:rPr>
          <w:rFonts w:hint="eastAsia" w:ascii="仿宋_GB2312" w:hAnsi="Times New Roman" w:eastAsia="仿宋_GB2312" w:cs="Times New Roman"/>
          <w:color w:val="000000" w:themeColor="text1"/>
          <w:sz w:val="32"/>
          <w:szCs w:val="32"/>
          <w:highlight w:val="none"/>
          <w14:textFill>
            <w14:solidFill>
              <w14:schemeClr w14:val="tx1"/>
            </w14:solidFill>
          </w14:textFill>
        </w:rPr>
        <w:t>。</w:t>
      </w:r>
    </w:p>
    <w:p w14:paraId="25022EF9">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黑体" w:eastAsia="黑体" w:cs="Times New Roman"/>
          <w:color w:val="000000" w:themeColor="text1"/>
          <w:kern w:val="2"/>
          <w:sz w:val="32"/>
          <w:szCs w:val="32"/>
          <w:highlight w:val="none"/>
          <w:lang w:val="en-US" w:eastAsia="zh-CN"/>
          <w14:textFill>
            <w14:solidFill>
              <w14:schemeClr w14:val="tx1"/>
            </w14:solidFill>
          </w14:textFill>
        </w:rPr>
      </w:pPr>
      <w:r>
        <w:rPr>
          <w:rFonts w:hint="eastAsia" w:ascii="Times New Roman" w:hAnsi="黑体" w:eastAsia="黑体" w:cs="Times New Roman"/>
          <w:color w:val="000000" w:themeColor="text1"/>
          <w:kern w:val="2"/>
          <w:sz w:val="32"/>
          <w:szCs w:val="32"/>
          <w:highlight w:val="none"/>
          <w:lang w:val="en-US" w:eastAsia="zh-CN"/>
          <w14:textFill>
            <w14:solidFill>
              <w14:schemeClr w14:val="tx1"/>
            </w14:solidFill>
          </w14:textFill>
        </w:rPr>
        <w:t>八、申报时间和办理要求</w:t>
      </w:r>
    </w:p>
    <w:p w14:paraId="5FFDA22C">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2"/>
          <w:szCs w:val="32"/>
          <w:highlight w:val="none"/>
          <w:lang w:val="en-US" w:eastAsia="zh-CN" w:bidi="ar-SA"/>
          <w14:textFill>
            <w14:solidFill>
              <w14:schemeClr w14:val="tx1"/>
            </w14:solidFill>
          </w14:textFill>
        </w:rPr>
        <w:t>每年安排1-2次集中受理单位申请，具体受理时间以发布的申报通知为准。</w:t>
      </w:r>
    </w:p>
    <w:p w14:paraId="5EEE143F">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2"/>
          <w:szCs w:val="32"/>
          <w:highlight w:val="none"/>
          <w:lang w:val="en-US" w:eastAsia="zh-CN" w:bidi="ar-SA"/>
          <w14:textFill>
            <w14:solidFill>
              <w14:schemeClr w14:val="tx1"/>
            </w14:solidFill>
          </w14:textFill>
        </w:rPr>
        <w:t>申报主体需按照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区文化广电旅游体育局</w:t>
      </w:r>
      <w:r>
        <w:rPr>
          <w:rFonts w:hint="eastAsia" w:ascii="仿宋_GB2312" w:hAnsi="Times New Roman" w:eastAsia="仿宋_GB2312" w:cs="Times New Roman"/>
          <w:color w:val="000000" w:themeColor="text1"/>
          <w:kern w:val="2"/>
          <w:sz w:val="32"/>
          <w:szCs w:val="32"/>
          <w:highlight w:val="none"/>
          <w:lang w:val="en-US" w:eastAsia="zh-CN" w:bidi="ar-SA"/>
          <w14:textFill>
            <w14:solidFill>
              <w14:schemeClr w14:val="tx1"/>
            </w14:solidFill>
          </w14:textFill>
        </w:rPr>
        <w:t>相关通知要求办理资金拨付手续。</w:t>
      </w:r>
    </w:p>
    <w:p w14:paraId="2ADF7D01">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lang w:val="en-US" w:eastAsia="zh-CN"/>
          <w14:textFill>
            <w14:solidFill>
              <w14:schemeClr w14:val="tx1"/>
            </w14:solidFill>
          </w14:textFill>
        </w:rPr>
        <w:t>九</w:t>
      </w:r>
      <w:r>
        <w:rPr>
          <w:rFonts w:hint="eastAsia" w:ascii="Times New Roman" w:hAnsi="黑体" w:eastAsia="黑体" w:cs="Times New Roman"/>
          <w:color w:val="000000" w:themeColor="text1"/>
          <w:kern w:val="2"/>
          <w:sz w:val="32"/>
          <w:szCs w:val="32"/>
          <w:highlight w:val="none"/>
          <w14:textFill>
            <w14:solidFill>
              <w14:schemeClr w14:val="tx1"/>
            </w14:solidFill>
          </w14:textFill>
        </w:rPr>
        <w:t>、附则</w:t>
      </w:r>
    </w:p>
    <w:p w14:paraId="6AF2CB1F">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eastAsia="仿宋_GB2312"/>
          <w:color w:val="000000" w:themeColor="text1"/>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本规程由南山区文化广电旅游体育局负责解释，自发布之日起施行。</w:t>
      </w:r>
    </w:p>
    <w:p w14:paraId="712AC28D">
      <w:pPr>
        <w:pStyle w:val="9"/>
        <w:shd w:val="clear" w:color="auto" w:fill="FFFFFF"/>
        <w:adjustRightInd w:val="0"/>
        <w:snapToGrid w:val="0"/>
        <w:spacing w:beforeAutospacing="0" w:afterAutospacing="0" w:line="560" w:lineRule="exact"/>
        <w:ind w:firstLine="640" w:firstLineChars="200"/>
        <w:rPr>
          <w:rFonts w:hint="eastAsia" w:ascii="仿宋_GB2312" w:hAnsi="仿宋" w:eastAsia="仿宋_GB2312" w:cs="Times New Roman"/>
          <w:color w:val="000000" w:themeColor="text1"/>
          <w:kern w:val="2"/>
          <w:sz w:val="32"/>
          <w:szCs w:val="32"/>
          <w:highlight w:val="none"/>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800002BF" w:usb1="184F6CF8" w:usb2="00000012" w:usb3="00000000" w:csb0="00020001" w:csb1="00000000"/>
  </w:font>
  <w:font w:name="Cambria">
    <w:panose1 w:val="02040503050406030204"/>
    <w:charset w:val="00"/>
    <w:family w:val="roman"/>
    <w:pitch w:val="default"/>
    <w:sig w:usb0="E00006FF" w:usb1="420024FF" w:usb2="02000000" w:usb3="00000000" w:csb0="2000019F" w:csb1="00000000"/>
  </w:font>
  <w:font w:name="方正小标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4885450"/>
      <w:docPartObj>
        <w:docPartGallery w:val="autotext"/>
      </w:docPartObj>
    </w:sdtPr>
    <w:sdtContent>
      <w:p w14:paraId="153D1C6C">
        <w:pPr>
          <w:pStyle w:val="7"/>
          <w:jc w:val="center"/>
        </w:pPr>
        <w:r>
          <w:fldChar w:fldCharType="begin"/>
        </w:r>
        <w:r>
          <w:instrText xml:space="preserve">PAGE   \* MERGEFORMAT</w:instrText>
        </w:r>
        <w:r>
          <w:fldChar w:fldCharType="separate"/>
        </w:r>
        <w:r>
          <w:rPr>
            <w:lang w:val="zh-CN"/>
          </w:rPr>
          <w:t>2</w:t>
        </w:r>
        <w:r>
          <w:fldChar w:fldCharType="end"/>
        </w:r>
      </w:p>
    </w:sdtContent>
  </w:sdt>
  <w:p w14:paraId="0F042597">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liOTU0NTc3ZTM1ZTYyZGY3YzYzMmZkODc4MjgyZWMifQ=="/>
  </w:docVars>
  <w:rsids>
    <w:rsidRoot w:val="1E9B000F"/>
    <w:rsid w:val="00007F6F"/>
    <w:rsid w:val="00024D3C"/>
    <w:rsid w:val="00031E90"/>
    <w:rsid w:val="000B0273"/>
    <w:rsid w:val="00115BCC"/>
    <w:rsid w:val="001421E0"/>
    <w:rsid w:val="00143A36"/>
    <w:rsid w:val="0015404E"/>
    <w:rsid w:val="001B0C22"/>
    <w:rsid w:val="0020003E"/>
    <w:rsid w:val="0026218E"/>
    <w:rsid w:val="0040362C"/>
    <w:rsid w:val="004329C4"/>
    <w:rsid w:val="00456C09"/>
    <w:rsid w:val="0046464A"/>
    <w:rsid w:val="00475747"/>
    <w:rsid w:val="00484F4E"/>
    <w:rsid w:val="004B1258"/>
    <w:rsid w:val="004F1927"/>
    <w:rsid w:val="00595A1F"/>
    <w:rsid w:val="005C1AD0"/>
    <w:rsid w:val="006255F8"/>
    <w:rsid w:val="00651611"/>
    <w:rsid w:val="00705AFF"/>
    <w:rsid w:val="00765457"/>
    <w:rsid w:val="007E59AE"/>
    <w:rsid w:val="008058F8"/>
    <w:rsid w:val="00814606"/>
    <w:rsid w:val="00886129"/>
    <w:rsid w:val="00896F3C"/>
    <w:rsid w:val="008A06B8"/>
    <w:rsid w:val="008B0EB5"/>
    <w:rsid w:val="008C75B3"/>
    <w:rsid w:val="008D3C58"/>
    <w:rsid w:val="00911568"/>
    <w:rsid w:val="00920AE3"/>
    <w:rsid w:val="009B0D2F"/>
    <w:rsid w:val="009E29B2"/>
    <w:rsid w:val="009E2DAA"/>
    <w:rsid w:val="009F4297"/>
    <w:rsid w:val="00A82793"/>
    <w:rsid w:val="00AD6040"/>
    <w:rsid w:val="00AE260C"/>
    <w:rsid w:val="00B101C1"/>
    <w:rsid w:val="00B17BF3"/>
    <w:rsid w:val="00B77C53"/>
    <w:rsid w:val="00B803E6"/>
    <w:rsid w:val="00B91CA9"/>
    <w:rsid w:val="00BA5F30"/>
    <w:rsid w:val="00BD6E4F"/>
    <w:rsid w:val="00BE7C30"/>
    <w:rsid w:val="00CA4770"/>
    <w:rsid w:val="00CD6F9A"/>
    <w:rsid w:val="00CE00CC"/>
    <w:rsid w:val="00CE1FF7"/>
    <w:rsid w:val="00CE6F5B"/>
    <w:rsid w:val="00D13618"/>
    <w:rsid w:val="00D818FD"/>
    <w:rsid w:val="00DF10BB"/>
    <w:rsid w:val="00E040F9"/>
    <w:rsid w:val="00E36B84"/>
    <w:rsid w:val="00EA5699"/>
    <w:rsid w:val="00EC4977"/>
    <w:rsid w:val="00EE4D67"/>
    <w:rsid w:val="00F07CA9"/>
    <w:rsid w:val="00F2135A"/>
    <w:rsid w:val="00F254EF"/>
    <w:rsid w:val="00F2602B"/>
    <w:rsid w:val="00F3450B"/>
    <w:rsid w:val="00F85813"/>
    <w:rsid w:val="00F95C5E"/>
    <w:rsid w:val="00FA24EC"/>
    <w:rsid w:val="00FB6C39"/>
    <w:rsid w:val="00FD76D6"/>
    <w:rsid w:val="016F45ED"/>
    <w:rsid w:val="0381433E"/>
    <w:rsid w:val="03A67865"/>
    <w:rsid w:val="05DB45FA"/>
    <w:rsid w:val="05E911D3"/>
    <w:rsid w:val="05EA2DDC"/>
    <w:rsid w:val="06530C2B"/>
    <w:rsid w:val="0659586C"/>
    <w:rsid w:val="08C957C4"/>
    <w:rsid w:val="095C7285"/>
    <w:rsid w:val="0978425B"/>
    <w:rsid w:val="098B5B33"/>
    <w:rsid w:val="09903C9B"/>
    <w:rsid w:val="0ACB31DC"/>
    <w:rsid w:val="0C44470B"/>
    <w:rsid w:val="0CF12CA2"/>
    <w:rsid w:val="0F0575D7"/>
    <w:rsid w:val="0F8120BC"/>
    <w:rsid w:val="104D08F5"/>
    <w:rsid w:val="10635C65"/>
    <w:rsid w:val="119C505E"/>
    <w:rsid w:val="12414064"/>
    <w:rsid w:val="12505D75"/>
    <w:rsid w:val="138D2064"/>
    <w:rsid w:val="13FA078B"/>
    <w:rsid w:val="14117786"/>
    <w:rsid w:val="14FB46BE"/>
    <w:rsid w:val="15E841AA"/>
    <w:rsid w:val="168B0344"/>
    <w:rsid w:val="17A0779F"/>
    <w:rsid w:val="17D57A49"/>
    <w:rsid w:val="1D100F23"/>
    <w:rsid w:val="1D3C1D18"/>
    <w:rsid w:val="1E1E31CB"/>
    <w:rsid w:val="1E395720"/>
    <w:rsid w:val="1E51534F"/>
    <w:rsid w:val="1E9B000F"/>
    <w:rsid w:val="1FAD4DE8"/>
    <w:rsid w:val="20FE07B7"/>
    <w:rsid w:val="22246DB7"/>
    <w:rsid w:val="23CD191B"/>
    <w:rsid w:val="261D7616"/>
    <w:rsid w:val="26E61B95"/>
    <w:rsid w:val="27514612"/>
    <w:rsid w:val="27686D7C"/>
    <w:rsid w:val="29732497"/>
    <w:rsid w:val="2A0E4549"/>
    <w:rsid w:val="2AAB1963"/>
    <w:rsid w:val="2ACE1AD5"/>
    <w:rsid w:val="2B406E77"/>
    <w:rsid w:val="2BF544DB"/>
    <w:rsid w:val="2C9E0290"/>
    <w:rsid w:val="2CC65E0C"/>
    <w:rsid w:val="2E5A0250"/>
    <w:rsid w:val="2FC11C09"/>
    <w:rsid w:val="34E73EBF"/>
    <w:rsid w:val="35094A5D"/>
    <w:rsid w:val="359D3098"/>
    <w:rsid w:val="360D23E3"/>
    <w:rsid w:val="365F39E8"/>
    <w:rsid w:val="36985DB9"/>
    <w:rsid w:val="36D668E1"/>
    <w:rsid w:val="372F489B"/>
    <w:rsid w:val="37B104F6"/>
    <w:rsid w:val="395C1320"/>
    <w:rsid w:val="39BB7D0D"/>
    <w:rsid w:val="3A1846C8"/>
    <w:rsid w:val="3A396CC9"/>
    <w:rsid w:val="3B7D37CF"/>
    <w:rsid w:val="3BE455FD"/>
    <w:rsid w:val="3E10092B"/>
    <w:rsid w:val="3E4D56DB"/>
    <w:rsid w:val="3EC3599D"/>
    <w:rsid w:val="3F0A4F84"/>
    <w:rsid w:val="3F4A7E6C"/>
    <w:rsid w:val="40F41E3E"/>
    <w:rsid w:val="41195D48"/>
    <w:rsid w:val="42D91274"/>
    <w:rsid w:val="431D4C7D"/>
    <w:rsid w:val="432C2634"/>
    <w:rsid w:val="43C95804"/>
    <w:rsid w:val="43DF5027"/>
    <w:rsid w:val="4475773A"/>
    <w:rsid w:val="44E328F5"/>
    <w:rsid w:val="451231DA"/>
    <w:rsid w:val="45477ABF"/>
    <w:rsid w:val="45780949"/>
    <w:rsid w:val="4613720A"/>
    <w:rsid w:val="465E7D59"/>
    <w:rsid w:val="46D52711"/>
    <w:rsid w:val="46F34CD7"/>
    <w:rsid w:val="480A63EB"/>
    <w:rsid w:val="4A6807A1"/>
    <w:rsid w:val="4B1B75AD"/>
    <w:rsid w:val="4B60230E"/>
    <w:rsid w:val="4BED5E07"/>
    <w:rsid w:val="4D994499"/>
    <w:rsid w:val="4DDD3C5A"/>
    <w:rsid w:val="4E92280E"/>
    <w:rsid w:val="4EA82D16"/>
    <w:rsid w:val="4EC169EF"/>
    <w:rsid w:val="4ECF1F81"/>
    <w:rsid w:val="51394EA9"/>
    <w:rsid w:val="51783CBE"/>
    <w:rsid w:val="51B873D2"/>
    <w:rsid w:val="51DD18E7"/>
    <w:rsid w:val="54493DF7"/>
    <w:rsid w:val="54501629"/>
    <w:rsid w:val="56357D3A"/>
    <w:rsid w:val="564451BE"/>
    <w:rsid w:val="568D5F14"/>
    <w:rsid w:val="56DE7412"/>
    <w:rsid w:val="578C4726"/>
    <w:rsid w:val="57B63E99"/>
    <w:rsid w:val="58156E12"/>
    <w:rsid w:val="58E46DCF"/>
    <w:rsid w:val="590F5C39"/>
    <w:rsid w:val="5B29289F"/>
    <w:rsid w:val="5B634204"/>
    <w:rsid w:val="5B965FE9"/>
    <w:rsid w:val="5C8F3A23"/>
    <w:rsid w:val="5C902F0B"/>
    <w:rsid w:val="5D5850AB"/>
    <w:rsid w:val="5EF552A7"/>
    <w:rsid w:val="5F330A6D"/>
    <w:rsid w:val="6022692C"/>
    <w:rsid w:val="6031230F"/>
    <w:rsid w:val="624C4EB5"/>
    <w:rsid w:val="628C5F22"/>
    <w:rsid w:val="63B75FB5"/>
    <w:rsid w:val="640254FB"/>
    <w:rsid w:val="64561B9C"/>
    <w:rsid w:val="649E176D"/>
    <w:rsid w:val="64D23995"/>
    <w:rsid w:val="64EB59F2"/>
    <w:rsid w:val="664D3C1B"/>
    <w:rsid w:val="668E1F5C"/>
    <w:rsid w:val="677D306F"/>
    <w:rsid w:val="69934FDB"/>
    <w:rsid w:val="6A220F1A"/>
    <w:rsid w:val="6A7A6FA8"/>
    <w:rsid w:val="6ADC37BF"/>
    <w:rsid w:val="6B2313EE"/>
    <w:rsid w:val="6C3A796E"/>
    <w:rsid w:val="6CFC2295"/>
    <w:rsid w:val="6D3414FD"/>
    <w:rsid w:val="6DF1669E"/>
    <w:rsid w:val="6E0371AC"/>
    <w:rsid w:val="6E6E2CA6"/>
    <w:rsid w:val="70147CF8"/>
    <w:rsid w:val="701708AE"/>
    <w:rsid w:val="731A1328"/>
    <w:rsid w:val="73634A7D"/>
    <w:rsid w:val="737F73DD"/>
    <w:rsid w:val="74830A40"/>
    <w:rsid w:val="74DF6386"/>
    <w:rsid w:val="78006D3F"/>
    <w:rsid w:val="7A6F1CDC"/>
    <w:rsid w:val="7A8C6A8C"/>
    <w:rsid w:val="7AEC35AA"/>
    <w:rsid w:val="7C847596"/>
    <w:rsid w:val="7C885555"/>
    <w:rsid w:val="7D250AA2"/>
    <w:rsid w:val="7D9C7CC2"/>
    <w:rsid w:val="7F5F9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jc w:val="center"/>
      <w:outlineLvl w:val="0"/>
    </w:pPr>
    <w:rPr>
      <w:rFonts w:eastAsia="黑体"/>
      <w:bCs/>
      <w:kern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rFonts w:eastAsia="仿宋_GB2312"/>
      <w:sz w:val="32"/>
      <w:szCs w:val="24"/>
    </w:rPr>
  </w:style>
  <w:style w:type="paragraph" w:styleId="3">
    <w:name w:val="Body Text"/>
    <w:basedOn w:val="1"/>
    <w:qFormat/>
    <w:uiPriority w:val="0"/>
    <w:pPr>
      <w:jc w:val="center"/>
    </w:pPr>
    <w:rPr>
      <w:rFonts w:eastAsia="华文中宋"/>
      <w:sz w:val="44"/>
    </w:rPr>
  </w:style>
  <w:style w:type="paragraph" w:styleId="5">
    <w:name w:val="annotation text"/>
    <w:basedOn w:val="1"/>
    <w:link w:val="19"/>
    <w:qFormat/>
    <w:uiPriority w:val="0"/>
    <w:pPr>
      <w:jc w:val="left"/>
    </w:pPr>
  </w:style>
  <w:style w:type="paragraph" w:styleId="6">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qFormat/>
    <w:uiPriority w:val="0"/>
    <w:rPr>
      <w:sz w:val="21"/>
      <w:szCs w:val="21"/>
    </w:rPr>
  </w:style>
  <w:style w:type="paragraph" w:customStyle="1" w:styleId="15">
    <w:name w:val="Heading4"/>
    <w:next w:val="1"/>
    <w:qFormat/>
    <w:uiPriority w:val="0"/>
    <w:pPr>
      <w:keepNext/>
      <w:keepLines/>
      <w:widowControl w:val="0"/>
      <w:spacing w:before="280" w:after="290" w:line="376" w:lineRule="auto"/>
      <w:jc w:val="both"/>
      <w:textAlignment w:val="baseline"/>
    </w:pPr>
    <w:rPr>
      <w:rFonts w:ascii="Cambria" w:hAnsi="Cambria" w:eastAsia="宋体" w:cs="Times New Roman"/>
      <w:b/>
      <w:bCs/>
      <w:kern w:val="2"/>
      <w:sz w:val="28"/>
      <w:szCs w:val="28"/>
      <w:lang w:val="en-US" w:eastAsia="zh-CN" w:bidi="ar-SA"/>
    </w:rPr>
  </w:style>
  <w:style w:type="character" w:customStyle="1" w:styleId="16">
    <w:name w:val="font51"/>
    <w:basedOn w:val="13"/>
    <w:qFormat/>
    <w:uiPriority w:val="0"/>
    <w:rPr>
      <w:rFonts w:hint="eastAsia" w:ascii="宋体" w:hAnsi="宋体" w:eastAsia="宋体" w:cs="宋体"/>
      <w:color w:val="000000"/>
      <w:sz w:val="24"/>
      <w:szCs w:val="24"/>
      <w:u w:val="none"/>
    </w:rPr>
  </w:style>
  <w:style w:type="character" w:customStyle="1" w:styleId="17">
    <w:name w:val="页眉 字符"/>
    <w:basedOn w:val="13"/>
    <w:link w:val="8"/>
    <w:qFormat/>
    <w:uiPriority w:val="0"/>
    <w:rPr>
      <w:kern w:val="2"/>
      <w:sz w:val="18"/>
      <w:szCs w:val="18"/>
    </w:rPr>
  </w:style>
  <w:style w:type="paragraph" w:customStyle="1" w:styleId="18">
    <w:name w:val="列出段落1"/>
    <w:basedOn w:val="1"/>
    <w:qFormat/>
    <w:uiPriority w:val="34"/>
    <w:pPr>
      <w:ind w:firstLine="420" w:firstLineChars="200"/>
    </w:pPr>
    <w:rPr>
      <w:rFonts w:ascii="Calibri" w:hAnsi="Calibri" w:cs="宋体"/>
    </w:rPr>
  </w:style>
  <w:style w:type="character" w:customStyle="1" w:styleId="19">
    <w:name w:val="批注文字 字符"/>
    <w:basedOn w:val="13"/>
    <w:link w:val="5"/>
    <w:qFormat/>
    <w:uiPriority w:val="0"/>
    <w:rPr>
      <w:kern w:val="2"/>
      <w:sz w:val="21"/>
      <w:szCs w:val="24"/>
    </w:rPr>
  </w:style>
  <w:style w:type="character" w:customStyle="1" w:styleId="20">
    <w:name w:val="批注主题 字符"/>
    <w:basedOn w:val="19"/>
    <w:link w:val="10"/>
    <w:qFormat/>
    <w:uiPriority w:val="0"/>
    <w:rPr>
      <w:b/>
      <w:bCs/>
      <w:kern w:val="2"/>
      <w:sz w:val="21"/>
      <w:szCs w:val="24"/>
    </w:rPr>
  </w:style>
  <w:style w:type="character" w:customStyle="1" w:styleId="21">
    <w:name w:val="页脚 字符"/>
    <w:basedOn w:val="13"/>
    <w:link w:val="7"/>
    <w:qFormat/>
    <w:uiPriority w:val="99"/>
    <w:rPr>
      <w:kern w:val="2"/>
      <w:sz w:val="18"/>
      <w:szCs w:val="18"/>
    </w:rPr>
  </w:style>
  <w:style w:type="paragraph"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3554</Words>
  <Characters>3756</Characters>
  <Lines>22</Lines>
  <Paragraphs>6</Paragraphs>
  <TotalTime>136</TotalTime>
  <ScaleCrop>false</ScaleCrop>
  <LinksUpToDate>false</LinksUpToDate>
  <CharactersWithSpaces>3758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2022-07-22T22:30:00Z</dcterms:created>
  <dc:creator>王榕</dc:creator>
  <cp:lastModifiedBy>hjx</cp:lastModifiedBy>
  <cp:lastPrinted>2021-06-04T11:18:00Z</cp:lastPrinted>
  <dcterms:modified xsi:type="dcterms:W3CDTF">2025-07-10T11:57:32Z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D4B5E7D599DD4574AC240C05B0A24C6A_13</vt:lpwstr>
  </property>
  <property fmtid="{D5CDD505-2E9C-101B-9397-08002B2CF9AE}" pid="4" name="KSOTemplateDocerSaveRecord">
    <vt:lpwstr>eyJoZGlkIjoiNzliOTU0NTc3ZTM1ZTYyZGY3YzYzMmZkODc4MjgyZWMiLCJ1c2VySWQiOiIzMjk0MTYzNTUifQ==</vt:lpwstr>
  </property>
</Properties>
</file>