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方正小标宋简体" w:hAnsi="方正小标宋简体" w:eastAsia="方正小标宋简体" w:cs="方正小标宋简体"/>
          <w:b w:val="0"/>
          <w:bCs/>
          <w:color w:val="000000" w:themeColor="text1"/>
          <w:szCs w:val="44"/>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Cs w:val="44"/>
          <w14:textFill>
            <w14:solidFill>
              <w14:schemeClr w14:val="tx1"/>
            </w14:solidFill>
          </w14:textFill>
        </w:rPr>
        <w:t>深圳市南山区文化广电旅游体育局主办体育赛事活动管理办法</w:t>
      </w:r>
    </w:p>
    <w:p>
      <w:pPr>
        <w:jc w:val="center"/>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（征求意见稿）</w:t>
      </w:r>
    </w:p>
    <w:p>
      <w:pPr>
        <w:jc w:val="center"/>
        <w:rPr>
          <w:rFonts w:hint="eastAsia" w:ascii="楷体_GB2312" w:hAnsi="楷体_GB2312" w:eastAsia="楷体_GB2312" w:cs="楷体_GB2312"/>
          <w:bCs/>
          <w:color w:val="000000" w:themeColor="text1"/>
          <w:sz w:val="32"/>
          <w:szCs w:val="32"/>
          <w14:textFill>
            <w14:solidFill>
              <w14:schemeClr w14:val="tx1"/>
            </w14:solidFill>
          </w14:textFill>
        </w:rPr>
      </w:pPr>
    </w:p>
    <w:p>
      <w:pPr>
        <w:numPr>
          <w:ilvl w:val="0"/>
          <w:numId w:val="1"/>
        </w:num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制定目的及依据</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为贯彻落实《关于支持深圳建设中国特色社会主义先行示范区的意见》</w:t>
      </w:r>
      <w:r>
        <w:rPr>
          <w:rFonts w:hint="eastAsia" w:ascii="仿宋_GB2312" w:eastAsia="仿宋_GB2312"/>
          <w:sz w:val="28"/>
          <w:szCs w:val="28"/>
        </w:rPr>
        <w:t>和《粤港澳大湾区发展规划纲要》“双区驱动”</w:t>
      </w:r>
      <w:r>
        <w:rPr>
          <w:rFonts w:hint="eastAsia" w:ascii="仿宋_GB2312" w:hAnsi="仿宋_GB2312" w:eastAsia="仿宋_GB2312" w:cs="仿宋_GB2312"/>
          <w:color w:val="000000"/>
          <w:sz w:val="28"/>
          <w:szCs w:val="28"/>
        </w:rPr>
        <w:t>精神，进一步</w:t>
      </w:r>
      <w:r>
        <w:rPr>
          <w:rFonts w:ascii="仿宋_GB2312" w:hAnsi="仿宋_GB2312" w:eastAsia="仿宋_GB2312" w:cs="仿宋_GB2312"/>
          <w:color w:val="000000"/>
          <w:sz w:val="28"/>
          <w:szCs w:val="28"/>
        </w:rPr>
        <w:t>强化</w:t>
      </w:r>
      <w:r>
        <w:rPr>
          <w:rFonts w:hint="eastAsia" w:ascii="仿宋_GB2312" w:hAnsi="仿宋_GB2312" w:eastAsia="仿宋_GB2312" w:cs="仿宋_GB2312"/>
          <w:color w:val="000000"/>
          <w:sz w:val="28"/>
          <w:szCs w:val="28"/>
        </w:rPr>
        <w:t>体育产业在南山区经济与社会发展中的推动作用，</w:t>
      </w:r>
      <w:r>
        <w:rPr>
          <w:rFonts w:ascii="仿宋_GB2312" w:hAnsi="仿宋_GB2312" w:eastAsia="仿宋_GB2312" w:cs="仿宋_GB2312"/>
          <w:color w:val="000000"/>
          <w:sz w:val="28"/>
          <w:szCs w:val="28"/>
        </w:rPr>
        <w:t>推动</w:t>
      </w:r>
      <w:r>
        <w:rPr>
          <w:rFonts w:hint="eastAsia" w:ascii="仿宋_GB2312" w:hAnsi="仿宋_GB2312" w:eastAsia="仿宋_GB2312" w:cs="仿宋_GB2312"/>
          <w:color w:val="000000"/>
          <w:sz w:val="28"/>
          <w:szCs w:val="28"/>
        </w:rPr>
        <w:t>体育强区</w:t>
      </w:r>
      <w:r>
        <w:rPr>
          <w:rFonts w:ascii="仿宋_GB2312" w:hAnsi="仿宋_GB2312" w:eastAsia="仿宋_GB2312" w:cs="仿宋_GB2312"/>
          <w:color w:val="000000"/>
          <w:sz w:val="28"/>
          <w:szCs w:val="28"/>
        </w:rPr>
        <w:t>建设</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打造</w:t>
      </w:r>
      <w:r>
        <w:rPr>
          <w:rFonts w:hint="eastAsia" w:ascii="仿宋_GB2312" w:hAnsi="仿宋_GB2312" w:eastAsia="仿宋_GB2312" w:cs="仿宋_GB2312"/>
          <w:color w:val="000000"/>
          <w:sz w:val="28"/>
          <w:szCs w:val="28"/>
        </w:rPr>
        <w:t>南山赛事品牌，促进体育产业</w:t>
      </w:r>
      <w:r>
        <w:rPr>
          <w:rFonts w:ascii="仿宋_GB2312" w:hAnsi="仿宋_GB2312" w:eastAsia="仿宋_GB2312" w:cs="仿宋_GB2312"/>
          <w:color w:val="000000"/>
          <w:sz w:val="28"/>
          <w:szCs w:val="28"/>
        </w:rPr>
        <w:t>高质量</w:t>
      </w:r>
      <w:r>
        <w:rPr>
          <w:rFonts w:hint="eastAsia" w:ascii="仿宋_GB2312" w:hAnsi="仿宋_GB2312" w:eastAsia="仿宋_GB2312" w:cs="仿宋_GB2312"/>
          <w:color w:val="000000"/>
          <w:sz w:val="28"/>
          <w:szCs w:val="28"/>
        </w:rPr>
        <w:t>发展，</w:t>
      </w:r>
      <w:r>
        <w:rPr>
          <w:rFonts w:hint="eastAsia" w:ascii="仿宋_GB2312" w:hAnsi="宋体" w:eastAsia="仿宋_GB2312" w:cs="宋体"/>
          <w:color w:val="000000"/>
          <w:sz w:val="28"/>
          <w:szCs w:val="28"/>
        </w:rPr>
        <w:t>根据《国务院关于加快发展体育产业促进体育消费的若干意见》（国发〔2014〕46号）《深圳市人民政府办公厅印发关于加快体育产业创新发展若干措施的通知》（深府办规〔2020〕4号）</w:t>
      </w:r>
      <w:r>
        <w:rPr>
          <w:rFonts w:hint="eastAsia" w:ascii="仿宋_GB2312" w:hAnsi="宋体" w:eastAsia="仿宋_GB2312" w:cs="宋体"/>
          <w:sz w:val="28"/>
          <w:szCs w:val="28"/>
        </w:rPr>
        <w:t>深圳市人民政府延续执行的《深圳市市级财政专项资金管理办法》（深府规〔2018〕12号）等有关规定，</w:t>
      </w:r>
      <w:r>
        <w:rPr>
          <w:rFonts w:hint="eastAsia" w:ascii="仿宋_GB2312" w:hAnsi="宋体" w:eastAsia="仿宋_GB2312" w:cs="宋体"/>
          <w:color w:val="000000"/>
          <w:sz w:val="28"/>
          <w:szCs w:val="28"/>
        </w:rPr>
        <w:t>制定本办法。</w:t>
      </w:r>
    </w:p>
    <w:p>
      <w:pPr>
        <w:numPr>
          <w:ilvl w:val="0"/>
          <w:numId w:val="1"/>
        </w:num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 xml:space="preserve"> 适用范围</w:t>
      </w:r>
    </w:p>
    <w:p>
      <w:pPr>
        <w:spacing w:line="560" w:lineRule="exact"/>
        <w:ind w:firstLine="560" w:firstLineChars="200"/>
        <w:rPr>
          <w:rFonts w:hint="eastAsia" w:ascii="仿宋_GB2312" w:hAnsi="仿宋_GB2312" w:eastAsia="仿宋_GB2312" w:cs="仿宋_GB2312"/>
          <w:sz w:val="28"/>
          <w:szCs w:val="28"/>
        </w:rPr>
      </w:pPr>
      <w:bookmarkStart w:id="0" w:name="_Hlk45894324"/>
      <w:r>
        <w:rPr>
          <w:rFonts w:hint="eastAsia" w:ascii="仿宋_GB2312" w:hAnsi="仿宋_GB2312" w:eastAsia="仿宋_GB2312" w:cs="仿宋_GB2312"/>
          <w:sz w:val="28"/>
          <w:szCs w:val="28"/>
        </w:rPr>
        <w:t>本</w:t>
      </w:r>
      <w:r>
        <w:rPr>
          <w:rFonts w:hint="eastAsia" w:ascii="仿宋_GB2312" w:hAnsi="宋体" w:eastAsia="仿宋_GB2312" w:cs="宋体"/>
          <w:color w:val="000000"/>
          <w:sz w:val="28"/>
          <w:szCs w:val="28"/>
        </w:rPr>
        <w:t>办法</w:t>
      </w:r>
      <w:r>
        <w:rPr>
          <w:rFonts w:hint="eastAsia" w:ascii="仿宋_GB2312" w:hAnsi="仿宋_GB2312" w:eastAsia="仿宋_GB2312" w:cs="仿宋_GB2312"/>
          <w:sz w:val="28"/>
          <w:szCs w:val="28"/>
        </w:rPr>
        <w:t>适用于深圳市南山区文化广电旅游体育局（以下简称“区文化广电旅游体育局</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）主办的体育活动和赛事。</w:t>
      </w:r>
    </w:p>
    <w:bookmarkEnd w:id="0"/>
    <w:p>
      <w:pPr>
        <w:numPr>
          <w:ilvl w:val="0"/>
          <w:numId w:val="1"/>
        </w:num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 xml:space="preserve"> 办赛原则</w:t>
      </w:r>
    </w:p>
    <w:p>
      <w:pPr>
        <w:spacing w:line="560" w:lineRule="exact"/>
        <w:ind w:firstLine="560" w:firstLineChars="200"/>
        <w:rPr>
          <w:rFonts w:hint="eastAsia" w:ascii="仿宋_GB2312" w:hAnsi="仿宋_GB2312" w:eastAsia="仿宋_GB2312" w:cs="仿宋_GB2312"/>
          <w:color w:val="040404"/>
          <w:sz w:val="28"/>
          <w:szCs w:val="28"/>
          <w:shd w:val="clear" w:color="auto" w:fill="FFFFFF"/>
        </w:rPr>
      </w:pPr>
      <w:r>
        <w:rPr>
          <w:rFonts w:hint="eastAsia" w:ascii="仿宋_GB2312" w:hAnsi="仿宋_GB2312" w:eastAsia="仿宋_GB2312" w:cs="仿宋_GB2312"/>
          <w:color w:val="040404"/>
          <w:sz w:val="28"/>
          <w:szCs w:val="28"/>
          <w:shd w:val="clear" w:color="auto" w:fill="FFFFFF"/>
        </w:rPr>
        <w:t>体育赛事活动应当坚持政府监管与行业自律相结合的原则，实行分级分类管理，加强事中事后监管，优化赛事活动</w:t>
      </w:r>
      <w:r>
        <w:rPr>
          <w:rFonts w:ascii="仿宋_GB2312" w:hAnsi="仿宋_GB2312" w:eastAsia="仿宋_GB2312" w:cs="仿宋_GB2312"/>
          <w:color w:val="040404"/>
          <w:sz w:val="28"/>
          <w:szCs w:val="28"/>
          <w:shd w:val="clear" w:color="auto" w:fill="FFFFFF"/>
        </w:rPr>
        <w:t>内容</w:t>
      </w:r>
      <w:r>
        <w:rPr>
          <w:rFonts w:hint="eastAsia" w:ascii="仿宋_GB2312" w:hAnsi="仿宋_GB2312" w:eastAsia="仿宋_GB2312" w:cs="仿宋_GB2312"/>
          <w:color w:val="040404"/>
          <w:sz w:val="28"/>
          <w:szCs w:val="28"/>
          <w:shd w:val="clear" w:color="auto" w:fill="FFFFFF"/>
        </w:rPr>
        <w:t>。</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第四条  </w:t>
      </w:r>
      <w:bookmarkStart w:id="1" w:name="_Hlk167462566"/>
      <w:r>
        <w:rPr>
          <w:rFonts w:hint="eastAsia" w:ascii="仿宋_GB2312" w:hAnsi="仿宋_GB2312" w:eastAsia="仿宋_GB2312" w:cs="仿宋_GB2312"/>
          <w:b/>
          <w:bCs/>
          <w:sz w:val="28"/>
          <w:szCs w:val="28"/>
        </w:rPr>
        <w:t>体育赛事活动组织者</w:t>
      </w:r>
      <w:bookmarkEnd w:id="1"/>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体育赛事活动组织者包括主办单位、承办单位和协办单位。</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本办法所称主办单位是指发起举办体育赛事活动的组织，为深圳市南山区文化广电旅游体育局。</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本办法所称承办单位是指根据本办法产生的、受主办单位委托， 具体负责筹备、实施体育赛事活动的组织。</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协办单位是指提供一定业务指导或者物质及人力支持、协助举办体育赛事活动的组织。</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承办单位和协办单位应当对其向体育赛事提供的产品、服务、场地设施和设备等的质量和安全负责。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主办单位、承办单位和协办单位等体育赛事活动组织者应当履行安全保障义务，对体育赛事活动安全负责，赛前应当通过书面协议方式约定权利义务和责任分工。</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第五条</w:t>
      </w:r>
      <w:r>
        <w:rPr>
          <w:rFonts w:ascii="仿宋_GB2312" w:hAnsi="黑体" w:eastAsia="仿宋_GB2312"/>
          <w:b/>
          <w:sz w:val="28"/>
          <w:szCs w:val="28"/>
        </w:rPr>
        <w:t xml:space="preserve"> </w:t>
      </w:r>
      <w:r>
        <w:rPr>
          <w:rFonts w:hint="eastAsia" w:ascii="仿宋_GB2312" w:hAnsi="黑体" w:eastAsia="仿宋_GB2312"/>
          <w:b/>
          <w:sz w:val="28"/>
          <w:szCs w:val="28"/>
        </w:rPr>
        <w:t>体育赛事活动工作机构</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（一）</w:t>
      </w:r>
      <w:r>
        <w:rPr>
          <w:rFonts w:hint="eastAsia" w:ascii="仿宋_GB2312" w:hAnsi="黑体" w:eastAsia="仿宋_GB2312"/>
          <w:bCs/>
          <w:sz w:val="28"/>
          <w:szCs w:val="28"/>
        </w:rPr>
        <w:t>赛事活动主办单位和承办单位应当建立组织委员会（以下简称“组委会”）等组织机制，组委会一般由赛事活动主办单位和承办单位的领导与相关人员共同组成，统一领导和落实赛事活动的各项筹备工作。</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（二）</w:t>
      </w:r>
      <w:r>
        <w:rPr>
          <w:rFonts w:hint="eastAsia" w:ascii="仿宋_GB2312" w:hAnsi="黑体" w:eastAsia="仿宋_GB2312"/>
          <w:bCs/>
          <w:sz w:val="28"/>
          <w:szCs w:val="28"/>
        </w:rPr>
        <w:t>组委会可根据赛事活动性质、级别、规模等综合考虑，设置但不限于以下工作机构：办公室、竞赛组、安全组、医疗组、交通组、宣传组、后勤组、应急组等。</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（三）</w:t>
      </w:r>
      <w:r>
        <w:rPr>
          <w:rFonts w:hint="eastAsia" w:ascii="仿宋_GB2312" w:hAnsi="黑体" w:eastAsia="仿宋_GB2312"/>
          <w:bCs/>
          <w:sz w:val="28"/>
          <w:szCs w:val="28"/>
        </w:rPr>
        <w:t>工作机构在组委会的直接领导和管理下协同合作，履行各自工作职责，</w:t>
      </w:r>
      <w:r>
        <w:rPr>
          <w:rFonts w:ascii="仿宋_GB2312" w:hAnsi="黑体" w:eastAsia="仿宋_GB2312"/>
          <w:bCs/>
          <w:sz w:val="28"/>
          <w:szCs w:val="28"/>
        </w:rPr>
        <w:t>相关</w:t>
      </w:r>
      <w:r>
        <w:rPr>
          <w:rFonts w:hint="eastAsia" w:ascii="仿宋_GB2312" w:hAnsi="黑体" w:eastAsia="仿宋_GB2312"/>
          <w:bCs/>
          <w:sz w:val="28"/>
          <w:szCs w:val="28"/>
        </w:rPr>
        <w:t>内容可根据实际需要进行调整，但组织赛事活动时各</w:t>
      </w:r>
      <w:r>
        <w:rPr>
          <w:rFonts w:ascii="仿宋_GB2312" w:hAnsi="黑体" w:eastAsia="仿宋_GB2312"/>
          <w:bCs/>
          <w:sz w:val="28"/>
          <w:szCs w:val="28"/>
        </w:rPr>
        <w:t>自</w:t>
      </w:r>
      <w:r>
        <w:rPr>
          <w:rFonts w:hint="eastAsia" w:ascii="仿宋_GB2312" w:hAnsi="黑体" w:eastAsia="仿宋_GB2312"/>
          <w:bCs/>
          <w:sz w:val="28"/>
          <w:szCs w:val="28"/>
        </w:rPr>
        <w:t>工作职责内容应尽可能清晰。</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 xml:space="preserve">第六条  裁判员确定 </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主办单位或承办单位应当根据国家或全国性单项体育协会有关裁判员管理的规定，按照公开、公平、择优、中立的原则确定体育赛事活动的裁判员。</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第七条</w:t>
      </w:r>
      <w:r>
        <w:rPr>
          <w:rFonts w:ascii="仿宋_GB2312" w:hAnsi="黑体" w:eastAsia="仿宋_GB2312"/>
          <w:b/>
          <w:sz w:val="28"/>
          <w:szCs w:val="28"/>
        </w:rPr>
        <w:t xml:space="preserve">  </w:t>
      </w:r>
      <w:r>
        <w:rPr>
          <w:rFonts w:hint="eastAsia" w:ascii="仿宋_GB2312" w:hAnsi="黑体" w:eastAsia="仿宋_GB2312"/>
          <w:b/>
          <w:sz w:val="28"/>
          <w:szCs w:val="28"/>
        </w:rPr>
        <w:t>行为规范</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体育赛事活动相关人员（包括参赛者、裁判员、志愿者、观众、体育赛事活动组织机构工作人员等）应当履行诚信、安全、有序的办赛、参赛、观赛义务，做</w:t>
      </w:r>
      <w:r>
        <w:rPr>
          <w:rFonts w:ascii="仿宋_GB2312" w:hAnsi="黑体" w:eastAsia="仿宋_GB2312"/>
          <w:bCs/>
          <w:sz w:val="28"/>
          <w:szCs w:val="28"/>
        </w:rPr>
        <w:t>好以</w:t>
      </w:r>
      <w:r>
        <w:rPr>
          <w:rFonts w:hint="eastAsia" w:ascii="仿宋_GB2312" w:hAnsi="黑体" w:eastAsia="仿宋_GB2312"/>
          <w:bCs/>
          <w:sz w:val="28"/>
          <w:szCs w:val="28"/>
        </w:rPr>
        <w:t>下事项：</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（一）遵守相关法律法规、规章</w:t>
      </w:r>
      <w:r>
        <w:rPr>
          <w:rFonts w:ascii="仿宋_GB2312" w:hAnsi="黑体" w:eastAsia="仿宋_GB2312"/>
          <w:bCs/>
          <w:sz w:val="28"/>
          <w:szCs w:val="28"/>
        </w:rPr>
        <w:t>制度</w:t>
      </w:r>
      <w:r>
        <w:rPr>
          <w:rFonts w:hint="eastAsia"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（二）遵守体育道德，遵守赛事规则、竞赛规程、赛场行为规范以及其他规定，不得有使用违禁药物、操纵比赛以及冒名顶替、弄虚作假等行为；</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（三）遵守组委会提出的相关规定，自觉接受安全检查，服从现场管理，不得携带危险品</w:t>
      </w:r>
      <w:r>
        <w:rPr>
          <w:rFonts w:ascii="仿宋_GB2312" w:hAnsi="黑体" w:eastAsia="仿宋_GB2312"/>
          <w:bCs/>
          <w:sz w:val="28"/>
          <w:szCs w:val="28"/>
        </w:rPr>
        <w:t>进</w:t>
      </w:r>
      <w:r>
        <w:rPr>
          <w:rFonts w:hint="eastAsia" w:ascii="仿宋_GB2312" w:hAnsi="黑体" w:eastAsia="仿宋_GB2312"/>
          <w:bCs/>
          <w:sz w:val="28"/>
          <w:szCs w:val="28"/>
        </w:rPr>
        <w:t>入赛场；</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（四）遵守社会公德，不得损坏体育设施，不得扰乱和破坏体育赛事秩序和社会治安，不得在体育赛事活动中有违反社会公序良俗等言行。</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第八条</w:t>
      </w:r>
      <w:r>
        <w:rPr>
          <w:rFonts w:ascii="仿宋_GB2312" w:hAnsi="黑体" w:eastAsia="仿宋_GB2312"/>
          <w:b/>
          <w:sz w:val="28"/>
          <w:szCs w:val="28"/>
        </w:rPr>
        <w:t xml:space="preserve">  </w:t>
      </w:r>
      <w:r>
        <w:rPr>
          <w:rFonts w:hint="eastAsia" w:ascii="仿宋_GB2312" w:hAnsi="黑体" w:eastAsia="仿宋_GB2312"/>
          <w:b/>
          <w:sz w:val="28"/>
          <w:szCs w:val="28"/>
        </w:rPr>
        <w:t>权益保障</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（一）</w:t>
      </w:r>
      <w:r>
        <w:rPr>
          <w:rFonts w:hint="eastAsia" w:ascii="仿宋_GB2312" w:hAnsi="黑体" w:eastAsia="仿宋_GB2312"/>
          <w:bCs/>
          <w:sz w:val="28"/>
          <w:szCs w:val="28"/>
        </w:rPr>
        <w:t>公民、法人和其他组织依法参与体育赛事活动，享有获得基本安全保障、赛事服务等权利。</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（二）</w:t>
      </w:r>
      <w:r>
        <w:rPr>
          <w:rFonts w:hint="eastAsia" w:ascii="仿宋_GB2312" w:hAnsi="黑体" w:eastAsia="仿宋_GB2312"/>
          <w:bCs/>
          <w:sz w:val="28"/>
          <w:szCs w:val="28"/>
        </w:rPr>
        <w:t>体育赛事活动承办单位因办赛需要使用个人、法人和其他组织相关信息的，应当保障信息安全，建立信息安全管理制度，不得违法使用或泄漏。</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第九条 信息公布</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（一）</w:t>
      </w:r>
      <w:r>
        <w:rPr>
          <w:rFonts w:hint="eastAsia" w:ascii="仿宋_GB2312" w:hAnsi="黑体" w:eastAsia="仿宋_GB2312"/>
          <w:bCs/>
          <w:sz w:val="28"/>
          <w:szCs w:val="28"/>
        </w:rPr>
        <w:t>承办单位应当在开赛</w:t>
      </w:r>
      <w:r>
        <w:rPr>
          <w:rFonts w:ascii="仿宋_GB2312" w:hAnsi="黑体" w:eastAsia="仿宋_GB2312"/>
          <w:bCs/>
          <w:sz w:val="28"/>
          <w:szCs w:val="28"/>
        </w:rPr>
        <w:t>7日前，通过</w:t>
      </w:r>
      <w:r>
        <w:rPr>
          <w:rFonts w:hint="eastAsia" w:ascii="仿宋_GB2312" w:hAnsi="黑体" w:eastAsia="仿宋_GB2312"/>
          <w:bCs/>
          <w:sz w:val="28"/>
          <w:szCs w:val="28"/>
        </w:rPr>
        <w:t>主办单位指定途</w:t>
      </w:r>
      <w:r>
        <w:rPr>
          <w:rFonts w:ascii="仿宋_GB2312" w:hAnsi="黑体" w:eastAsia="仿宋_GB2312"/>
          <w:bCs/>
          <w:sz w:val="28"/>
          <w:szCs w:val="28"/>
        </w:rPr>
        <w:t>途径向社会公布竞赛规程，公开体育赛事活动的名称、时间、地点、主办</w:t>
      </w:r>
      <w:r>
        <w:rPr>
          <w:rFonts w:hint="eastAsia" w:ascii="仿宋_GB2312" w:hAnsi="黑体" w:eastAsia="仿宋_GB2312"/>
          <w:bCs/>
          <w:sz w:val="28"/>
          <w:szCs w:val="28"/>
        </w:rPr>
        <w:t>单位</w:t>
      </w:r>
      <w:r>
        <w:rPr>
          <w:rFonts w:ascii="仿宋_GB2312" w:hAnsi="黑体" w:eastAsia="仿宋_GB2312"/>
          <w:bCs/>
          <w:sz w:val="28"/>
          <w:szCs w:val="28"/>
        </w:rPr>
        <w:t>、承办</w:t>
      </w:r>
      <w:r>
        <w:rPr>
          <w:rFonts w:hint="eastAsia" w:ascii="仿宋_GB2312" w:hAnsi="黑体" w:eastAsia="仿宋_GB2312"/>
          <w:bCs/>
          <w:sz w:val="28"/>
          <w:szCs w:val="28"/>
        </w:rPr>
        <w:t>单位</w:t>
      </w:r>
      <w:r>
        <w:rPr>
          <w:rFonts w:ascii="仿宋_GB2312" w:hAnsi="黑体" w:eastAsia="仿宋_GB2312"/>
          <w:bCs/>
          <w:sz w:val="28"/>
          <w:szCs w:val="28"/>
        </w:rPr>
        <w:t>、参赛条件及奖惩办法等基本信息。</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（二）</w:t>
      </w:r>
      <w:r>
        <w:rPr>
          <w:rFonts w:hint="eastAsia" w:ascii="仿宋_GB2312" w:hAnsi="黑体" w:eastAsia="仿宋_GB2312"/>
          <w:bCs/>
          <w:sz w:val="28"/>
          <w:szCs w:val="28"/>
        </w:rPr>
        <w:t>群众性、应急性体育赛事活动审批，可实行即时性审批。因特殊原因确需变更赛事活动基本信息或取消赛事活动的，主办单位或承办单位应当在开赛前及时向社会发布变更公告，并做好后续工作。</w:t>
      </w:r>
    </w:p>
    <w:p>
      <w:pPr>
        <w:spacing w:line="560" w:lineRule="exact"/>
        <w:ind w:firstLine="560" w:firstLineChars="200"/>
        <w:rPr>
          <w:rFonts w:hint="eastAsia" w:ascii="仿宋_GB2312" w:hAnsi="黑体" w:eastAsia="仿宋_GB2312"/>
          <w:b/>
          <w:sz w:val="28"/>
          <w:szCs w:val="28"/>
        </w:rPr>
      </w:pPr>
      <w:r>
        <w:rPr>
          <w:rFonts w:ascii="仿宋_GB2312" w:hAnsi="黑体" w:eastAsia="仿宋_GB2312"/>
          <w:bCs/>
          <w:sz w:val="28"/>
          <w:szCs w:val="28"/>
        </w:rPr>
        <w:t>（三）</w:t>
      </w:r>
      <w:r>
        <w:rPr>
          <w:rFonts w:hint="eastAsia" w:ascii="仿宋_GB2312" w:hAnsi="黑体" w:eastAsia="仿宋_GB2312"/>
          <w:bCs/>
          <w:sz w:val="28"/>
          <w:szCs w:val="28"/>
        </w:rPr>
        <w:t>体育赛事活动因自然灾害、政府行为、重大突发事件等因素确需变更时间、地点、内容、规模或取消的，主办单位应当在获得相关信息后及时公告。</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第十条  承办单位条件</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w:t>
      </w:r>
      <w:r>
        <w:rPr>
          <w:rFonts w:ascii="仿宋_GB2312" w:hAnsi="黑体" w:eastAsia="仿宋_GB2312"/>
          <w:bCs/>
          <w:sz w:val="28"/>
          <w:szCs w:val="28"/>
        </w:rPr>
        <w:t>一</w:t>
      </w:r>
      <w:r>
        <w:rPr>
          <w:rFonts w:hint="eastAsia" w:ascii="仿宋_GB2312" w:hAnsi="黑体" w:eastAsia="仿宋_GB2312"/>
          <w:bCs/>
          <w:sz w:val="28"/>
          <w:szCs w:val="28"/>
        </w:rPr>
        <w:t>）承办单位必须是依法成立的法人组织和非法人组织。</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（二）承办单位必须具有良好的社会信誉和管理水平，近三年来无重大违法记录。</w:t>
      </w:r>
      <w:r>
        <w:rPr>
          <w:rFonts w:ascii="仿宋_GB2312" w:hAnsi="黑体" w:eastAsia="仿宋_GB2312"/>
          <w:bCs/>
          <w:sz w:val="28"/>
          <w:szCs w:val="28"/>
        </w:rPr>
        <w:t xml:space="preserve"> </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（三）承办单位须具有足够的赛事组织能力、赛事人员以及市场运作、宣传推广等能力。</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（四）承办单位应保证承办费用做到专款专用，不得挪为它用。</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（五）承办单位制定的相关承办方案应切实可行，项目预期效益或者绩效目标明确清晰、合理、可考核。</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（六）承办单位应对提交的申报材料真实性、合法性、有效性负责，不得弄虚作假、套取、骗取专项资金。</w:t>
      </w:r>
    </w:p>
    <w:p>
      <w:pPr>
        <w:spacing w:line="560" w:lineRule="exact"/>
        <w:ind w:firstLine="560" w:firstLineChars="200"/>
        <w:rPr>
          <w:rFonts w:hint="eastAsia" w:ascii="仿宋_GB2312" w:hAnsi="黑体" w:eastAsia="仿宋_GB2312"/>
          <w:b/>
          <w:sz w:val="28"/>
          <w:szCs w:val="28"/>
        </w:rPr>
      </w:pPr>
      <w:r>
        <w:rPr>
          <w:rFonts w:hint="eastAsia" w:ascii="仿宋_GB2312" w:hAnsi="黑体" w:eastAsia="仿宋_GB2312"/>
          <w:bCs/>
          <w:sz w:val="28"/>
          <w:szCs w:val="28"/>
        </w:rPr>
        <w:t>（七）承办单位及其负责人或法定代表人、项目负责人未被列入《严重违法失信企业名单》《深圳市市场监管部门失信惩戒清单》及国家和本市相关部门联合奖惩备忘录清单。不同的承办单位申请人的负责人或法定代表人不能为同一人，或者存在直接控股、管理关系。</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第十一条 承办单位的确定</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结合体育赛事活动的具体内容和特点，区文化广电旅游体育局主办的体育活动和赛事，通过采用以下流程确定承办单位：</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（一）发布公告。由区文化广电旅游体育局在南山区人民政府网站、区文化广电旅游体育局公告栏发布即将主办的体育活动和赛事的公告。</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（二）申报。符合本办法第</w:t>
      </w:r>
      <w:r>
        <w:rPr>
          <w:rFonts w:ascii="仿宋_GB2312" w:hAnsi="黑体" w:eastAsia="仿宋_GB2312"/>
          <w:bCs/>
          <w:sz w:val="28"/>
          <w:szCs w:val="28"/>
        </w:rPr>
        <w:t>四</w:t>
      </w:r>
      <w:r>
        <w:rPr>
          <w:rFonts w:hint="eastAsia" w:ascii="仿宋_GB2312" w:hAnsi="黑体" w:eastAsia="仿宋_GB2312"/>
          <w:bCs/>
          <w:sz w:val="28"/>
          <w:szCs w:val="28"/>
        </w:rPr>
        <w:t>条规定和赛事公告要求的社会组织可进行申报，并提交以下材料：</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1.</w:t>
      </w:r>
      <w:r>
        <w:rPr>
          <w:rFonts w:hint="eastAsia" w:ascii="仿宋_GB2312" w:hAnsi="黑体" w:eastAsia="仿宋_GB2312"/>
          <w:bCs/>
          <w:sz w:val="28"/>
          <w:szCs w:val="28"/>
        </w:rPr>
        <w:t>营业执照或</w:t>
      </w:r>
      <w:r>
        <w:rPr>
          <w:rFonts w:ascii="仿宋_GB2312" w:hAnsi="黑体" w:eastAsia="仿宋_GB2312"/>
          <w:bCs/>
          <w:sz w:val="28"/>
          <w:szCs w:val="28"/>
        </w:rPr>
        <w:t>法人登记证书；</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2.区文化广电旅游体育局主办体育赛事项目申请表（附件1）；</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3.体育赛事承办工作方案；</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4.体育赛事经费预算方案；</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5.安全风险防控工作方案；</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6.应急处置工作预案；</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7.能够满足举办体育赛事活动技术标准与组织管理的各项办赛条件证明文件；</w:t>
      </w:r>
    </w:p>
    <w:p>
      <w:pPr>
        <w:spacing w:line="560" w:lineRule="exact"/>
        <w:ind w:firstLine="560" w:firstLineChars="200"/>
        <w:rPr>
          <w:rFonts w:hint="eastAsia" w:ascii="仿宋_GB2312" w:hAnsi="黑体" w:eastAsia="仿宋_GB2312"/>
          <w:bCs/>
          <w:sz w:val="28"/>
          <w:szCs w:val="28"/>
        </w:rPr>
      </w:pPr>
      <w:r>
        <w:rPr>
          <w:rFonts w:ascii="仿宋_GB2312" w:hAnsi="黑体" w:eastAsia="仿宋_GB2312"/>
          <w:bCs/>
          <w:sz w:val="28"/>
          <w:szCs w:val="28"/>
        </w:rPr>
        <w:t>8.办赛经历证明文件，如与国际单项体育联合会、国家体育管理部门、省体育管理部门等签订的赛事或大型体育活动运营授权书、合同或批文等。</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（三）初审。区文化广电旅游体育局对申报材料进行初审，确定初审通过名单后报至评审委员会进行评审。</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（四）评审。通过邀请体育相关领域专家组成评审委员会，开展评审工作，综合办赛经验、专业程度、办赛预算等因素确定拟入选单位。</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（五）公示。区文化广电旅游体育局应将拟入选单位在南山区人民政府网站、区文化广电旅游体育局公告栏公示，公示期为</w:t>
      </w:r>
      <w:r>
        <w:rPr>
          <w:rFonts w:ascii="仿宋_GB2312" w:hAnsi="黑体" w:eastAsia="仿宋_GB2312"/>
          <w:bCs/>
          <w:sz w:val="28"/>
          <w:szCs w:val="28"/>
        </w:rPr>
        <w:t>5个工作日。公示期内无异议或异议不成立的，</w:t>
      </w:r>
      <w:r>
        <w:rPr>
          <w:rFonts w:hint="eastAsia" w:ascii="仿宋_GB2312" w:hAnsi="黑体" w:eastAsia="仿宋_GB2312"/>
          <w:bCs/>
          <w:sz w:val="28"/>
          <w:szCs w:val="28"/>
        </w:rPr>
        <w:t>报送区文化广电旅游体育局党组会研究审定。</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六）签订协议。经区文化广电旅游体育局党组会研究审定后，承办单位应在区文化广电旅游体育局发布的签约通知确定的期限内，与区文化广电旅游体育局签订《深圳市南山区文化广电旅游体育局主办体育赛事活动协议书》（附件</w:t>
      </w:r>
      <w:r>
        <w:rPr>
          <w:rFonts w:ascii="仿宋_GB2312" w:hAnsi="黑体" w:eastAsia="仿宋_GB2312"/>
          <w:bCs/>
          <w:sz w:val="28"/>
          <w:szCs w:val="28"/>
        </w:rPr>
        <w:t>2），明确各方权利义务。逾期不签订协议的，视为放弃承办资格。</w:t>
      </w:r>
    </w:p>
    <w:p>
      <w:pPr>
        <w:spacing w:line="560" w:lineRule="exact"/>
        <w:ind w:firstLine="560" w:firstLineChars="200"/>
        <w:rPr>
          <w:rFonts w:hint="eastAsia" w:ascii="仿宋_GB2312" w:hAnsi="黑体" w:eastAsia="仿宋_GB2312"/>
          <w:b/>
          <w:sz w:val="28"/>
          <w:szCs w:val="28"/>
        </w:rPr>
      </w:pPr>
      <w:r>
        <w:rPr>
          <w:rFonts w:hint="eastAsia" w:ascii="仿宋_GB2312" w:hAnsi="黑体" w:eastAsia="仿宋_GB2312"/>
          <w:bCs/>
          <w:sz w:val="28"/>
          <w:szCs w:val="28"/>
        </w:rPr>
        <w:t>（七）付款。《深圳市南山区文化广电旅游体育局主办体育赛事活动协议书》生效后，区文化广电旅游体育局首次支付的项目经费不超过总额的</w:t>
      </w:r>
      <w:r>
        <w:rPr>
          <w:rFonts w:ascii="仿宋_GB2312" w:hAnsi="黑体" w:eastAsia="仿宋_GB2312"/>
          <w:bCs/>
          <w:sz w:val="28"/>
          <w:szCs w:val="28"/>
        </w:rPr>
        <w:t>70%，余款待项目完成验收和审计后根据审计结果支付。</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第十二条  承办单位的责任</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举办体育赛事活动，承办单位根据需要，应做好</w:t>
      </w:r>
      <w:r>
        <w:rPr>
          <w:rFonts w:ascii="仿宋_GB2312" w:hAnsi="黑体" w:eastAsia="仿宋_GB2312"/>
          <w:bCs/>
          <w:sz w:val="28"/>
          <w:szCs w:val="28"/>
        </w:rPr>
        <w:t>以下</w:t>
      </w:r>
      <w:r>
        <w:rPr>
          <w:rFonts w:hint="eastAsia" w:ascii="仿宋_GB2312" w:hAnsi="黑体" w:eastAsia="仿宋_GB2312"/>
          <w:bCs/>
          <w:sz w:val="28"/>
          <w:szCs w:val="28"/>
        </w:rPr>
        <w:t>保障工作</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（一）配备具有相应资格或资质的专业技术人员</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（二）配置符合相关标准和要求的场馆、场地、道具、器材和设施等</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（三）落实医疗保障、卫生防疫、食品安全、交通运输、安全保卫、生态保护等相关措施。</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（四）对重要体育赛事活动进行风险评估，制定应急救援预案、气象保障及极端天气防范方案</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（五）按照国家有关规定开展反兴奋剂和赛风赛纪教育管理工作</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（六）体育赛事活动对参赛者身体条件有特殊要求的，承办单位应当要求其提供符合体育赛事活动要求的身体状况证明，参赛者应予以配合。</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（七）承办单位应当主动购买公众责任方面的保险。鼓励其他赛事活动协办方、参与者购买公众责任或意外伤害方面的保险。</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（八）法律、法规、规章规定的其他责任。</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第十三条  承办单位申报变更情况处理</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承办单位应按期开展相关赛事，在发生以下情况时需及时提交书面申请</w:t>
      </w:r>
      <w:r>
        <w:rPr>
          <w:rFonts w:ascii="仿宋_GB2312" w:hAnsi="黑体" w:eastAsia="仿宋_GB2312"/>
          <w:bCs/>
          <w:sz w:val="28"/>
          <w:szCs w:val="28"/>
        </w:rPr>
        <w:t>，并</w:t>
      </w:r>
      <w:r>
        <w:rPr>
          <w:rFonts w:hint="eastAsia" w:ascii="仿宋_GB2312" w:hAnsi="黑体" w:eastAsia="仿宋_GB2312"/>
          <w:bCs/>
          <w:sz w:val="28"/>
          <w:szCs w:val="28"/>
        </w:rPr>
        <w:t>附相关报告及文件，经职能科室审核后报党组会审批、决定：</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（一）赛事延期开展</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（二）赛事取消</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（三）赛事项目金额或预算明细有较大变动</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（四）项目的赛事形式发生变更</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（五）项目终止</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（六）其他需要审批的重大变更事项。</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经费必须是专款专用，承办单位不得侵吞、挪用。项目因故终止、撤销的，承办单位应及时清理账目和资金，并将剩余资助资金如数退回。</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区文化广电旅游体育局首次支付项目经费后，承办单位因自身原因或不可抗力因素造成承办的体育赛事活动未实施的，需书面说明原因并全额退回项目经费。</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第十四条  对承办单位的验收程序</w:t>
      </w:r>
    </w:p>
    <w:p>
      <w:pPr>
        <w:spacing w:line="560" w:lineRule="exact"/>
        <w:ind w:firstLine="560" w:firstLineChars="200"/>
        <w:rPr>
          <w:rFonts w:hint="eastAsia" w:ascii="仿宋_GB2312" w:hAnsi="黑体" w:eastAsia="仿宋_GB2312"/>
          <w:b/>
          <w:sz w:val="28"/>
          <w:szCs w:val="28"/>
        </w:rPr>
      </w:pPr>
      <w:r>
        <w:rPr>
          <w:rFonts w:hint="eastAsia" w:ascii="仿宋_GB2312" w:hAnsi="黑体" w:eastAsia="仿宋_GB2312"/>
          <w:bCs/>
          <w:sz w:val="28"/>
          <w:szCs w:val="28"/>
        </w:rPr>
        <w:t>承办单位应自项目完成之日起</w:t>
      </w:r>
      <w:r>
        <w:rPr>
          <w:rFonts w:ascii="仿宋_GB2312" w:hAnsi="黑体" w:eastAsia="仿宋_GB2312"/>
          <w:bCs/>
          <w:sz w:val="28"/>
          <w:szCs w:val="28"/>
        </w:rPr>
        <w:t>15个工作日内向区文化广电旅游体育局提交验收材料，内容包括：秩序册、成绩册、赛事总结、赛事相关现场照片及视频、费用明细表、验收申请书等。区文化广电旅游体育局接到验收申请材料后对项目的承办情况进行验收。</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第十五条</w:t>
      </w:r>
      <w:r>
        <w:rPr>
          <w:rFonts w:ascii="仿宋_GB2312" w:hAnsi="黑体" w:eastAsia="仿宋_GB2312"/>
          <w:b/>
          <w:sz w:val="28"/>
          <w:szCs w:val="28"/>
        </w:rPr>
        <w:t xml:space="preserve">  </w:t>
      </w:r>
      <w:r>
        <w:rPr>
          <w:rFonts w:hint="eastAsia" w:ascii="仿宋_GB2312" w:hAnsi="黑体" w:eastAsia="仿宋_GB2312"/>
          <w:b/>
          <w:sz w:val="28"/>
          <w:szCs w:val="28"/>
        </w:rPr>
        <w:t>不予验收情况</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体育赛事活动承办单位有下列情形之一者，为验收不合格，将承担违约责任，区文化广电旅游体育局有权视情形依法做出相应处理</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（一）违反《体育法》等其他有关规定的</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（二）有严重弄虚作假行为的</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（三）未按照项目计划执行，或与批准的资助项目内容严重不符的</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（四）出现安全事故，造成严重社会影响的</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（五）违反财务会计制度规定，将政府资助资金侵吞或挪作他用的</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（六）项目申报、评审、验收工作中有行贿行为的</w:t>
      </w:r>
      <w:r>
        <w:rPr>
          <w:rFonts w:ascii="仿宋_GB2312" w:hAnsi="黑体" w:eastAsia="仿宋_GB2312"/>
          <w:bCs/>
          <w:sz w:val="28"/>
          <w:szCs w:val="28"/>
        </w:rPr>
        <w:t>。</w:t>
      </w:r>
    </w:p>
    <w:p>
      <w:pPr>
        <w:spacing w:line="560" w:lineRule="exact"/>
        <w:ind w:firstLine="560" w:firstLineChars="200"/>
        <w:rPr>
          <w:rFonts w:hint="eastAsia" w:ascii="仿宋_GB2312" w:hAnsi="黑体" w:eastAsia="仿宋_GB2312"/>
          <w:bCs/>
          <w:sz w:val="28"/>
          <w:szCs w:val="28"/>
        </w:rPr>
      </w:pPr>
      <w:r>
        <w:rPr>
          <w:rFonts w:hint="eastAsia" w:ascii="仿宋_GB2312" w:hAnsi="黑体" w:eastAsia="仿宋_GB2312"/>
          <w:bCs/>
          <w:sz w:val="28"/>
          <w:szCs w:val="28"/>
        </w:rPr>
        <w:t>（七）其他违法和严重违规事项。</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第十六条  具体经费标准</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单位在一个财政年度内，同一个预算项目下的同品目或者类别赛事应合并采购，预算金额在当年政府集中采购限额标准以下的，按本办法规定执行采购；预算金额在当年政府集中采购限额标准以上的，按政府集中采购有关规定执行，不适用本办法。</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第十七条  经费用途</w:t>
      </w:r>
    </w:p>
    <w:p>
      <w:pPr>
        <w:spacing w:line="560" w:lineRule="exact"/>
        <w:ind w:firstLine="560" w:firstLineChars="200"/>
        <w:rPr>
          <w:rFonts w:hint="eastAsia" w:ascii="仿宋_GB2312" w:hAnsi="宋体" w:eastAsia="仿宋_GB2312" w:cs="宋体"/>
          <w:color w:val="000000"/>
          <w:sz w:val="32"/>
          <w:szCs w:val="32"/>
        </w:rPr>
      </w:pPr>
      <w:r>
        <w:rPr>
          <w:rFonts w:hint="eastAsia" w:ascii="仿宋_GB2312" w:hAnsi="仿宋_GB2312" w:eastAsia="仿宋_GB2312" w:cs="仿宋_GB2312"/>
          <w:color w:val="000000"/>
          <w:sz w:val="28"/>
          <w:szCs w:val="28"/>
        </w:rPr>
        <w:t>办赛资金主要用于场租、安保、医疗、志愿者、宣传、运动员奖金等与赛事活动直接相关且实际支付的费用。</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第十八条 审计要求</w:t>
      </w:r>
    </w:p>
    <w:p>
      <w:pPr>
        <w:spacing w:line="560" w:lineRule="exact"/>
        <w:ind w:firstLine="560" w:firstLineChars="200"/>
        <w:rPr>
          <w:rFonts w:hint="eastAsia" w:ascii="仿宋_GB2312" w:hAnsi="宋体" w:eastAsia="仿宋_GB2312" w:cs="宋体"/>
          <w:color w:val="000000"/>
          <w:sz w:val="28"/>
          <w:szCs w:val="28"/>
        </w:rPr>
      </w:pPr>
      <w:r>
        <w:rPr>
          <w:rFonts w:hint="eastAsia" w:ascii="仿宋_GB2312" w:hAnsi="等线" w:eastAsia="仿宋_GB2312"/>
          <w:sz w:val="28"/>
          <w:szCs w:val="28"/>
        </w:rPr>
        <w:t>项目结束后，承办单位需按照相关要求配合审计，需提供与第三方签署的合同、发票、费用明细总表等资料交由区文化广电旅游体育局指定的审计单位进行审计。区文化广电旅游体育局根据审计报告</w:t>
      </w:r>
      <w:r>
        <w:rPr>
          <w:rFonts w:hint="eastAsia" w:ascii="仿宋_GB2312" w:hAnsi="宋体" w:eastAsia="仿宋_GB2312" w:cs="宋体"/>
          <w:color w:val="000000"/>
          <w:sz w:val="28"/>
          <w:szCs w:val="28"/>
        </w:rPr>
        <w:t>按以下情况支付余下款项：</w:t>
      </w:r>
    </w:p>
    <w:p>
      <w:pPr>
        <w:numPr>
          <w:ilvl w:val="0"/>
          <w:numId w:val="2"/>
        </w:numPr>
        <w:spacing w:line="560" w:lineRule="exact"/>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审计合格且经费按本办法规定用途使用达到100%的项目，根据协议约定支付剩余款项</w:t>
      </w:r>
      <w:r>
        <w:rPr>
          <w:rFonts w:ascii="仿宋_GB2312" w:hAnsi="宋体" w:eastAsia="仿宋_GB2312" w:cs="宋体"/>
          <w:color w:val="000000"/>
          <w:sz w:val="28"/>
          <w:szCs w:val="28"/>
        </w:rPr>
        <w:t>。</w:t>
      </w:r>
    </w:p>
    <w:p>
      <w:pPr>
        <w:numPr>
          <w:ilvl w:val="0"/>
          <w:numId w:val="2"/>
        </w:numPr>
        <w:spacing w:line="560" w:lineRule="exact"/>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经费使用达到70%，但未达到规定用途100%的项目，根据实际支出拨付剩余款项</w:t>
      </w:r>
      <w:r>
        <w:rPr>
          <w:rFonts w:ascii="仿宋_GB2312" w:hAnsi="宋体" w:eastAsia="仿宋_GB2312" w:cs="宋体"/>
          <w:color w:val="000000"/>
          <w:sz w:val="28"/>
          <w:szCs w:val="28"/>
        </w:rPr>
        <w:t>。</w:t>
      </w:r>
    </w:p>
    <w:p>
      <w:pPr>
        <w:numPr>
          <w:ilvl w:val="0"/>
          <w:numId w:val="2"/>
        </w:numPr>
        <w:spacing w:line="560" w:lineRule="exact"/>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实际支出未达到70%的项目，承办单位应按照审计结果退回相应款项至</w:t>
      </w:r>
      <w:r>
        <w:rPr>
          <w:rFonts w:hint="eastAsia" w:ascii="仿宋_GB2312" w:hAnsi="等线" w:eastAsia="仿宋_GB2312"/>
          <w:sz w:val="28"/>
          <w:szCs w:val="28"/>
        </w:rPr>
        <w:t>区文化广电旅游体育局</w:t>
      </w:r>
      <w:r>
        <w:rPr>
          <w:rFonts w:ascii="仿宋_GB2312" w:hAnsi="等线" w:eastAsia="仿宋_GB2312"/>
          <w:sz w:val="28"/>
          <w:szCs w:val="28"/>
        </w:rPr>
        <w:t>。</w:t>
      </w:r>
    </w:p>
    <w:p>
      <w:pPr>
        <w:numPr>
          <w:ilvl w:val="0"/>
          <w:numId w:val="2"/>
        </w:numPr>
        <w:spacing w:line="560" w:lineRule="exact"/>
        <w:ind w:firstLine="560" w:firstLineChars="200"/>
        <w:rPr>
          <w:rFonts w:hint="eastAsia" w:ascii="仿宋_GB2312" w:hAnsi="宋体" w:eastAsia="仿宋_GB2312" w:cs="宋体"/>
          <w:color w:val="000000"/>
          <w:sz w:val="28"/>
          <w:szCs w:val="28"/>
        </w:rPr>
      </w:pPr>
      <w:bookmarkStart w:id="2" w:name="_Hlk167715660"/>
      <w:r>
        <w:rPr>
          <w:rFonts w:hint="eastAsia" w:ascii="仿宋_GB2312" w:hAnsi="等线" w:eastAsia="仿宋_GB2312"/>
          <w:sz w:val="28"/>
          <w:szCs w:val="28"/>
        </w:rPr>
        <w:t>未实际承办体育赛事活动的</w:t>
      </w:r>
      <w:bookmarkEnd w:id="2"/>
      <w:r>
        <w:rPr>
          <w:rFonts w:hint="eastAsia" w:ascii="仿宋_GB2312" w:hAnsi="等线" w:eastAsia="仿宋_GB2312"/>
          <w:sz w:val="28"/>
          <w:szCs w:val="28"/>
        </w:rPr>
        <w:t>，承办单位应全额退回全部款项至区文化广电旅游体育局。</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黑体" w:eastAsia="仿宋_GB2312"/>
          <w:b/>
          <w:sz w:val="28"/>
          <w:szCs w:val="28"/>
        </w:rPr>
        <w:t xml:space="preserve">第十九条  </w:t>
      </w:r>
      <w:r>
        <w:rPr>
          <w:rFonts w:hint="eastAsia" w:ascii="仿宋_GB2312" w:hAnsi="仿宋_GB2312" w:eastAsia="仿宋_GB2312" w:cs="仿宋_GB2312"/>
          <w:b/>
          <w:bCs/>
          <w:sz w:val="28"/>
          <w:szCs w:val="28"/>
        </w:rPr>
        <w:t>监督检查</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承办</w:t>
      </w:r>
      <w:r>
        <w:rPr>
          <w:rFonts w:ascii="仿宋_GB2312" w:hAnsi="仿宋_GB2312" w:eastAsia="仿宋_GB2312" w:cs="仿宋_GB2312"/>
          <w:sz w:val="28"/>
          <w:szCs w:val="28"/>
        </w:rPr>
        <w:t>单位</w:t>
      </w:r>
      <w:r>
        <w:rPr>
          <w:rFonts w:hint="eastAsia" w:ascii="仿宋_GB2312" w:hAnsi="仿宋_GB2312" w:eastAsia="仿宋_GB2312" w:cs="仿宋_GB2312"/>
          <w:sz w:val="28"/>
          <w:szCs w:val="28"/>
        </w:rPr>
        <w:t>应自觉</w:t>
      </w:r>
      <w:r>
        <w:rPr>
          <w:rFonts w:ascii="仿宋_GB2312" w:hAnsi="仿宋_GB2312" w:eastAsia="仿宋_GB2312" w:cs="仿宋_GB2312"/>
          <w:sz w:val="28"/>
          <w:szCs w:val="28"/>
        </w:rPr>
        <w:t>接受</w:t>
      </w:r>
      <w:r>
        <w:rPr>
          <w:rFonts w:hint="eastAsia" w:ascii="仿宋_GB2312" w:hAnsi="仿宋_GB2312" w:eastAsia="仿宋_GB2312" w:cs="仿宋_GB2312"/>
          <w:sz w:val="28"/>
          <w:szCs w:val="28"/>
        </w:rPr>
        <w:t>区文化广电旅游体育局及指定</w:t>
      </w:r>
      <w:r>
        <w:rPr>
          <w:rFonts w:ascii="仿宋_GB2312" w:hAnsi="仿宋_GB2312" w:eastAsia="仿宋_GB2312" w:cs="仿宋_GB2312"/>
          <w:sz w:val="28"/>
          <w:szCs w:val="28"/>
        </w:rPr>
        <w:t>部门的审计、检查和监督</w:t>
      </w:r>
      <w:r>
        <w:rPr>
          <w:rFonts w:hint="eastAsia" w:ascii="仿宋_GB2312" w:hAnsi="仿宋_GB2312" w:eastAsia="仿宋_GB2312" w:cs="仿宋_GB2312"/>
          <w:sz w:val="28"/>
          <w:szCs w:val="28"/>
        </w:rPr>
        <w:t>工作</w:t>
      </w:r>
      <w:r>
        <w:rPr>
          <w:rFonts w:ascii="仿宋_GB2312" w:hAnsi="仿宋_GB2312" w:eastAsia="仿宋_GB2312" w:cs="仿宋_GB2312"/>
          <w:sz w:val="28"/>
          <w:szCs w:val="28"/>
        </w:rPr>
        <w:t>。</w:t>
      </w:r>
    </w:p>
    <w:p>
      <w:pPr>
        <w:spacing w:line="560" w:lineRule="exact"/>
        <w:ind w:firstLine="562" w:firstLineChars="200"/>
        <w:rPr>
          <w:rFonts w:hint="eastAsia" w:ascii="仿宋_GB2312" w:hAnsi="黑体" w:eastAsia="仿宋_GB2312"/>
          <w:b/>
          <w:sz w:val="28"/>
          <w:szCs w:val="28"/>
        </w:rPr>
      </w:pPr>
      <w:r>
        <w:rPr>
          <w:rFonts w:hint="eastAsia" w:ascii="仿宋_GB2312" w:hAnsi="黑体" w:eastAsia="仿宋_GB2312"/>
          <w:b/>
          <w:sz w:val="28"/>
          <w:szCs w:val="28"/>
        </w:rPr>
        <w:t>第二十条  文件归档</w:t>
      </w:r>
    </w:p>
    <w:p>
      <w:pPr>
        <w:pStyle w:val="23"/>
        <w:spacing w:line="560" w:lineRule="exact"/>
        <w:ind w:firstLine="560"/>
        <w:rPr>
          <w:rFonts w:hint="eastAsia" w:ascii="仿宋_GB2312" w:hAnsi="仿宋_GB2312" w:eastAsia="仿宋_GB2312" w:cs="仿宋_GB2312"/>
          <w:b/>
          <w:bCs/>
          <w:sz w:val="28"/>
          <w:szCs w:val="28"/>
        </w:rPr>
      </w:pPr>
      <w:r>
        <w:rPr>
          <w:rFonts w:hint="eastAsia" w:ascii="仿宋_GB2312" w:hAnsi="等线" w:eastAsia="仿宋_GB2312"/>
          <w:sz w:val="28"/>
          <w:szCs w:val="28"/>
        </w:rPr>
        <w:t>项目完成后，区文化广电旅游体育局相关科室应对各项赛事资料分类整理并妥善保管，归档的资料主要包括：</w:t>
      </w:r>
      <w:r>
        <w:rPr>
          <w:rFonts w:hint="eastAsia" w:ascii="仿宋_GB2312" w:hAnsi="仿宋_GB2312" w:eastAsia="仿宋_GB2312" w:cs="仿宋_GB2312"/>
          <w:sz w:val="28"/>
          <w:szCs w:val="28"/>
        </w:rPr>
        <w:t>南山区体育赛事活动项目申请表</w:t>
      </w:r>
      <w:r>
        <w:rPr>
          <w:rFonts w:hint="eastAsia" w:ascii="仿宋_GB2312" w:hAnsi="等线" w:eastAsia="仿宋_GB2312"/>
          <w:sz w:val="28"/>
          <w:szCs w:val="28"/>
        </w:rPr>
        <w:t>、项目协议书、赛事工作方案、上会议题申请表、评审资料</w:t>
      </w:r>
      <w:r>
        <w:rPr>
          <w:rFonts w:ascii="仿宋_GB2312" w:hAnsi="等线" w:eastAsia="仿宋_GB2312"/>
          <w:sz w:val="28"/>
          <w:szCs w:val="28"/>
        </w:rPr>
        <w:t>、</w:t>
      </w:r>
      <w:r>
        <w:rPr>
          <w:rFonts w:hint="eastAsia" w:ascii="仿宋_GB2312" w:hAnsi="等线" w:eastAsia="仿宋_GB2312"/>
          <w:sz w:val="28"/>
          <w:szCs w:val="28"/>
        </w:rPr>
        <w:t>局长办公会议或党组会会议纪要、公示资料、</w:t>
      </w:r>
      <w:r>
        <w:rPr>
          <w:rFonts w:hint="eastAsia" w:ascii="仿宋_GB2312" w:hAnsi="仿宋_GB2312" w:eastAsia="仿宋_GB2312" w:cs="仿宋_GB2312"/>
          <w:sz w:val="28"/>
          <w:szCs w:val="28"/>
        </w:rPr>
        <w:t>赛事举办相关照片</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视频资料、</w:t>
      </w:r>
      <w:r>
        <w:rPr>
          <w:rFonts w:hint="eastAsia" w:ascii="仿宋_GB2312" w:hAnsi="等线" w:eastAsia="仿宋_GB2312"/>
          <w:sz w:val="28"/>
          <w:szCs w:val="28"/>
        </w:rPr>
        <w:t>秩序册、成绩册、赛事汇报总结报告、验收报告、审计报告等。</w:t>
      </w:r>
    </w:p>
    <w:p>
      <w:pPr>
        <w:spacing w:line="560" w:lineRule="exact"/>
        <w:ind w:left="420" w:leftChars="200"/>
        <w:rPr>
          <w:rFonts w:hint="eastAsia" w:ascii="仿宋_GB2312" w:hAnsi="仿宋_GB2312" w:eastAsia="仿宋_GB2312" w:cs="仿宋_GB2312"/>
          <w:b/>
          <w:sz w:val="28"/>
          <w:szCs w:val="28"/>
        </w:rPr>
      </w:pPr>
      <w:r>
        <w:rPr>
          <w:rFonts w:hint="eastAsia" w:ascii="仿宋_GB2312" w:hAnsi="黑体" w:eastAsia="仿宋_GB2312"/>
          <w:b/>
          <w:sz w:val="28"/>
          <w:szCs w:val="28"/>
        </w:rPr>
        <w:t xml:space="preserve">第二十一条  </w:t>
      </w:r>
      <w:r>
        <w:rPr>
          <w:rFonts w:hint="eastAsia" w:ascii="仿宋_GB2312" w:hAnsi="仿宋_GB2312" w:eastAsia="仿宋_GB2312" w:cs="仿宋_GB2312"/>
          <w:b/>
          <w:sz w:val="28"/>
          <w:szCs w:val="28"/>
        </w:rPr>
        <w:t>解释权属及实施日</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本办法由区文化广电旅游体育局负责解释。自公布之日起施行，有效期3年。</w:t>
      </w:r>
    </w:p>
    <w:p>
      <w:pPr>
        <w:spacing w:line="560" w:lineRule="exact"/>
        <w:rPr>
          <w:rFonts w:hint="eastAsia" w:ascii="仿宋_GB2312" w:hAnsi="仿宋_GB2312" w:eastAsia="仿宋_GB2312" w:cs="仿宋_GB2312"/>
          <w:color w:val="000000"/>
          <w:sz w:val="28"/>
          <w:szCs w:val="28"/>
        </w:rPr>
      </w:pPr>
    </w:p>
    <w:p>
      <w:pPr>
        <w:spacing w:line="560" w:lineRule="exact"/>
        <w:ind w:left="840" w:hanging="840" w:hangingChars="3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sz w:val="28"/>
          <w:szCs w:val="28"/>
        </w:rPr>
        <w:t>1.深圳市南山区文化广电旅游体育局主办体育赛事活动项目申请表</w:t>
      </w:r>
    </w:p>
    <w:p>
      <w:pPr>
        <w:spacing w:line="560" w:lineRule="exact"/>
        <w:ind w:left="559" w:leftChars="266" w:right="-105" w:rightChars="-50" w:firstLine="280" w:firstLineChars="100"/>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深圳市南山区文化广电旅游体育局主办体育赛事活动协议书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sz w:val="32"/>
          <w:szCs w:val="32"/>
        </w:rPr>
      </w:pPr>
      <w:r>
        <w:rPr>
          <w:rFonts w:hint="eastAsia" w:ascii="黑体" w:hAnsi="黑体" w:eastAsia="黑体" w:cs="黑体"/>
          <w:sz w:val="32"/>
          <w:szCs w:val="32"/>
        </w:rPr>
        <w:t>深圳市南山区文化广电旅游体育局主办体育赛事活动项目申请表</w:t>
      </w:r>
    </w:p>
    <w:tbl>
      <w:tblPr>
        <w:tblStyle w:val="10"/>
        <w:tblW w:w="8563" w:type="dxa"/>
        <w:tblInd w:w="0" w:type="dxa"/>
        <w:tblLayout w:type="fixed"/>
        <w:tblCellMar>
          <w:top w:w="15" w:type="dxa"/>
          <w:left w:w="15" w:type="dxa"/>
          <w:bottom w:w="15" w:type="dxa"/>
          <w:right w:w="15" w:type="dxa"/>
        </w:tblCellMar>
      </w:tblPr>
      <w:tblGrid>
        <w:gridCol w:w="313"/>
        <w:gridCol w:w="1450"/>
        <w:gridCol w:w="622"/>
        <w:gridCol w:w="133"/>
        <w:gridCol w:w="1366"/>
        <w:gridCol w:w="18"/>
        <w:gridCol w:w="1159"/>
        <w:gridCol w:w="721"/>
        <w:gridCol w:w="1025"/>
        <w:gridCol w:w="1756"/>
      </w:tblGrid>
      <w:tr>
        <w:tblPrEx>
          <w:tblCellMar>
            <w:top w:w="15" w:type="dxa"/>
            <w:left w:w="15" w:type="dxa"/>
            <w:bottom w:w="15" w:type="dxa"/>
            <w:right w:w="15" w:type="dxa"/>
          </w:tblCellMar>
        </w:tblPrEx>
        <w:trPr>
          <w:trHeight w:val="660" w:hRule="atLeast"/>
        </w:trPr>
        <w:tc>
          <w:tcPr>
            <w:tcW w:w="8563" w:type="dxa"/>
            <w:gridSpan w:val="10"/>
            <w:tcBorders>
              <w:top w:val="single" w:color="000000" w:sz="12" w:space="0"/>
              <w:left w:val="single" w:color="000000" w:sz="12" w:space="0"/>
              <w:bottom w:val="single" w:color="000000" w:sz="4" w:space="0"/>
              <w:right w:val="single" w:color="000000" w:sz="12" w:space="0"/>
            </w:tcBorders>
            <w:shd w:val="clear" w:color="auto" w:fill="auto"/>
            <w:vAlign w:val="center"/>
          </w:tcPr>
          <w:p>
            <w:pPr>
              <w:widowControl/>
              <w:jc w:val="center"/>
              <w:textAlignment w:val="center"/>
              <w:rPr>
                <w:rFonts w:hint="eastAsia" w:ascii="黑体" w:hAnsi="宋体" w:eastAsia="黑体" w:cs="黑体"/>
                <w:b/>
                <w:color w:val="000000"/>
                <w:sz w:val="44"/>
                <w:szCs w:val="44"/>
              </w:rPr>
            </w:pPr>
            <w:r>
              <w:rPr>
                <w:rFonts w:hint="eastAsia" w:ascii="黑体" w:hAnsi="宋体" w:eastAsia="黑体" w:cs="黑体"/>
                <w:b/>
                <w:color w:val="000000"/>
                <w:kern w:val="0"/>
                <w:sz w:val="32"/>
                <w:szCs w:val="32"/>
                <w:lang w:bidi="ar"/>
              </w:rPr>
              <w:t>深圳市南山区文化广电旅游体育局主办体育赛事项目申请表</w:t>
            </w:r>
          </w:p>
        </w:tc>
      </w:tr>
      <w:tr>
        <w:tblPrEx>
          <w:tblCellMar>
            <w:top w:w="15" w:type="dxa"/>
            <w:left w:w="15" w:type="dxa"/>
            <w:bottom w:w="15" w:type="dxa"/>
            <w:right w:w="15" w:type="dxa"/>
          </w:tblCellMar>
        </w:tblPrEx>
        <w:trPr>
          <w:trHeight w:val="600" w:hRule="atLeast"/>
        </w:trPr>
        <w:tc>
          <w:tcPr>
            <w:tcW w:w="3902" w:type="dxa"/>
            <w:gridSpan w:val="6"/>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编号：</w:t>
            </w:r>
          </w:p>
        </w:tc>
        <w:tc>
          <w:tcPr>
            <w:tcW w:w="4661" w:type="dxa"/>
            <w:gridSpan w:val="4"/>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申请时间：______年_____月_____日</w:t>
            </w:r>
          </w:p>
        </w:tc>
      </w:tr>
      <w:tr>
        <w:tblPrEx>
          <w:tblCellMar>
            <w:top w:w="15" w:type="dxa"/>
            <w:left w:w="15" w:type="dxa"/>
            <w:bottom w:w="15" w:type="dxa"/>
            <w:right w:w="15" w:type="dxa"/>
          </w:tblCellMar>
        </w:tblPrEx>
        <w:trPr>
          <w:trHeight w:val="700" w:hRule="atLeast"/>
        </w:trPr>
        <w:tc>
          <w:tcPr>
            <w:tcW w:w="313" w:type="dxa"/>
            <w:vMerge w:val="restart"/>
            <w:tcBorders>
              <w:top w:val="single" w:color="000000" w:sz="12"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hint="eastAsia" w:ascii="黑体" w:hAnsi="宋体" w:eastAsia="黑体" w:cs="黑体"/>
                <w:b/>
                <w:color w:val="000000"/>
                <w:sz w:val="24"/>
                <w:szCs w:val="24"/>
              </w:rPr>
            </w:pPr>
            <w:r>
              <w:rPr>
                <w:rFonts w:hint="eastAsia" w:ascii="黑体" w:hAnsi="宋体" w:eastAsia="黑体" w:cs="黑体"/>
                <w:b/>
                <w:color w:val="000000"/>
                <w:kern w:val="0"/>
                <w:sz w:val="24"/>
                <w:szCs w:val="24"/>
                <w:lang w:bidi="ar"/>
              </w:rPr>
              <w:t>申</w:t>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t>请</w:t>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t>单</w:t>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t>位</w:t>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t>填</w:t>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br w:type="textWrapping"/>
            </w:r>
            <w:r>
              <w:rPr>
                <w:rFonts w:hint="eastAsia" w:ascii="黑体" w:hAnsi="宋体" w:eastAsia="黑体" w:cs="黑体"/>
                <w:b/>
                <w:color w:val="000000"/>
                <w:kern w:val="0"/>
                <w:sz w:val="24"/>
                <w:szCs w:val="24"/>
                <w:lang w:bidi="ar"/>
              </w:rPr>
              <w:t>写</w:t>
            </w:r>
          </w:p>
        </w:tc>
        <w:tc>
          <w:tcPr>
            <w:tcW w:w="1450" w:type="dxa"/>
            <w:tcBorders>
              <w:top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申请单位</w:t>
            </w:r>
          </w:p>
        </w:tc>
        <w:tc>
          <w:tcPr>
            <w:tcW w:w="2139" w:type="dxa"/>
            <w:gridSpan w:val="4"/>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4661"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主办单位：</w:t>
            </w: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申请项目名称</w:t>
            </w:r>
          </w:p>
        </w:tc>
        <w:tc>
          <w:tcPr>
            <w:tcW w:w="6800" w:type="dxa"/>
            <w:gridSpan w:val="8"/>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p>
        </w:tc>
        <w:tc>
          <w:tcPr>
            <w:tcW w:w="6178"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项目信息</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活动时间</w:t>
            </w:r>
          </w:p>
        </w:tc>
        <w:tc>
          <w:tcPr>
            <w:tcW w:w="6178"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Style w:val="25"/>
                <w:rFonts w:hint="default"/>
                <w:sz w:val="24"/>
                <w:szCs w:val="24"/>
                <w:lang w:bidi="ar"/>
              </w:rPr>
              <w:t>时间:</w:t>
            </w:r>
            <w:r>
              <w:rPr>
                <w:rStyle w:val="26"/>
                <w:rFonts w:hint="default"/>
                <w:sz w:val="24"/>
                <w:szCs w:val="24"/>
                <w:lang w:bidi="ar"/>
              </w:rPr>
              <w:t xml:space="preserve">      </w:t>
            </w:r>
            <w:r>
              <w:rPr>
                <w:rStyle w:val="25"/>
                <w:rFonts w:hint="default"/>
                <w:sz w:val="24"/>
                <w:szCs w:val="24"/>
                <w:lang w:bidi="ar"/>
              </w:rPr>
              <w:t>年</w:t>
            </w:r>
            <w:r>
              <w:rPr>
                <w:rStyle w:val="26"/>
                <w:rFonts w:hint="default"/>
                <w:sz w:val="24"/>
                <w:szCs w:val="24"/>
                <w:lang w:bidi="ar"/>
              </w:rPr>
              <w:t xml:space="preserve">     </w:t>
            </w:r>
            <w:r>
              <w:rPr>
                <w:rStyle w:val="25"/>
                <w:rFonts w:hint="default"/>
                <w:sz w:val="24"/>
                <w:szCs w:val="24"/>
                <w:lang w:bidi="ar"/>
              </w:rPr>
              <w:t>月</w:t>
            </w:r>
            <w:r>
              <w:rPr>
                <w:rStyle w:val="26"/>
                <w:rFonts w:hint="default"/>
                <w:sz w:val="24"/>
                <w:szCs w:val="24"/>
                <w:lang w:bidi="ar"/>
              </w:rPr>
              <w:t xml:space="preserve">      </w:t>
            </w:r>
            <w:r>
              <w:rPr>
                <w:rStyle w:val="25"/>
                <w:rFonts w:hint="default"/>
                <w:sz w:val="24"/>
                <w:szCs w:val="24"/>
                <w:lang w:bidi="ar"/>
              </w:rPr>
              <w:t>日～</w:t>
            </w:r>
            <w:r>
              <w:rPr>
                <w:rStyle w:val="26"/>
                <w:rFonts w:hint="default"/>
                <w:sz w:val="24"/>
                <w:szCs w:val="24"/>
                <w:lang w:bidi="ar"/>
              </w:rPr>
              <w:t xml:space="preserve">     </w:t>
            </w:r>
            <w:r>
              <w:rPr>
                <w:rStyle w:val="25"/>
                <w:rFonts w:hint="default"/>
                <w:sz w:val="24"/>
                <w:szCs w:val="24"/>
                <w:lang w:bidi="ar"/>
              </w:rPr>
              <w:t>年</w:t>
            </w:r>
            <w:r>
              <w:rPr>
                <w:rStyle w:val="26"/>
                <w:rFonts w:hint="default"/>
                <w:sz w:val="24"/>
                <w:szCs w:val="24"/>
                <w:lang w:bidi="ar"/>
              </w:rPr>
              <w:t xml:space="preserve">      </w:t>
            </w:r>
            <w:r>
              <w:rPr>
                <w:rStyle w:val="25"/>
                <w:rFonts w:hint="default"/>
                <w:sz w:val="24"/>
                <w:szCs w:val="24"/>
                <w:lang w:bidi="ar"/>
              </w:rPr>
              <w:t>月</w:t>
            </w:r>
            <w:r>
              <w:rPr>
                <w:rStyle w:val="26"/>
                <w:rFonts w:hint="default"/>
                <w:sz w:val="24"/>
                <w:szCs w:val="24"/>
                <w:lang w:bidi="ar"/>
              </w:rPr>
              <w:t xml:space="preserve">      </w:t>
            </w:r>
            <w:r>
              <w:rPr>
                <w:rStyle w:val="25"/>
                <w:rFonts w:hint="default"/>
                <w:sz w:val="24"/>
                <w:szCs w:val="24"/>
                <w:lang w:bidi="ar"/>
              </w:rPr>
              <w:t>日，共</w:t>
            </w:r>
            <w:r>
              <w:rPr>
                <w:rStyle w:val="26"/>
                <w:rFonts w:hint="default"/>
                <w:sz w:val="24"/>
                <w:szCs w:val="24"/>
                <w:lang w:bidi="ar"/>
              </w:rPr>
              <w:t xml:space="preserve">       </w:t>
            </w:r>
            <w:r>
              <w:rPr>
                <w:rStyle w:val="25"/>
                <w:rFonts w:hint="default"/>
                <w:sz w:val="24"/>
                <w:szCs w:val="24"/>
                <w:lang w:bidi="ar"/>
              </w:rPr>
              <w:t>日</w:t>
            </w:r>
          </w:p>
        </w:tc>
      </w:tr>
      <w:tr>
        <w:tblPrEx>
          <w:tblCellMar>
            <w:top w:w="15" w:type="dxa"/>
            <w:left w:w="15" w:type="dxa"/>
            <w:bottom w:w="15" w:type="dxa"/>
            <w:right w:w="15" w:type="dxa"/>
          </w:tblCellMar>
        </w:tblPrEx>
        <w:trPr>
          <w:trHeight w:val="74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活动场次</w:t>
            </w:r>
          </w:p>
        </w:tc>
        <w:tc>
          <w:tcPr>
            <w:tcW w:w="6178"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 xml:space="preserve">共计 _____ 场                                   </w:t>
            </w:r>
          </w:p>
        </w:tc>
      </w:tr>
      <w:tr>
        <w:tblPrEx>
          <w:tblCellMar>
            <w:top w:w="15" w:type="dxa"/>
            <w:left w:w="15" w:type="dxa"/>
            <w:bottom w:w="15" w:type="dxa"/>
            <w:right w:w="15" w:type="dxa"/>
          </w:tblCellMar>
        </w:tblPrEx>
        <w:trPr>
          <w:trHeight w:val="78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活动地点</w:t>
            </w:r>
          </w:p>
        </w:tc>
        <w:tc>
          <w:tcPr>
            <w:tcW w:w="6178"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Style w:val="25"/>
                <w:rFonts w:hint="default"/>
                <w:sz w:val="24"/>
                <w:szCs w:val="24"/>
                <w:lang w:bidi="ar"/>
              </w:rPr>
              <w:t>室内（    ），地点：</w:t>
            </w:r>
            <w:r>
              <w:rPr>
                <w:rStyle w:val="26"/>
                <w:rFonts w:hint="default"/>
                <w:sz w:val="24"/>
                <w:szCs w:val="24"/>
                <w:lang w:bidi="ar"/>
              </w:rPr>
              <w:t xml:space="preserve">                                </w:t>
            </w:r>
            <w:r>
              <w:rPr>
                <w:rStyle w:val="25"/>
                <w:rFonts w:hint="default"/>
                <w:sz w:val="24"/>
                <w:szCs w:val="24"/>
                <w:lang w:bidi="ar"/>
              </w:rPr>
              <w:br w:type="textWrapping"/>
            </w:r>
            <w:r>
              <w:rPr>
                <w:rStyle w:val="25"/>
                <w:rFonts w:hint="default"/>
                <w:sz w:val="24"/>
                <w:szCs w:val="24"/>
                <w:lang w:bidi="ar"/>
              </w:rPr>
              <w:t>室外（    ），地点：</w:t>
            </w:r>
            <w:r>
              <w:rPr>
                <w:rStyle w:val="26"/>
                <w:rFonts w:hint="default"/>
                <w:sz w:val="24"/>
                <w:szCs w:val="24"/>
                <w:lang w:bidi="ar"/>
              </w:rPr>
              <w:t xml:space="preserve">                                </w:t>
            </w: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活动人员</w:t>
            </w:r>
          </w:p>
        </w:tc>
        <w:tc>
          <w:tcPr>
            <w:tcW w:w="3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______ 人</w:t>
            </w:r>
          </w:p>
        </w:tc>
        <w:tc>
          <w:tcPr>
            <w:tcW w:w="2781" w:type="dxa"/>
            <w:gridSpan w:val="2"/>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Style w:val="25"/>
                <w:rFonts w:hint="default"/>
                <w:sz w:val="24"/>
                <w:szCs w:val="24"/>
                <w:lang w:bidi="ar"/>
              </w:rPr>
              <w:t xml:space="preserve">共  计 </w:t>
            </w:r>
            <w:r>
              <w:rPr>
                <w:rStyle w:val="26"/>
                <w:rFonts w:hint="default"/>
                <w:sz w:val="24"/>
                <w:szCs w:val="24"/>
                <w:lang w:bidi="ar"/>
              </w:rPr>
              <w:t xml:space="preserve">         </w:t>
            </w:r>
            <w:r>
              <w:rPr>
                <w:rStyle w:val="25"/>
                <w:rFonts w:hint="default"/>
                <w:sz w:val="24"/>
                <w:szCs w:val="24"/>
                <w:lang w:bidi="ar"/>
              </w:rPr>
              <w:t>人</w:t>
            </w:r>
          </w:p>
        </w:tc>
      </w:tr>
      <w:tr>
        <w:tblPrEx>
          <w:tblCellMar>
            <w:top w:w="15" w:type="dxa"/>
            <w:left w:w="15" w:type="dxa"/>
            <w:bottom w:w="15" w:type="dxa"/>
            <w:right w:w="15" w:type="dxa"/>
          </w:tblCellMar>
        </w:tblPrEx>
        <w:trPr>
          <w:trHeight w:val="92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保障人员</w:t>
            </w:r>
          </w:p>
        </w:tc>
        <w:tc>
          <w:tcPr>
            <w:tcW w:w="3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Style w:val="25"/>
                <w:rFonts w:hint="default"/>
                <w:sz w:val="24"/>
                <w:szCs w:val="24"/>
                <w:lang w:bidi="ar"/>
              </w:rPr>
              <w:t>工作人员</w:t>
            </w:r>
            <w:r>
              <w:rPr>
                <w:rStyle w:val="26"/>
                <w:rFonts w:hint="default"/>
                <w:sz w:val="24"/>
                <w:szCs w:val="24"/>
                <w:lang w:bidi="ar"/>
              </w:rPr>
              <w:t xml:space="preserve">       </w:t>
            </w:r>
            <w:r>
              <w:rPr>
                <w:rStyle w:val="25"/>
                <w:rFonts w:hint="default"/>
                <w:sz w:val="24"/>
                <w:szCs w:val="24"/>
                <w:lang w:bidi="ar"/>
              </w:rPr>
              <w:t>人；裁判</w:t>
            </w:r>
            <w:r>
              <w:rPr>
                <w:rStyle w:val="26"/>
                <w:rFonts w:hint="default"/>
                <w:sz w:val="24"/>
                <w:szCs w:val="24"/>
                <w:lang w:bidi="ar"/>
              </w:rPr>
              <w:t xml:space="preserve">        </w:t>
            </w:r>
            <w:r>
              <w:rPr>
                <w:rStyle w:val="25"/>
                <w:rFonts w:hint="default"/>
                <w:sz w:val="24"/>
                <w:szCs w:val="24"/>
                <w:lang w:bidi="ar"/>
              </w:rPr>
              <w:t>人；志愿者</w:t>
            </w:r>
            <w:r>
              <w:rPr>
                <w:rStyle w:val="26"/>
                <w:rFonts w:hint="default"/>
                <w:sz w:val="24"/>
                <w:szCs w:val="24"/>
                <w:lang w:bidi="ar"/>
              </w:rPr>
              <w:t xml:space="preserve">        </w:t>
            </w:r>
            <w:r>
              <w:rPr>
                <w:rStyle w:val="25"/>
                <w:rFonts w:hint="default"/>
                <w:sz w:val="24"/>
                <w:szCs w:val="24"/>
                <w:lang w:bidi="ar"/>
              </w:rPr>
              <w:t>人；</w:t>
            </w:r>
            <w:r>
              <w:rPr>
                <w:rStyle w:val="25"/>
                <w:rFonts w:hint="default"/>
                <w:sz w:val="24"/>
                <w:szCs w:val="24"/>
                <w:lang w:bidi="ar"/>
              </w:rPr>
              <w:br w:type="textWrapping"/>
            </w:r>
            <w:r>
              <w:rPr>
                <w:rStyle w:val="25"/>
                <w:rFonts w:hint="default"/>
                <w:sz w:val="24"/>
                <w:szCs w:val="24"/>
                <w:lang w:bidi="ar"/>
              </w:rPr>
              <w:t>安保</w:t>
            </w:r>
            <w:r>
              <w:rPr>
                <w:rStyle w:val="26"/>
                <w:rFonts w:hint="default"/>
                <w:sz w:val="24"/>
                <w:szCs w:val="24"/>
                <w:lang w:bidi="ar"/>
              </w:rPr>
              <w:t xml:space="preserve">       </w:t>
            </w:r>
            <w:r>
              <w:rPr>
                <w:rStyle w:val="25"/>
                <w:rFonts w:hint="default"/>
                <w:sz w:val="24"/>
                <w:szCs w:val="24"/>
                <w:lang w:bidi="ar"/>
              </w:rPr>
              <w:t>人；医护</w:t>
            </w:r>
            <w:r>
              <w:rPr>
                <w:rStyle w:val="26"/>
                <w:rFonts w:hint="default"/>
                <w:sz w:val="24"/>
                <w:szCs w:val="24"/>
                <w:lang w:bidi="ar"/>
              </w:rPr>
              <w:t xml:space="preserve">         </w:t>
            </w:r>
            <w:r>
              <w:rPr>
                <w:rStyle w:val="25"/>
                <w:rFonts w:hint="default"/>
                <w:sz w:val="24"/>
                <w:szCs w:val="24"/>
                <w:lang w:bidi="ar"/>
              </w:rPr>
              <w:t>人；其他</w:t>
            </w:r>
            <w:r>
              <w:rPr>
                <w:rStyle w:val="26"/>
                <w:rFonts w:hint="default"/>
                <w:sz w:val="24"/>
                <w:szCs w:val="24"/>
                <w:lang w:bidi="ar"/>
              </w:rPr>
              <w:t xml:space="preserve">        </w:t>
            </w:r>
            <w:r>
              <w:rPr>
                <w:rStyle w:val="25"/>
                <w:rFonts w:hint="default"/>
                <w:sz w:val="24"/>
                <w:szCs w:val="24"/>
                <w:lang w:bidi="ar"/>
              </w:rPr>
              <w:t>人</w:t>
            </w:r>
          </w:p>
        </w:tc>
        <w:tc>
          <w:tcPr>
            <w:tcW w:w="2781"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活动人员籍贯</w:t>
            </w:r>
          </w:p>
        </w:tc>
        <w:tc>
          <w:tcPr>
            <w:tcW w:w="6045"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南山区（   ）；深圳市（   ）；广东省内（   ）；省外（   ）；国外（   ）；（可多选）</w:t>
            </w:r>
          </w:p>
        </w:tc>
      </w:tr>
      <w:tr>
        <w:tblPrEx>
          <w:tblCellMar>
            <w:top w:w="15" w:type="dxa"/>
            <w:left w:w="15" w:type="dxa"/>
            <w:bottom w:w="15" w:type="dxa"/>
            <w:right w:w="15" w:type="dxa"/>
          </w:tblCellMar>
        </w:tblPrEx>
        <w:trPr>
          <w:trHeight w:val="82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活动人员</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年龄范围</w:t>
            </w:r>
          </w:p>
        </w:tc>
        <w:tc>
          <w:tcPr>
            <w:tcW w:w="6045"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3-5岁（   ）；6-8岁（   ）；9-12岁（   ）；13-15岁（   ）；16-18岁（   ）；（可多选）</w:t>
            </w:r>
          </w:p>
        </w:tc>
      </w:tr>
      <w:tr>
        <w:tblPrEx>
          <w:tblCellMar>
            <w:top w:w="15" w:type="dxa"/>
            <w:left w:w="15" w:type="dxa"/>
            <w:bottom w:w="15" w:type="dxa"/>
            <w:right w:w="15" w:type="dxa"/>
          </w:tblCellMar>
        </w:tblPrEx>
        <w:trPr>
          <w:trHeight w:val="2101"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项目服务</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活动保障</w:t>
            </w:r>
          </w:p>
        </w:tc>
        <w:tc>
          <w:tcPr>
            <w:tcW w:w="6045"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Style w:val="25"/>
                <w:rFonts w:hint="default"/>
                <w:sz w:val="24"/>
                <w:szCs w:val="24"/>
                <w:lang w:bidi="ar"/>
              </w:rPr>
              <w:t xml:space="preserve">1、医疗急救保障预案：有（   ）；无（ </w:t>
            </w:r>
            <w:r>
              <w:rPr>
                <w:rFonts w:ascii="Arial" w:hAnsi="Arial" w:eastAsia="黑体" w:cs="Arial"/>
                <w:color w:val="000000"/>
                <w:kern w:val="0"/>
                <w:sz w:val="24"/>
                <w:szCs w:val="24"/>
                <w:lang w:bidi="ar"/>
              </w:rPr>
              <w:t xml:space="preserve">   </w:t>
            </w:r>
            <w:r>
              <w:rPr>
                <w:rStyle w:val="25"/>
                <w:rFonts w:hint="default"/>
                <w:sz w:val="24"/>
                <w:szCs w:val="24"/>
                <w:lang w:bidi="ar"/>
              </w:rPr>
              <w:t>）；</w:t>
            </w:r>
            <w:r>
              <w:rPr>
                <w:rStyle w:val="25"/>
                <w:rFonts w:hint="default"/>
                <w:sz w:val="24"/>
                <w:szCs w:val="24"/>
                <w:lang w:bidi="ar"/>
              </w:rPr>
              <w:br w:type="textWrapping"/>
            </w:r>
            <w:r>
              <w:rPr>
                <w:rStyle w:val="25"/>
                <w:rFonts w:hint="default"/>
                <w:sz w:val="24"/>
                <w:szCs w:val="24"/>
                <w:lang w:bidi="ar"/>
              </w:rPr>
              <w:t xml:space="preserve">2、赛场安全保障预案：有（   ）；无（ </w:t>
            </w:r>
            <w:r>
              <w:rPr>
                <w:rFonts w:ascii="Arial" w:hAnsi="Arial" w:eastAsia="黑体" w:cs="Arial"/>
                <w:color w:val="000000"/>
                <w:kern w:val="0"/>
                <w:sz w:val="24"/>
                <w:szCs w:val="24"/>
                <w:lang w:bidi="ar"/>
              </w:rPr>
              <w:t xml:space="preserve">   </w:t>
            </w:r>
            <w:r>
              <w:rPr>
                <w:rStyle w:val="25"/>
                <w:rFonts w:hint="default"/>
                <w:sz w:val="24"/>
                <w:szCs w:val="24"/>
                <w:lang w:bidi="ar"/>
              </w:rPr>
              <w:t>）；</w:t>
            </w:r>
            <w:r>
              <w:rPr>
                <w:rStyle w:val="25"/>
                <w:rFonts w:hint="default"/>
                <w:sz w:val="24"/>
                <w:szCs w:val="24"/>
                <w:lang w:bidi="ar"/>
              </w:rPr>
              <w:br w:type="textWrapping"/>
            </w:r>
            <w:r>
              <w:rPr>
                <w:rStyle w:val="25"/>
                <w:rFonts w:hint="default"/>
                <w:sz w:val="24"/>
                <w:szCs w:val="24"/>
                <w:lang w:bidi="ar"/>
              </w:rPr>
              <w:t xml:space="preserve">3、赛场秩序保障预案：有（   ）；无（ </w:t>
            </w:r>
            <w:r>
              <w:rPr>
                <w:rFonts w:ascii="Arial" w:hAnsi="Arial" w:eastAsia="黑体" w:cs="Arial"/>
                <w:color w:val="000000"/>
                <w:kern w:val="0"/>
                <w:sz w:val="24"/>
                <w:szCs w:val="24"/>
                <w:lang w:bidi="ar"/>
              </w:rPr>
              <w:t xml:space="preserve">   </w:t>
            </w:r>
            <w:r>
              <w:rPr>
                <w:rStyle w:val="25"/>
                <w:rFonts w:hint="default"/>
                <w:sz w:val="24"/>
                <w:szCs w:val="24"/>
                <w:lang w:bidi="ar"/>
              </w:rPr>
              <w:t>）；</w:t>
            </w:r>
            <w:r>
              <w:rPr>
                <w:rStyle w:val="25"/>
                <w:rFonts w:hint="default"/>
                <w:sz w:val="24"/>
                <w:szCs w:val="24"/>
                <w:lang w:bidi="ar"/>
              </w:rPr>
              <w:br w:type="textWrapping"/>
            </w:r>
            <w:r>
              <w:rPr>
                <w:rStyle w:val="25"/>
                <w:rFonts w:hint="default"/>
                <w:sz w:val="24"/>
                <w:szCs w:val="24"/>
                <w:lang w:bidi="ar"/>
              </w:rPr>
              <w:t xml:space="preserve">4、活动保险有无购买：有（   ）；无（ </w:t>
            </w:r>
            <w:r>
              <w:rPr>
                <w:rFonts w:ascii="Arial" w:hAnsi="Arial" w:eastAsia="黑体" w:cs="Arial"/>
                <w:color w:val="000000"/>
                <w:kern w:val="0"/>
                <w:sz w:val="24"/>
                <w:szCs w:val="24"/>
                <w:lang w:bidi="ar"/>
              </w:rPr>
              <w:t xml:space="preserve">   </w:t>
            </w:r>
            <w:r>
              <w:rPr>
                <w:rStyle w:val="25"/>
                <w:rFonts w:hint="default"/>
                <w:sz w:val="24"/>
                <w:szCs w:val="24"/>
                <w:lang w:bidi="ar"/>
              </w:rPr>
              <w:t>）；额度：</w:t>
            </w:r>
            <w:r>
              <w:rPr>
                <w:rStyle w:val="26"/>
                <w:rFonts w:hint="default"/>
                <w:sz w:val="24"/>
                <w:szCs w:val="24"/>
                <w:lang w:bidi="ar"/>
              </w:rPr>
              <w:t xml:space="preserve">                           </w:t>
            </w:r>
            <w:r>
              <w:rPr>
                <w:rStyle w:val="25"/>
                <w:rFonts w:hint="default"/>
                <w:sz w:val="24"/>
                <w:szCs w:val="24"/>
                <w:lang w:bidi="ar"/>
              </w:rPr>
              <w:br w:type="textWrapping"/>
            </w:r>
            <w:r>
              <w:rPr>
                <w:rStyle w:val="25"/>
                <w:rFonts w:hint="default"/>
                <w:sz w:val="24"/>
                <w:szCs w:val="24"/>
                <w:lang w:bidi="ar"/>
              </w:rPr>
              <w:t xml:space="preserve">5、疫情防控保障预案：有（   ）；无（ </w:t>
            </w:r>
            <w:r>
              <w:rPr>
                <w:rFonts w:ascii="Arial" w:hAnsi="Arial" w:eastAsia="黑体" w:cs="Arial"/>
                <w:color w:val="000000"/>
                <w:kern w:val="0"/>
                <w:sz w:val="24"/>
                <w:szCs w:val="24"/>
                <w:lang w:bidi="ar"/>
              </w:rPr>
              <w:t xml:space="preserve">   </w:t>
            </w:r>
            <w:r>
              <w:rPr>
                <w:rStyle w:val="25"/>
                <w:rFonts w:hint="default"/>
                <w:sz w:val="24"/>
                <w:szCs w:val="24"/>
                <w:lang w:bidi="ar"/>
              </w:rPr>
              <w:t>）；</w:t>
            </w: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办赛经验</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主要承办</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赛事名称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赛事时间</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参赛人数</w:t>
            </w:r>
          </w:p>
        </w:tc>
        <w:tc>
          <w:tcPr>
            <w:tcW w:w="1756"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政府资助额度</w:t>
            </w: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赛事明细</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（近三年）</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黑体" w:hAnsi="宋体" w:eastAsia="黑体" w:cs="黑体"/>
                <w:color w:val="000000"/>
                <w:sz w:val="24"/>
                <w:szCs w:val="24"/>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黑体" w:hAnsi="宋体" w:eastAsia="黑体" w:cs="黑体"/>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黑体" w:hAnsi="宋体" w:eastAsia="黑体" w:cs="黑体"/>
                <w:color w:val="000000"/>
                <w:sz w:val="24"/>
                <w:szCs w:val="24"/>
              </w:rPr>
            </w:pPr>
          </w:p>
        </w:tc>
        <w:tc>
          <w:tcPr>
            <w:tcW w:w="1756" w:type="dxa"/>
            <w:tcBorders>
              <w:top w:val="single" w:color="000000" w:sz="4" w:space="0"/>
              <w:left w:val="single" w:color="000000" w:sz="4" w:space="0"/>
              <w:bottom w:val="single" w:color="000000" w:sz="4" w:space="0"/>
              <w:right w:val="single" w:color="000000" w:sz="12" w:space="0"/>
            </w:tcBorders>
            <w:shd w:val="clear" w:color="auto" w:fill="auto"/>
          </w:tcPr>
          <w:p>
            <w:pPr>
              <w:jc w:val="left"/>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黑体" w:hAnsi="宋体" w:eastAsia="黑体" w:cs="黑体"/>
                <w:color w:val="000000"/>
                <w:sz w:val="24"/>
                <w:szCs w:val="24"/>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黑体" w:hAnsi="宋体" w:eastAsia="黑体" w:cs="黑体"/>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黑体" w:hAnsi="宋体" w:eastAsia="黑体" w:cs="黑体"/>
                <w:color w:val="000000"/>
                <w:sz w:val="24"/>
                <w:szCs w:val="24"/>
              </w:rPr>
            </w:pPr>
          </w:p>
        </w:tc>
        <w:tc>
          <w:tcPr>
            <w:tcW w:w="1756" w:type="dxa"/>
            <w:tcBorders>
              <w:top w:val="single" w:color="000000" w:sz="4" w:space="0"/>
              <w:left w:val="single" w:color="000000" w:sz="4" w:space="0"/>
              <w:bottom w:val="single" w:color="000000" w:sz="4" w:space="0"/>
              <w:right w:val="single" w:color="000000" w:sz="12" w:space="0"/>
            </w:tcBorders>
            <w:shd w:val="clear" w:color="auto" w:fill="auto"/>
          </w:tcPr>
          <w:p>
            <w:pPr>
              <w:jc w:val="left"/>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916"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黑体" w:hAnsi="宋体" w:eastAsia="黑体" w:cs="黑体"/>
                <w:color w:val="000000"/>
                <w:sz w:val="24"/>
                <w:szCs w:val="24"/>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黑体" w:hAnsi="宋体" w:eastAsia="黑体" w:cs="黑体"/>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黑体" w:hAnsi="宋体" w:eastAsia="黑体" w:cs="黑体"/>
                <w:color w:val="000000"/>
                <w:sz w:val="24"/>
                <w:szCs w:val="24"/>
              </w:rPr>
            </w:pPr>
          </w:p>
        </w:tc>
        <w:tc>
          <w:tcPr>
            <w:tcW w:w="1756" w:type="dxa"/>
            <w:tcBorders>
              <w:top w:val="single" w:color="000000" w:sz="4" w:space="0"/>
              <w:left w:val="single" w:color="000000" w:sz="4" w:space="0"/>
              <w:bottom w:val="single" w:color="000000" w:sz="4" w:space="0"/>
              <w:right w:val="single" w:color="000000" w:sz="12" w:space="0"/>
            </w:tcBorders>
            <w:shd w:val="clear" w:color="auto" w:fill="auto"/>
          </w:tcPr>
          <w:p>
            <w:pPr>
              <w:jc w:val="left"/>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86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项目预算</w:t>
            </w:r>
          </w:p>
        </w:tc>
        <w:tc>
          <w:tcPr>
            <w:tcW w:w="755"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费用</w:t>
            </w:r>
          </w:p>
        </w:tc>
        <w:tc>
          <w:tcPr>
            <w:tcW w:w="6045"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Style w:val="25"/>
                <w:rFonts w:hint="default"/>
                <w:sz w:val="24"/>
                <w:szCs w:val="24"/>
                <w:lang w:bidi="ar"/>
              </w:rPr>
            </w:pPr>
            <w:r>
              <w:rPr>
                <w:rStyle w:val="25"/>
                <w:rFonts w:hint="default"/>
                <w:sz w:val="24"/>
                <w:szCs w:val="24"/>
                <w:lang w:bidi="ar"/>
              </w:rPr>
              <w:t>场地费</w:t>
            </w:r>
            <w:r>
              <w:rPr>
                <w:rStyle w:val="26"/>
                <w:rFonts w:hint="default"/>
                <w:sz w:val="24"/>
                <w:szCs w:val="24"/>
                <w:lang w:bidi="ar"/>
              </w:rPr>
              <w:t xml:space="preserve">           </w:t>
            </w:r>
            <w:r>
              <w:rPr>
                <w:rStyle w:val="25"/>
                <w:rFonts w:hint="default"/>
                <w:sz w:val="24"/>
                <w:szCs w:val="24"/>
                <w:lang w:bidi="ar"/>
              </w:rPr>
              <w:t xml:space="preserve">元；器材费 </w:t>
            </w:r>
            <w:r>
              <w:rPr>
                <w:rStyle w:val="26"/>
                <w:rFonts w:hint="default"/>
                <w:sz w:val="24"/>
                <w:szCs w:val="24"/>
                <w:lang w:bidi="ar"/>
              </w:rPr>
              <w:t xml:space="preserve">          </w:t>
            </w:r>
            <w:r>
              <w:rPr>
                <w:rStyle w:val="25"/>
                <w:rFonts w:hint="default"/>
                <w:sz w:val="24"/>
                <w:szCs w:val="24"/>
                <w:lang w:bidi="ar"/>
              </w:rPr>
              <w:t xml:space="preserve"> 元；物料费：</w:t>
            </w:r>
            <w:r>
              <w:rPr>
                <w:rStyle w:val="26"/>
                <w:rFonts w:hint="default"/>
                <w:sz w:val="24"/>
                <w:szCs w:val="24"/>
                <w:lang w:bidi="ar"/>
              </w:rPr>
              <w:t xml:space="preserve">         </w:t>
            </w:r>
            <w:r>
              <w:rPr>
                <w:rStyle w:val="25"/>
                <w:rFonts w:hint="default"/>
                <w:sz w:val="24"/>
                <w:szCs w:val="24"/>
                <w:lang w:bidi="ar"/>
              </w:rPr>
              <w:t>元；</w:t>
            </w:r>
            <w:r>
              <w:rPr>
                <w:rStyle w:val="25"/>
                <w:rFonts w:hint="default"/>
                <w:sz w:val="24"/>
                <w:szCs w:val="24"/>
                <w:lang w:bidi="ar"/>
              </w:rPr>
              <w:br w:type="textWrapping"/>
            </w:r>
            <w:r>
              <w:rPr>
                <w:rStyle w:val="25"/>
                <w:rFonts w:hint="default"/>
                <w:sz w:val="24"/>
                <w:szCs w:val="24"/>
                <w:lang w:bidi="ar"/>
              </w:rPr>
              <w:t>宣传费用</w:t>
            </w:r>
            <w:r>
              <w:rPr>
                <w:rStyle w:val="26"/>
                <w:rFonts w:hint="default"/>
                <w:sz w:val="24"/>
                <w:szCs w:val="24"/>
                <w:lang w:bidi="ar"/>
              </w:rPr>
              <w:t xml:space="preserve">           </w:t>
            </w:r>
            <w:r>
              <w:rPr>
                <w:rStyle w:val="25"/>
                <w:rFonts w:hint="default"/>
                <w:sz w:val="24"/>
                <w:szCs w:val="24"/>
                <w:lang w:bidi="ar"/>
              </w:rPr>
              <w:t>元；人工费：</w:t>
            </w:r>
            <w:r>
              <w:rPr>
                <w:rStyle w:val="26"/>
                <w:rFonts w:hint="default"/>
                <w:sz w:val="24"/>
                <w:szCs w:val="24"/>
                <w:lang w:bidi="ar"/>
              </w:rPr>
              <w:t xml:space="preserve">          </w:t>
            </w:r>
            <w:r>
              <w:rPr>
                <w:rStyle w:val="25"/>
                <w:rFonts w:hint="default"/>
                <w:sz w:val="24"/>
                <w:szCs w:val="24"/>
                <w:lang w:bidi="ar"/>
              </w:rPr>
              <w:t xml:space="preserve">元；其它费用 </w:t>
            </w:r>
            <w:r>
              <w:rPr>
                <w:rStyle w:val="26"/>
                <w:rFonts w:hint="default"/>
                <w:sz w:val="24"/>
                <w:szCs w:val="24"/>
                <w:lang w:bidi="ar"/>
              </w:rPr>
              <w:t xml:space="preserve">         </w:t>
            </w:r>
            <w:r>
              <w:rPr>
                <w:rStyle w:val="25"/>
                <w:rFonts w:hint="default"/>
                <w:sz w:val="24"/>
                <w:szCs w:val="24"/>
                <w:lang w:bidi="ar"/>
              </w:rPr>
              <w:t>元</w:t>
            </w:r>
          </w:p>
          <w:p>
            <w:pPr>
              <w:widowControl/>
              <w:jc w:val="left"/>
              <w:textAlignment w:val="center"/>
              <w:rPr>
                <w:rStyle w:val="25"/>
                <w:rFonts w:hint="default"/>
                <w:sz w:val="24"/>
                <w:szCs w:val="24"/>
                <w:lang w:bidi="ar"/>
              </w:rPr>
            </w:pPr>
            <w:r>
              <w:rPr>
                <w:rStyle w:val="25"/>
                <w:rFonts w:hint="default"/>
                <w:sz w:val="24"/>
                <w:szCs w:val="24"/>
                <w:lang w:bidi="ar"/>
              </w:rPr>
              <w:t>合计：</w:t>
            </w:r>
            <w:r>
              <w:rPr>
                <w:rStyle w:val="26"/>
                <w:rFonts w:hint="default"/>
                <w:sz w:val="24"/>
                <w:szCs w:val="24"/>
                <w:lang w:bidi="ar"/>
              </w:rPr>
              <w:t xml:space="preserve">         </w:t>
            </w:r>
            <w:r>
              <w:rPr>
                <w:rStyle w:val="25"/>
                <w:rFonts w:hint="default"/>
                <w:sz w:val="24"/>
                <w:szCs w:val="24"/>
                <w:lang w:bidi="ar"/>
              </w:rPr>
              <w:t xml:space="preserve"> 元</w:t>
            </w:r>
          </w:p>
        </w:tc>
      </w:tr>
      <w:tr>
        <w:tblPrEx>
          <w:tblCellMar>
            <w:top w:w="15" w:type="dxa"/>
            <w:left w:w="15" w:type="dxa"/>
            <w:bottom w:w="15" w:type="dxa"/>
            <w:right w:w="15" w:type="dxa"/>
          </w:tblCellMar>
        </w:tblPrEx>
        <w:trPr>
          <w:trHeight w:val="76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赞助收入</w:t>
            </w:r>
          </w:p>
        </w:tc>
        <w:tc>
          <w:tcPr>
            <w:tcW w:w="6045"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Style w:val="25"/>
                <w:rFonts w:hint="default"/>
                <w:sz w:val="24"/>
                <w:szCs w:val="24"/>
                <w:lang w:bidi="ar"/>
              </w:rPr>
              <w:t>赞助费用：有（    ），共计</w:t>
            </w:r>
            <w:r>
              <w:rPr>
                <w:rStyle w:val="26"/>
                <w:rFonts w:hint="default"/>
                <w:sz w:val="24"/>
                <w:szCs w:val="24"/>
                <w:lang w:bidi="ar"/>
              </w:rPr>
              <w:t xml:space="preserve">           </w:t>
            </w:r>
            <w:r>
              <w:rPr>
                <w:rStyle w:val="25"/>
                <w:rFonts w:hint="default"/>
                <w:sz w:val="24"/>
                <w:szCs w:val="24"/>
                <w:lang w:bidi="ar"/>
              </w:rPr>
              <w:t xml:space="preserve">元，来源 </w:t>
            </w:r>
            <w:r>
              <w:rPr>
                <w:rStyle w:val="26"/>
                <w:rFonts w:hint="default"/>
                <w:sz w:val="24"/>
                <w:szCs w:val="24"/>
                <w:lang w:bidi="ar"/>
              </w:rPr>
              <w:t xml:space="preserve">                             </w:t>
            </w:r>
            <w:r>
              <w:rPr>
                <w:rStyle w:val="25"/>
                <w:rFonts w:hint="default"/>
                <w:sz w:val="24"/>
                <w:szCs w:val="24"/>
                <w:lang w:bidi="ar"/>
              </w:rPr>
              <w:br w:type="textWrapping"/>
            </w:r>
            <w:r>
              <w:rPr>
                <w:rStyle w:val="25"/>
                <w:rFonts w:hint="default"/>
                <w:sz w:val="24"/>
                <w:szCs w:val="24"/>
                <w:lang w:bidi="ar"/>
              </w:rPr>
              <w:t>赞助费用：无（    ）</w:t>
            </w:r>
          </w:p>
        </w:tc>
      </w:tr>
      <w:tr>
        <w:tblPrEx>
          <w:tblCellMar>
            <w:top w:w="15" w:type="dxa"/>
            <w:left w:w="15" w:type="dxa"/>
            <w:bottom w:w="15" w:type="dxa"/>
            <w:right w:w="15" w:type="dxa"/>
          </w:tblCellMar>
        </w:tblPrEx>
        <w:trPr>
          <w:trHeight w:val="9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tcBorders>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申请情况</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该项目上年度</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 xml:space="preserve">资助经费   </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color w:val="FF0000"/>
                <w:sz w:val="24"/>
                <w:szCs w:val="24"/>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资助单位</w:t>
            </w:r>
          </w:p>
        </w:tc>
        <w:tc>
          <w:tcPr>
            <w:tcW w:w="2781" w:type="dxa"/>
            <w:gridSpan w:val="2"/>
            <w:tcBorders>
              <w:top w:val="single" w:color="000000" w:sz="4" w:space="0"/>
              <w:bottom w:val="single" w:color="000000" w:sz="4" w:space="0"/>
              <w:right w:val="single" w:color="000000" w:sz="12" w:space="0"/>
            </w:tcBorders>
            <w:shd w:val="clear" w:color="auto" w:fill="auto"/>
            <w:vAlign w:val="center"/>
          </w:tcPr>
          <w:p>
            <w:pPr>
              <w:jc w:val="center"/>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700"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145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填表人</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联系电话</w:t>
            </w:r>
          </w:p>
        </w:tc>
        <w:tc>
          <w:tcPr>
            <w:tcW w:w="1177" w:type="dxa"/>
            <w:gridSpan w:val="2"/>
            <w:tcBorders>
              <w:top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邮箱</w:t>
            </w:r>
          </w:p>
        </w:tc>
        <w:tc>
          <w:tcPr>
            <w:tcW w:w="2781" w:type="dxa"/>
            <w:gridSpan w:val="2"/>
            <w:tcBorders>
              <w:top w:val="single" w:color="000000" w:sz="4" w:space="0"/>
              <w:bottom w:val="single" w:color="000000" w:sz="4" w:space="0"/>
              <w:right w:val="single" w:color="000000" w:sz="12" w:space="0"/>
            </w:tcBorders>
            <w:shd w:val="clear" w:color="auto" w:fill="auto"/>
            <w:vAlign w:val="center"/>
          </w:tcPr>
          <w:p>
            <w:pPr>
              <w:jc w:val="center"/>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1339" w:hRule="atLeast"/>
        </w:trPr>
        <w:tc>
          <w:tcPr>
            <w:tcW w:w="313"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黑体" w:hAnsi="宋体" w:eastAsia="黑体" w:cs="黑体"/>
                <w:b/>
                <w:color w:val="000000"/>
                <w:sz w:val="24"/>
                <w:szCs w:val="24"/>
              </w:rPr>
            </w:pPr>
          </w:p>
        </w:tc>
        <w:tc>
          <w:tcPr>
            <w:tcW w:w="2205" w:type="dxa"/>
            <w:gridSpan w:val="3"/>
            <w:tcBorders>
              <w:top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申报单位（盖章）：</w:t>
            </w:r>
          </w:p>
        </w:tc>
        <w:tc>
          <w:tcPr>
            <w:tcW w:w="1366"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法人签字</w:t>
            </w:r>
          </w:p>
        </w:tc>
        <w:tc>
          <w:tcPr>
            <w:tcW w:w="1177"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黑体" w:hAnsi="宋体" w:eastAsia="黑体" w:cs="黑体"/>
                <w:color w:val="000000"/>
                <w:sz w:val="24"/>
                <w:szCs w:val="24"/>
              </w:rPr>
            </w:pPr>
          </w:p>
        </w:tc>
        <w:tc>
          <w:tcPr>
            <w:tcW w:w="721"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签字时间</w:t>
            </w:r>
          </w:p>
        </w:tc>
        <w:tc>
          <w:tcPr>
            <w:tcW w:w="278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年    月    日</w:t>
            </w:r>
          </w:p>
        </w:tc>
      </w:tr>
      <w:tr>
        <w:tblPrEx>
          <w:tblCellMar>
            <w:top w:w="15" w:type="dxa"/>
            <w:left w:w="15" w:type="dxa"/>
            <w:bottom w:w="15" w:type="dxa"/>
            <w:right w:w="15" w:type="dxa"/>
          </w:tblCellMar>
        </w:tblPrEx>
        <w:trPr>
          <w:trHeight w:val="740" w:hRule="atLeast"/>
        </w:trPr>
        <w:tc>
          <w:tcPr>
            <w:tcW w:w="8563" w:type="dxa"/>
            <w:gridSpan w:val="10"/>
            <w:shd w:val="clear" w:color="auto" w:fill="FFFFFF" w:themeFill="background1"/>
            <w:vAlign w:val="center"/>
          </w:tcPr>
          <w:p>
            <w:pPr>
              <w:widowControl/>
              <w:jc w:val="left"/>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注：1、将填写完并盖章后申请表、活动方案、预算表发送至相关科室邮箱，并将纸质版交到深圳市南山区文化广电旅游体育局相关科室。</w:t>
            </w:r>
          </w:p>
        </w:tc>
      </w:tr>
      <w:tr>
        <w:tblPrEx>
          <w:tblCellMar>
            <w:top w:w="15" w:type="dxa"/>
            <w:left w:w="15" w:type="dxa"/>
            <w:bottom w:w="15" w:type="dxa"/>
            <w:right w:w="15" w:type="dxa"/>
          </w:tblCellMar>
        </w:tblPrEx>
        <w:trPr>
          <w:trHeight w:val="500" w:hRule="atLeast"/>
        </w:trPr>
        <w:tc>
          <w:tcPr>
            <w:tcW w:w="8563" w:type="dxa"/>
            <w:gridSpan w:val="10"/>
            <w:shd w:val="clear" w:color="auto" w:fill="FFFFFF" w:themeFill="background1"/>
            <w:vAlign w:val="center"/>
          </w:tcPr>
          <w:p>
            <w:pPr>
              <w:widowControl/>
              <w:jc w:val="left"/>
              <w:textAlignment w:val="center"/>
              <w:rPr>
                <w:rFonts w:hint="eastAsia" w:ascii="黑体" w:hAnsi="宋体" w:eastAsia="黑体" w:cs="黑体"/>
                <w:sz w:val="24"/>
                <w:szCs w:val="24"/>
              </w:rPr>
            </w:pPr>
            <w:r>
              <w:rPr>
                <w:rFonts w:hint="eastAsia" w:ascii="黑体" w:hAnsi="宋体" w:eastAsia="黑体" w:cs="黑体"/>
                <w:kern w:val="0"/>
                <w:sz w:val="24"/>
                <w:szCs w:val="24"/>
                <w:lang w:bidi="ar"/>
              </w:rPr>
              <w:t xml:space="preserve">    2、地址：南山区委大楼2720室  </w:t>
            </w:r>
          </w:p>
        </w:tc>
      </w:tr>
    </w:tbl>
    <w:p>
      <w:pPr>
        <w:spacing w:line="560" w:lineRule="exact"/>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br w:type="page"/>
      </w:r>
    </w:p>
    <w:p>
      <w:pPr>
        <w:spacing w:line="560" w:lineRule="exact"/>
        <w:jc w:val="left"/>
        <w:rPr>
          <w:rFonts w:hint="eastAsia" w:ascii="仿宋_GB2312" w:hAnsi="仿宋_GB2312" w:eastAsia="仿宋_GB2312" w:cs="仿宋_GB2312"/>
          <w:sz w:val="32"/>
          <w:szCs w:val="32"/>
        </w:rPr>
      </w:pPr>
      <w:bookmarkStart w:id="3" w:name="_GoBack"/>
      <w:r>
        <w:rPr>
          <w:rFonts w:hint="eastAsia" w:ascii="仿宋_GB2312" w:hAnsi="仿宋_GB2312" w:eastAsia="仿宋_GB2312" w:cs="仿宋_GB2312"/>
          <w:sz w:val="32"/>
          <w:szCs w:val="32"/>
        </w:rPr>
        <w:t>附件2：</w:t>
      </w:r>
    </w:p>
    <w:bookmarkEnd w:id="3"/>
    <w:p>
      <w:pPr>
        <w:spacing w:line="560" w:lineRule="exact"/>
        <w:ind w:firstLine="320" w:firstLineChars="100"/>
        <w:jc w:val="left"/>
        <w:rPr>
          <w:rFonts w:hint="eastAsia" w:ascii="黑体" w:hAnsi="黑体" w:eastAsia="黑体" w:cs="黑体"/>
          <w:sz w:val="32"/>
          <w:szCs w:val="32"/>
        </w:rPr>
      </w:pPr>
    </w:p>
    <w:p>
      <w:pPr>
        <w:spacing w:line="560" w:lineRule="exact"/>
        <w:jc w:val="center"/>
        <w:rPr>
          <w:rFonts w:hint="eastAsia" w:ascii="宋体" w:hAnsi="宋体"/>
          <w:b/>
          <w:color w:val="000000"/>
          <w:sz w:val="36"/>
          <w:szCs w:val="36"/>
        </w:rPr>
      </w:pPr>
      <w:r>
        <w:rPr>
          <w:rFonts w:hint="eastAsia" w:ascii="宋体" w:hAnsi="宋体"/>
          <w:b/>
          <w:color w:val="000000"/>
          <w:sz w:val="36"/>
          <w:szCs w:val="36"/>
        </w:rPr>
        <w:t>深圳市南山区文化广电旅游体育局主办体育赛事活动协议书</w:t>
      </w:r>
    </w:p>
    <w:p>
      <w:pPr>
        <w:spacing w:line="560" w:lineRule="exact"/>
        <w:ind w:firstLine="722" w:firstLineChars="200"/>
        <w:jc w:val="left"/>
        <w:rPr>
          <w:rFonts w:hint="eastAsia" w:ascii="宋体" w:hAnsi="宋体"/>
          <w:b/>
          <w:color w:val="000000"/>
          <w:sz w:val="36"/>
          <w:szCs w:val="36"/>
        </w:rPr>
      </w:pPr>
    </w:p>
    <w:p>
      <w:pPr>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甲方：深圳市南山区文化广电旅游体育局</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sz w:val="28"/>
          <w:szCs w:val="28"/>
        </w:rPr>
        <w:t>：</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pPr>
        <w:spacing w:line="560" w:lineRule="exact"/>
        <w:ind w:firstLine="560" w:firstLineChars="200"/>
        <w:jc w:val="left"/>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为进一步落实国务院《关于支持深圳建设中国特色社会主义先行示范区的意见》</w:t>
      </w:r>
      <w:r>
        <w:rPr>
          <w:rFonts w:hint="eastAsia" w:ascii="仿宋_GB2312" w:hAnsi="仿宋_GB2312" w:eastAsia="仿宋_GB2312" w:cs="仿宋_GB2312"/>
          <w:sz w:val="28"/>
          <w:szCs w:val="28"/>
        </w:rPr>
        <w:t>关于“支持深圳举办国际大型体育赛事和文化交流活动”指导精神，</w:t>
      </w:r>
      <w:r>
        <w:rPr>
          <w:rFonts w:ascii="仿宋_GB2312" w:hAnsi="仿宋_GB2312" w:eastAsia="仿宋_GB2312" w:cs="仿宋_GB2312"/>
          <w:sz w:val="28"/>
          <w:szCs w:val="28"/>
        </w:rPr>
        <w:t>助推粤港澳大湾区建设</w:t>
      </w:r>
      <w:r>
        <w:rPr>
          <w:rFonts w:hint="eastAsia" w:ascii="仿宋_GB2312" w:hAnsi="仿宋_GB2312" w:eastAsia="仿宋_GB2312" w:cs="仿宋_GB2312"/>
          <w:sz w:val="28"/>
          <w:szCs w:val="28"/>
        </w:rPr>
        <w:t>，不断满足人民日益增长的美好生活需要，提升办赛质量，扩大高水平赛事影响力，经双方友好协商，制定以下协议：</w:t>
      </w:r>
    </w:p>
    <w:p>
      <w:pPr>
        <w:widowControl/>
        <w:numPr>
          <w:ilvl w:val="0"/>
          <w:numId w:val="3"/>
        </w:numPr>
        <w:spacing w:line="560" w:lineRule="exact"/>
        <w:ind w:firstLine="562"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赛事名称</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widowControl/>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第二条 赛事日期、地点及规模等</w:t>
      </w:r>
      <w:r>
        <w:rPr>
          <w:rFonts w:hint="eastAsia" w:ascii="仿宋_GB2312" w:hAnsi="仿宋_GB2312" w:eastAsia="仿宋_GB2312" w:cs="仿宋_GB2312"/>
          <w:sz w:val="28"/>
          <w:szCs w:val="28"/>
        </w:rPr>
        <w:t>：</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（一）活动日期：</w:t>
      </w:r>
      <w:r>
        <w:rPr>
          <w:rFonts w:hint="eastAsia" w:ascii="仿宋_GB2312" w:hAnsi="仿宋_GB2312" w:eastAsia="仿宋_GB2312" w:cs="仿宋_GB2312"/>
          <w:sz w:val="28"/>
          <w:szCs w:val="28"/>
          <w:u w:val="single"/>
        </w:rPr>
        <w:t xml:space="preserve">                   </w:t>
      </w:r>
    </w:p>
    <w:p>
      <w:pPr>
        <w:widowControl/>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（二）活动场次/天数：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widowControl/>
        <w:spacing w:line="56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（三）活动举办地点：</w:t>
      </w:r>
      <w:r>
        <w:rPr>
          <w:rFonts w:hint="eastAsia" w:ascii="仿宋_GB2312" w:hAnsi="仿宋_GB2312" w:eastAsia="仿宋_GB2312" w:cs="仿宋_GB2312"/>
          <w:sz w:val="28"/>
          <w:szCs w:val="28"/>
          <w:u w:val="single"/>
        </w:rPr>
        <w:t xml:space="preserve">                </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（四）活动参与人数：约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widowControl/>
        <w:spacing w:line="560" w:lineRule="exact"/>
        <w:ind w:firstLine="560" w:firstLineChars="200"/>
        <w:jc w:val="left"/>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（五）活动主要参与对象：</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p>
    <w:p>
      <w:pPr>
        <w:widowControl/>
        <w:spacing w:line="560" w:lineRule="exact"/>
        <w:ind w:firstLine="562" w:firstLineChars="200"/>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第三条 甲方职责</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甲方对乙方具有业务指导、督促检查的职责。</w:t>
      </w:r>
    </w:p>
    <w:p>
      <w:pPr>
        <w:widowControl/>
        <w:spacing w:line="56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第四条 乙方职责</w:t>
      </w:r>
    </w:p>
    <w:p>
      <w:pPr>
        <w:widowControl/>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（一）乙方为本次体育赛事活动的承办单位，负责赛事的筹办事宜，并按要求</w:t>
      </w:r>
      <w:r>
        <w:rPr>
          <w:rFonts w:hint="eastAsia" w:ascii="仿宋_GB2312" w:hAnsi="仿宋_GB2312" w:eastAsia="仿宋_GB2312" w:cs="仿宋_GB2312"/>
          <w:color w:val="000000"/>
          <w:sz w:val="28"/>
          <w:szCs w:val="28"/>
        </w:rPr>
        <w:t>接受甲方监督；</w:t>
      </w:r>
    </w:p>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color w:val="000000"/>
          <w:sz w:val="28"/>
          <w:szCs w:val="28"/>
        </w:rPr>
        <w:t>乙方须及时向甲方报送相关材料。</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1.申报相关材料：</w:t>
      </w:r>
    </w:p>
    <w:p>
      <w:pPr>
        <w:spacing w:line="560" w:lineRule="exact"/>
        <w:ind w:firstLine="560" w:firstLineChars="200"/>
        <w:rPr>
          <w:rFonts w:hint="eastAsia" w:ascii="仿宋_GB2312" w:hAnsi="等线" w:eastAsia="仿宋_GB2312"/>
          <w:sz w:val="28"/>
          <w:szCs w:val="28"/>
        </w:rPr>
      </w:pPr>
      <w:r>
        <w:rPr>
          <w:rFonts w:hint="eastAsia" w:ascii="仿宋_GB2312" w:hAnsi="仿宋_GB2312" w:eastAsia="仿宋_GB2312" w:cs="仿宋_GB2312"/>
          <w:sz w:val="28"/>
          <w:szCs w:val="28"/>
        </w:rPr>
        <w:t>主要包括：</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（1）营业执照或法人登记证书</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（2）区文化广电旅游体育局主办体育赛事项目申请表（附件1）</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（3）体育赛事承办工作方案</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（4）体育赛事经费预算方案</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（5）安全风险防控工作方案</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（6）应急处置工作预案</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（7）能够满足举办体育赛事活动技术标准与组织管理的各项办赛条件证明文件</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（8）办赛经历证明文件，</w:t>
      </w:r>
      <w:r>
        <w:rPr>
          <w:rFonts w:hint="eastAsia" w:ascii="仿宋_GB2312" w:hAnsi="黑体" w:eastAsia="仿宋_GB2312"/>
          <w:bCs/>
          <w:sz w:val="28"/>
          <w:szCs w:val="28"/>
        </w:rPr>
        <w:t>如与国际单项体育联合会、国家体育管理部门、省体育管理部门等签订的赛事或大型体育活动运营授权书、合同或批文等</w:t>
      </w:r>
      <w:r>
        <w:rPr>
          <w:rFonts w:hint="eastAsia"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2.验收材料：</w:t>
      </w:r>
    </w:p>
    <w:p>
      <w:pPr>
        <w:widowControl/>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承办赛事完成之日起15个工作日内，乙方须向甲方指定的单位递交验收材料，内容包括：秩序册、成绩册、赛事总结、赛事相关现场照片（10张）、视频（2-3分钟）、宣传推文、费用明细表等。</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乙方须全力做好赛事安全、后勤保障等工作，</w:t>
      </w:r>
      <w:r>
        <w:rPr>
          <w:rFonts w:hint="eastAsia" w:ascii="仿宋_GB2312" w:hAnsi="仿宋_GB2312" w:eastAsia="仿宋_GB2312" w:cs="仿宋_GB2312"/>
          <w:sz w:val="28"/>
          <w:szCs w:val="28"/>
        </w:rPr>
        <w:t>确保赛事安全有序进行。</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乙方须为参加赛事人员购买人身意外伤害险，因故发生的人身意外伤害均由乙方负责。</w:t>
      </w:r>
    </w:p>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（五）乙方须在赛事举办前</w:t>
      </w:r>
      <w:r>
        <w:rPr>
          <w:rFonts w:hint="eastAsia" w:ascii="仿宋_GB2312" w:hAnsi="仿宋_GB2312" w:eastAsia="仿宋_GB2312" w:cs="仿宋_GB2312"/>
          <w:color w:val="000000"/>
          <w:sz w:val="28"/>
          <w:szCs w:val="28"/>
        </w:rPr>
        <w:t>60</w:t>
      </w:r>
      <w:r>
        <w:rPr>
          <w:rFonts w:hint="eastAsia" w:ascii="仿宋_GB2312" w:hAnsi="仿宋_GB2312" w:eastAsia="仿宋_GB2312" w:cs="仿宋_GB2312"/>
          <w:sz w:val="28"/>
          <w:szCs w:val="28"/>
        </w:rPr>
        <w:t>个工作日内将</w:t>
      </w:r>
      <w:r>
        <w:rPr>
          <w:rFonts w:hint="eastAsia" w:ascii="仿宋_GB2312" w:hAnsi="仿宋_GB2312" w:eastAsia="仿宋_GB2312" w:cs="仿宋_GB2312"/>
          <w:color w:val="000000"/>
          <w:sz w:val="28"/>
          <w:szCs w:val="28"/>
        </w:rPr>
        <w:t>赛事竞赛规程上报到甲方相关科室。</w:t>
      </w:r>
    </w:p>
    <w:p>
      <w:pPr>
        <w:widowControl/>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（六）本次</w:t>
      </w:r>
      <w:r>
        <w:rPr>
          <w:rFonts w:hint="eastAsia" w:ascii="仿宋_GB2312" w:hAnsi="仿宋_GB2312" w:eastAsia="仿宋_GB2312" w:cs="仿宋_GB2312"/>
          <w:sz w:val="28"/>
          <w:szCs w:val="28"/>
        </w:rPr>
        <w:t>赛事</w:t>
      </w:r>
      <w:r>
        <w:rPr>
          <w:rFonts w:hint="eastAsia" w:ascii="仿宋_GB2312" w:hAnsi="仿宋_GB2312" w:eastAsia="仿宋_GB2312" w:cs="仿宋_GB2312"/>
          <w:color w:val="000000"/>
          <w:sz w:val="28"/>
          <w:szCs w:val="28"/>
        </w:rPr>
        <w:t>不得委托第三方承办，乙方须独立核算，并</w:t>
      </w:r>
      <w:r>
        <w:rPr>
          <w:rFonts w:hint="eastAsia" w:ascii="仿宋_GB2312" w:hAnsi="仿宋_GB2312" w:eastAsia="仿宋_GB2312" w:cs="仿宋_GB2312"/>
          <w:sz w:val="28"/>
          <w:szCs w:val="28"/>
        </w:rPr>
        <w:t>及时提供税务票据，</w:t>
      </w:r>
      <w:r>
        <w:rPr>
          <w:rFonts w:hint="eastAsia" w:ascii="仿宋_GB2312" w:hAnsi="仿宋_GB2312" w:eastAsia="仿宋_GB2312" w:cs="仿宋_GB2312"/>
          <w:color w:val="000000"/>
          <w:sz w:val="28"/>
          <w:szCs w:val="28"/>
        </w:rPr>
        <w:t>按要求接受甲方的监督检查。</w:t>
      </w:r>
    </w:p>
    <w:p>
      <w:pPr>
        <w:widowControl/>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sz w:val="28"/>
          <w:szCs w:val="28"/>
        </w:rPr>
        <w:t>赛事</w:t>
      </w:r>
      <w:r>
        <w:rPr>
          <w:rFonts w:hint="eastAsia" w:ascii="仿宋_GB2312" w:hAnsi="仿宋_GB2312" w:eastAsia="仿宋_GB2312" w:cs="仿宋_GB2312"/>
          <w:color w:val="000000"/>
          <w:sz w:val="28"/>
          <w:szCs w:val="28"/>
        </w:rPr>
        <w:t>结束之日起10日内，乙方须到甲方指定的审计单位进行赛事审计，并按照相关审计要求在规定时间内提交赛事材料。</w:t>
      </w:r>
    </w:p>
    <w:p>
      <w:pPr>
        <w:widowControl/>
        <w:spacing w:line="560" w:lineRule="exact"/>
        <w:ind w:firstLine="562" w:firstLineChars="200"/>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第五条 经费使用规定</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事经费使用范围主要包括灯光、音响、安保、医疗、保险、志愿者、宣传等费用，与赛事相关的接待费、中介费、出场费等不得列入该赛事经费支出范围。相关支出标准参照《深圳市主办（承办）和参加大型体育赛事经费支出管理办法》执行。</w:t>
      </w:r>
    </w:p>
    <w:p>
      <w:pPr>
        <w:widowControl/>
        <w:spacing w:line="560" w:lineRule="exact"/>
        <w:ind w:firstLine="562" w:firstLineChars="200"/>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第六条 经费支付及使用</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（一）本次体育赛事经费总计人民币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万元（大写）；</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（二）甲方分两期向乙方支付赛事经费：</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第一期：自本协议生效之日起15个工作日内，乙方向甲方开具税务发票，甲方在收到发票后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个工作日内向乙方支付经费的70%（人民币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ascii="仿宋_GB2312" w:hAnsi="仿宋_GB2312" w:eastAsia="仿宋_GB2312" w:cs="仿宋_GB2312"/>
          <w:sz w:val="28"/>
          <w:szCs w:val="28"/>
        </w:rPr>
        <w:t>。</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第二期：自赛事结束之日起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个工作日内，甲方根据乙方开具的税务发票及第三方审计报告结果，按乙方实际支出支付不超过30%的余款</w:t>
      </w:r>
      <w:r>
        <w:rPr>
          <w:rFonts w:ascii="仿宋_GB2312" w:hAnsi="仿宋_GB2312" w:eastAsia="仿宋_GB2312" w:cs="仿宋_GB2312"/>
          <w:sz w:val="28"/>
          <w:szCs w:val="28"/>
        </w:rPr>
        <w:t>。</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赛事结束后经审计合格且乙方按规定用途使用赛事经费达到100%的，甲方根据本协议约定支付剩余款项；如乙方使用赛事经费达到70%，但未达到规定用途100%的，甲方根据乙方实际支出拨付剩余款项；如乙方实际支出未达到70%的项目，乙方应按照实际审计结果退回相应经费款项给甲方；乙方未实际承办本次赛事活动的，应全额退回全部款项至甲方。</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（四）支付方式：甲方按规定将有关经费转账至乙方如下账户</w:t>
      </w:r>
      <w:r>
        <w:rPr>
          <w:rFonts w:ascii="仿宋_GB2312" w:hAnsi="仿宋_GB2312" w:eastAsia="仿宋_GB2312" w:cs="仿宋_GB2312"/>
          <w:sz w:val="28"/>
          <w:szCs w:val="28"/>
        </w:rPr>
        <w:t>。</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（五）乙方在使用甲方支付的经费时，须专款专用，每张票据均须注明该项活动名称。</w:t>
      </w:r>
      <w:r>
        <w:rPr>
          <w:rFonts w:ascii="仿宋_GB2312" w:hAnsi="仿宋_GB2312" w:eastAsia="仿宋_GB2312" w:cs="仿宋_GB2312"/>
          <w:sz w:val="28"/>
          <w:szCs w:val="28"/>
        </w:rPr>
        <w:t>1000元以上的费用必须采用银行转账方式支付并保留支付凭证；乙方一次性购买超过3000元金额物资时，必须与对方公司签订购销协议或采购合同，不超过3000元的须罗列购买清单。</w:t>
      </w:r>
    </w:p>
    <w:p>
      <w:pPr>
        <w:widowControl/>
        <w:spacing w:line="56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第七条 变更事项处理</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有下列变更事项之一者，乙方须提交书面申请报送甲方审核</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（一）变更项目承办机构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（二）变更已批准的资助项目名称</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（三）变更资助项目的赛事形式</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（四）资助项目内容有重大变化</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（五）资助项目延期完成；</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（六）终止资助项目；</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（七）其他需要审批的重大变更事项。</w:t>
      </w:r>
    </w:p>
    <w:p>
      <w:pPr>
        <w:widowControl/>
        <w:spacing w:line="56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违约责任</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乙方有下列情形之一者，为验收不合格，将承担违约责任，甲方有权视情形依法做出取消承办资格、追回已支付经费等相应处理</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（一）违反《体育法》其他有关规定的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（二）有严重弄虚作假行为的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（三）未按照项目计划执行，或与批准的资助项目内容严重不符的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（四）出现安全事故，造成严重社会影响的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（五）多次延期仍不能完成项目承办的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（六）违反财务会计制度规定，将政府资助资金挪作他用的</w:t>
      </w:r>
      <w:r>
        <w:rPr>
          <w:rFonts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（七）项目申报、评审、验收工作中有行贿行为的</w:t>
      </w:r>
      <w:r>
        <w:rPr>
          <w:rFonts w:ascii="仿宋_GB2312" w:hAnsi="仿宋_GB2312" w:eastAsia="仿宋_GB2312" w:cs="仿宋_GB2312"/>
          <w:sz w:val="28"/>
          <w:szCs w:val="28"/>
        </w:rPr>
        <w:t>。</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（八）其他违法和严重违规事项。</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因乙方责任造成活动不能举办或承办的，甲方有权要求乙方全额退回支付给乙方的活动经费。</w:t>
      </w:r>
    </w:p>
    <w:p>
      <w:pPr>
        <w:widowControl/>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本协议书未尽事宜，由双方共同协商并签订补充协议。</w:t>
      </w:r>
    </w:p>
    <w:p>
      <w:pPr>
        <w:widowControl/>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第十条 </w:t>
      </w:r>
      <w:r>
        <w:rPr>
          <w:rFonts w:hint="eastAsia" w:ascii="仿宋_GB2312" w:hAnsi="仿宋_GB2312" w:eastAsia="仿宋_GB2312" w:cs="仿宋_GB2312"/>
          <w:sz w:val="28"/>
          <w:szCs w:val="28"/>
        </w:rPr>
        <w:t>本协议履行过程中，如有争议，双方协商解决。协商不成，可诉至甲方所在地人民法院。</w:t>
      </w:r>
    </w:p>
    <w:p>
      <w:pPr>
        <w:widowControl/>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sz w:val="28"/>
          <w:szCs w:val="28"/>
        </w:rPr>
        <w:t xml:space="preserve"> 本协议一式肆份，甲方执叁份乙方执壹份，具有同等法律效力，自双方法定代表人或授权代表签字并加盖单位公章之日起生效。</w:t>
      </w:r>
    </w:p>
    <w:p>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widowControl/>
        <w:spacing w:line="440" w:lineRule="exact"/>
        <w:ind w:firstLine="560" w:firstLineChars="200"/>
        <w:jc w:val="left"/>
        <w:rPr>
          <w:rFonts w:hint="eastAsia" w:ascii="仿宋_GB2312" w:hAnsi="仿宋_GB2312" w:eastAsia="仿宋_GB2312" w:cs="仿宋_GB2312"/>
          <w:sz w:val="28"/>
          <w:szCs w:val="28"/>
        </w:rPr>
      </w:pPr>
    </w:p>
    <w:p>
      <w:pPr>
        <w:widowControl/>
        <w:spacing w:before="240" w:after="9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甲方：深圳市南山区文化              乙方：</w:t>
      </w:r>
    </w:p>
    <w:p>
      <w:pPr>
        <w:widowControl/>
        <w:spacing w:before="240" w:after="90"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（盖章）广电旅游体育局             （盖章）</w:t>
      </w:r>
    </w:p>
    <w:p>
      <w:pPr>
        <w:widowControl/>
        <w:spacing w:before="90" w:after="90"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代表人：                            代表人：</w:t>
      </w:r>
    </w:p>
    <w:p>
      <w:pPr>
        <w:widowControl/>
        <w:spacing w:before="90" w:after="90"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                 日期：    年  月  日</w:t>
      </w:r>
    </w:p>
    <w:p>
      <w:pPr>
        <w:ind w:firstLine="560" w:firstLineChars="200"/>
      </w:pPr>
      <w:r>
        <w:rPr>
          <w:rFonts w:hint="eastAsia" w:ascii="仿宋_GB2312" w:hAnsi="仿宋_GB2312" w:eastAsia="仿宋_GB2312" w:cs="仿宋_GB2312"/>
          <w:sz w:val="28"/>
          <w:szCs w:val="28"/>
        </w:rPr>
        <w:t>联系方式：                          联系方式：</w:t>
      </w:r>
    </w:p>
    <w:p>
      <w:pPr>
        <w:widowControl/>
        <w:spacing w:line="560" w:lineRule="exact"/>
        <w:outlineLvl w:val="1"/>
        <w:rPr>
          <w:rFonts w:hint="eastAsia" w:ascii="黑体" w:hAnsi="黑体" w:eastAsia="黑体" w:cs="黑体"/>
          <w:sz w:val="32"/>
          <w:szCs w:val="32"/>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3E6AB"/>
    <w:multiLevelType w:val="singleLevel"/>
    <w:tmpl w:val="B2D3E6AB"/>
    <w:lvl w:ilvl="0" w:tentative="0">
      <w:start w:val="1"/>
      <w:numFmt w:val="chineseCounting"/>
      <w:suff w:val="space"/>
      <w:lvlText w:val="第%1条"/>
      <w:lvlJc w:val="left"/>
      <w:rPr>
        <w:rFonts w:hint="eastAsia"/>
        <w:b/>
        <w:bCs/>
      </w:rPr>
    </w:lvl>
  </w:abstractNum>
  <w:abstractNum w:abstractNumId="1">
    <w:nsid w:val="1920EF94"/>
    <w:multiLevelType w:val="singleLevel"/>
    <w:tmpl w:val="1920EF94"/>
    <w:lvl w:ilvl="0" w:tentative="0">
      <w:start w:val="3"/>
      <w:numFmt w:val="chineseCounting"/>
      <w:suff w:val="nothing"/>
      <w:lvlText w:val="（%1）"/>
      <w:lvlJc w:val="left"/>
      <w:rPr>
        <w:rFonts w:hint="eastAsia"/>
      </w:rPr>
    </w:lvl>
  </w:abstractNum>
  <w:abstractNum w:abstractNumId="2">
    <w:nsid w:val="66476BC5"/>
    <w:multiLevelType w:val="singleLevel"/>
    <w:tmpl w:val="66476BC5"/>
    <w:lvl w:ilvl="0" w:tentative="0">
      <w:start w:val="1"/>
      <w:numFmt w:val="chineseCounting"/>
      <w:suff w:val="nothing"/>
      <w:lvlText w:val="（%1）"/>
      <w:lvlJc w:val="left"/>
      <w:rPr>
        <w:rFonts w:hint="eastAsia"/>
      </w:rPr>
    </w:lvl>
  </w:abstractNum>
  <w:abstractNum w:abstractNumId="3">
    <w:nsid w:val="7A883BED"/>
    <w:multiLevelType w:val="singleLevel"/>
    <w:tmpl w:val="7A883BED"/>
    <w:lvl w:ilvl="0" w:tentative="0">
      <w:start w:val="1"/>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7BCE2371"/>
    <w:rsid w:val="0001268D"/>
    <w:rsid w:val="00036376"/>
    <w:rsid w:val="00036AE0"/>
    <w:rsid w:val="00053F9C"/>
    <w:rsid w:val="00055E97"/>
    <w:rsid w:val="00064737"/>
    <w:rsid w:val="000737AF"/>
    <w:rsid w:val="000830D0"/>
    <w:rsid w:val="000B16C4"/>
    <w:rsid w:val="000B6090"/>
    <w:rsid w:val="000D2878"/>
    <w:rsid w:val="000D71CF"/>
    <w:rsid w:val="000F1596"/>
    <w:rsid w:val="000F2767"/>
    <w:rsid w:val="000F718C"/>
    <w:rsid w:val="00102E78"/>
    <w:rsid w:val="00105B79"/>
    <w:rsid w:val="0011405C"/>
    <w:rsid w:val="00115D33"/>
    <w:rsid w:val="00115D9F"/>
    <w:rsid w:val="00133FD7"/>
    <w:rsid w:val="00147B7B"/>
    <w:rsid w:val="00183CC8"/>
    <w:rsid w:val="001914A3"/>
    <w:rsid w:val="001937D3"/>
    <w:rsid w:val="00195498"/>
    <w:rsid w:val="00196759"/>
    <w:rsid w:val="001A2046"/>
    <w:rsid w:val="001A7109"/>
    <w:rsid w:val="001C5F9A"/>
    <w:rsid w:val="001D3EF9"/>
    <w:rsid w:val="001E1178"/>
    <w:rsid w:val="001E1A86"/>
    <w:rsid w:val="001E1D54"/>
    <w:rsid w:val="001F4B75"/>
    <w:rsid w:val="00211DA6"/>
    <w:rsid w:val="0022783A"/>
    <w:rsid w:val="00243BD6"/>
    <w:rsid w:val="002505D3"/>
    <w:rsid w:val="002552A6"/>
    <w:rsid w:val="00260EF4"/>
    <w:rsid w:val="00262C19"/>
    <w:rsid w:val="002718F0"/>
    <w:rsid w:val="00272CA3"/>
    <w:rsid w:val="00272DCF"/>
    <w:rsid w:val="00283047"/>
    <w:rsid w:val="00290688"/>
    <w:rsid w:val="00296B38"/>
    <w:rsid w:val="002A6F8F"/>
    <w:rsid w:val="002B42B4"/>
    <w:rsid w:val="002C3D6D"/>
    <w:rsid w:val="002C65BF"/>
    <w:rsid w:val="002D5E3B"/>
    <w:rsid w:val="002F152A"/>
    <w:rsid w:val="002F60C7"/>
    <w:rsid w:val="00317A3E"/>
    <w:rsid w:val="0032103D"/>
    <w:rsid w:val="00330B77"/>
    <w:rsid w:val="00335FB9"/>
    <w:rsid w:val="00337A79"/>
    <w:rsid w:val="0034049E"/>
    <w:rsid w:val="00355999"/>
    <w:rsid w:val="00376B86"/>
    <w:rsid w:val="00391BDF"/>
    <w:rsid w:val="00392333"/>
    <w:rsid w:val="00394E22"/>
    <w:rsid w:val="003A5687"/>
    <w:rsid w:val="003B7906"/>
    <w:rsid w:val="003D2CB3"/>
    <w:rsid w:val="003D5A6A"/>
    <w:rsid w:val="003E49AD"/>
    <w:rsid w:val="003E614A"/>
    <w:rsid w:val="00402BDD"/>
    <w:rsid w:val="00424FBF"/>
    <w:rsid w:val="00430F53"/>
    <w:rsid w:val="00443F28"/>
    <w:rsid w:val="00450A84"/>
    <w:rsid w:val="00450C74"/>
    <w:rsid w:val="00450E3B"/>
    <w:rsid w:val="0045186A"/>
    <w:rsid w:val="00452F8F"/>
    <w:rsid w:val="00492263"/>
    <w:rsid w:val="00492A90"/>
    <w:rsid w:val="004A4F1C"/>
    <w:rsid w:val="004A640F"/>
    <w:rsid w:val="004C2F39"/>
    <w:rsid w:val="00505F3B"/>
    <w:rsid w:val="00511FD7"/>
    <w:rsid w:val="0051791E"/>
    <w:rsid w:val="00533CCB"/>
    <w:rsid w:val="005548A9"/>
    <w:rsid w:val="005773CC"/>
    <w:rsid w:val="005A0548"/>
    <w:rsid w:val="005B3A11"/>
    <w:rsid w:val="005C3516"/>
    <w:rsid w:val="005E02D0"/>
    <w:rsid w:val="005E3A0D"/>
    <w:rsid w:val="005F0467"/>
    <w:rsid w:val="00617F68"/>
    <w:rsid w:val="00620409"/>
    <w:rsid w:val="00623109"/>
    <w:rsid w:val="00623C79"/>
    <w:rsid w:val="00624061"/>
    <w:rsid w:val="00632AED"/>
    <w:rsid w:val="006345BD"/>
    <w:rsid w:val="006349CF"/>
    <w:rsid w:val="0064335C"/>
    <w:rsid w:val="00645BA9"/>
    <w:rsid w:val="006552C1"/>
    <w:rsid w:val="00657AC6"/>
    <w:rsid w:val="006730A2"/>
    <w:rsid w:val="00673448"/>
    <w:rsid w:val="00680473"/>
    <w:rsid w:val="0068585A"/>
    <w:rsid w:val="006941A0"/>
    <w:rsid w:val="006B0707"/>
    <w:rsid w:val="006B0839"/>
    <w:rsid w:val="006B57D1"/>
    <w:rsid w:val="006E6D9B"/>
    <w:rsid w:val="00712D47"/>
    <w:rsid w:val="00751569"/>
    <w:rsid w:val="007576B5"/>
    <w:rsid w:val="0076032F"/>
    <w:rsid w:val="00793C54"/>
    <w:rsid w:val="007C384B"/>
    <w:rsid w:val="007C59EE"/>
    <w:rsid w:val="007C5BFA"/>
    <w:rsid w:val="007D51EE"/>
    <w:rsid w:val="007E773E"/>
    <w:rsid w:val="007F10BF"/>
    <w:rsid w:val="00802996"/>
    <w:rsid w:val="00817F8B"/>
    <w:rsid w:val="0086757B"/>
    <w:rsid w:val="008767B3"/>
    <w:rsid w:val="008A572E"/>
    <w:rsid w:val="008A7516"/>
    <w:rsid w:val="008C7C1D"/>
    <w:rsid w:val="008F06C4"/>
    <w:rsid w:val="008F0C38"/>
    <w:rsid w:val="008F7DB1"/>
    <w:rsid w:val="009006C9"/>
    <w:rsid w:val="00901FEE"/>
    <w:rsid w:val="0091577E"/>
    <w:rsid w:val="009173F2"/>
    <w:rsid w:val="009200CE"/>
    <w:rsid w:val="00923B9E"/>
    <w:rsid w:val="0093102C"/>
    <w:rsid w:val="00983789"/>
    <w:rsid w:val="00990593"/>
    <w:rsid w:val="009A21C1"/>
    <w:rsid w:val="009C5EB9"/>
    <w:rsid w:val="009D6B0D"/>
    <w:rsid w:val="009D77B7"/>
    <w:rsid w:val="00A01160"/>
    <w:rsid w:val="00A100BB"/>
    <w:rsid w:val="00A22D34"/>
    <w:rsid w:val="00A23C5C"/>
    <w:rsid w:val="00A47821"/>
    <w:rsid w:val="00AA3E27"/>
    <w:rsid w:val="00AA6D65"/>
    <w:rsid w:val="00AD7AAC"/>
    <w:rsid w:val="00AE41B0"/>
    <w:rsid w:val="00B417EE"/>
    <w:rsid w:val="00B51987"/>
    <w:rsid w:val="00B67B7B"/>
    <w:rsid w:val="00B76FAC"/>
    <w:rsid w:val="00B81FE5"/>
    <w:rsid w:val="00B825F4"/>
    <w:rsid w:val="00B85EE9"/>
    <w:rsid w:val="00B9082A"/>
    <w:rsid w:val="00BC462B"/>
    <w:rsid w:val="00BD5AFA"/>
    <w:rsid w:val="00BE7120"/>
    <w:rsid w:val="00C01B8D"/>
    <w:rsid w:val="00C0751E"/>
    <w:rsid w:val="00C12A3B"/>
    <w:rsid w:val="00C17990"/>
    <w:rsid w:val="00C2030D"/>
    <w:rsid w:val="00C41B60"/>
    <w:rsid w:val="00C74F0A"/>
    <w:rsid w:val="00C913F0"/>
    <w:rsid w:val="00C947BB"/>
    <w:rsid w:val="00CA1D91"/>
    <w:rsid w:val="00CA7AA1"/>
    <w:rsid w:val="00CA7EEA"/>
    <w:rsid w:val="00CC6F05"/>
    <w:rsid w:val="00CD1FE1"/>
    <w:rsid w:val="00CD4A33"/>
    <w:rsid w:val="00CE6012"/>
    <w:rsid w:val="00CF76BD"/>
    <w:rsid w:val="00D07E9A"/>
    <w:rsid w:val="00D2506C"/>
    <w:rsid w:val="00D414A9"/>
    <w:rsid w:val="00D43292"/>
    <w:rsid w:val="00D746F4"/>
    <w:rsid w:val="00D77EDE"/>
    <w:rsid w:val="00D854F5"/>
    <w:rsid w:val="00D87BA7"/>
    <w:rsid w:val="00DB0842"/>
    <w:rsid w:val="00DC7475"/>
    <w:rsid w:val="00DD0C79"/>
    <w:rsid w:val="00DD1BF9"/>
    <w:rsid w:val="00DF125B"/>
    <w:rsid w:val="00E10822"/>
    <w:rsid w:val="00E11691"/>
    <w:rsid w:val="00E22D4F"/>
    <w:rsid w:val="00E2599B"/>
    <w:rsid w:val="00E26AA8"/>
    <w:rsid w:val="00E34828"/>
    <w:rsid w:val="00E54A40"/>
    <w:rsid w:val="00E955CE"/>
    <w:rsid w:val="00EA6C83"/>
    <w:rsid w:val="00EC146A"/>
    <w:rsid w:val="00EC3A6B"/>
    <w:rsid w:val="00EC58A5"/>
    <w:rsid w:val="00ED71FC"/>
    <w:rsid w:val="00EE1CAF"/>
    <w:rsid w:val="00EE2147"/>
    <w:rsid w:val="00EE2431"/>
    <w:rsid w:val="00EE313E"/>
    <w:rsid w:val="00EE6FED"/>
    <w:rsid w:val="00F116F0"/>
    <w:rsid w:val="00F13A46"/>
    <w:rsid w:val="00F14BE8"/>
    <w:rsid w:val="00F22353"/>
    <w:rsid w:val="00F254FF"/>
    <w:rsid w:val="00F56E49"/>
    <w:rsid w:val="00F5719F"/>
    <w:rsid w:val="00F83401"/>
    <w:rsid w:val="00F97D05"/>
    <w:rsid w:val="00FA25CA"/>
    <w:rsid w:val="00FB0B15"/>
    <w:rsid w:val="00FB40AB"/>
    <w:rsid w:val="00FC1882"/>
    <w:rsid w:val="00FC35E2"/>
    <w:rsid w:val="00FD148D"/>
    <w:rsid w:val="00FE2DDC"/>
    <w:rsid w:val="00FF4AF6"/>
    <w:rsid w:val="01F3476F"/>
    <w:rsid w:val="02092508"/>
    <w:rsid w:val="028F627B"/>
    <w:rsid w:val="02A72232"/>
    <w:rsid w:val="03C36AED"/>
    <w:rsid w:val="03FD6F85"/>
    <w:rsid w:val="04A9274A"/>
    <w:rsid w:val="056B7BE9"/>
    <w:rsid w:val="07EB1F95"/>
    <w:rsid w:val="07F50C38"/>
    <w:rsid w:val="089B6F1A"/>
    <w:rsid w:val="08C33D41"/>
    <w:rsid w:val="093B7BFC"/>
    <w:rsid w:val="095B3981"/>
    <w:rsid w:val="0C2F5DD7"/>
    <w:rsid w:val="0C655BD3"/>
    <w:rsid w:val="0E4A4BC7"/>
    <w:rsid w:val="0EB37390"/>
    <w:rsid w:val="0ECF0DC1"/>
    <w:rsid w:val="0ED957CC"/>
    <w:rsid w:val="0F141DD0"/>
    <w:rsid w:val="0F181D5E"/>
    <w:rsid w:val="0FE9125A"/>
    <w:rsid w:val="0FF92738"/>
    <w:rsid w:val="10AB7643"/>
    <w:rsid w:val="10DE0DA2"/>
    <w:rsid w:val="11153B71"/>
    <w:rsid w:val="11194576"/>
    <w:rsid w:val="123C49BA"/>
    <w:rsid w:val="130011BF"/>
    <w:rsid w:val="13AB0ED6"/>
    <w:rsid w:val="13C7475D"/>
    <w:rsid w:val="142905A6"/>
    <w:rsid w:val="14E338A7"/>
    <w:rsid w:val="15E824F3"/>
    <w:rsid w:val="17451C21"/>
    <w:rsid w:val="17993A79"/>
    <w:rsid w:val="179D3520"/>
    <w:rsid w:val="17DE6D36"/>
    <w:rsid w:val="18BC4EEF"/>
    <w:rsid w:val="18C748B7"/>
    <w:rsid w:val="18D92BC4"/>
    <w:rsid w:val="194878D8"/>
    <w:rsid w:val="19714635"/>
    <w:rsid w:val="19A8293B"/>
    <w:rsid w:val="1A530AF8"/>
    <w:rsid w:val="1B0059CD"/>
    <w:rsid w:val="1BF925E9"/>
    <w:rsid w:val="1C5B11E6"/>
    <w:rsid w:val="1C806AC9"/>
    <w:rsid w:val="1D4E3A5E"/>
    <w:rsid w:val="1D6571E9"/>
    <w:rsid w:val="1E090440"/>
    <w:rsid w:val="1E9E60BA"/>
    <w:rsid w:val="1F525C48"/>
    <w:rsid w:val="20BB65D5"/>
    <w:rsid w:val="21094016"/>
    <w:rsid w:val="217430F6"/>
    <w:rsid w:val="21E35330"/>
    <w:rsid w:val="221E219D"/>
    <w:rsid w:val="22792CA9"/>
    <w:rsid w:val="227B72D5"/>
    <w:rsid w:val="227D7401"/>
    <w:rsid w:val="22940DA7"/>
    <w:rsid w:val="22D97C4F"/>
    <w:rsid w:val="23033AE5"/>
    <w:rsid w:val="231057D9"/>
    <w:rsid w:val="23312BA3"/>
    <w:rsid w:val="24B06D5A"/>
    <w:rsid w:val="254C2C19"/>
    <w:rsid w:val="25D67923"/>
    <w:rsid w:val="266F6CBA"/>
    <w:rsid w:val="2670658E"/>
    <w:rsid w:val="26722306"/>
    <w:rsid w:val="269C50ED"/>
    <w:rsid w:val="26C32F11"/>
    <w:rsid w:val="27484A20"/>
    <w:rsid w:val="279863CF"/>
    <w:rsid w:val="27DE07B5"/>
    <w:rsid w:val="286B1DF1"/>
    <w:rsid w:val="28FB2A87"/>
    <w:rsid w:val="295A470B"/>
    <w:rsid w:val="299B70B5"/>
    <w:rsid w:val="2AD03A9F"/>
    <w:rsid w:val="2BFE238D"/>
    <w:rsid w:val="2DA134D1"/>
    <w:rsid w:val="2DE16E74"/>
    <w:rsid w:val="2DEDDF3B"/>
    <w:rsid w:val="2EEB70FA"/>
    <w:rsid w:val="2EED340E"/>
    <w:rsid w:val="2F113610"/>
    <w:rsid w:val="2F1D731F"/>
    <w:rsid w:val="30340C6D"/>
    <w:rsid w:val="313B3DBA"/>
    <w:rsid w:val="31416FA1"/>
    <w:rsid w:val="31840D1A"/>
    <w:rsid w:val="31F16BA1"/>
    <w:rsid w:val="32237563"/>
    <w:rsid w:val="323978EA"/>
    <w:rsid w:val="32F54BBC"/>
    <w:rsid w:val="32F73772"/>
    <w:rsid w:val="33191984"/>
    <w:rsid w:val="335B4145"/>
    <w:rsid w:val="345C73B0"/>
    <w:rsid w:val="353A7BC1"/>
    <w:rsid w:val="354A304E"/>
    <w:rsid w:val="35D75D92"/>
    <w:rsid w:val="35E27AF6"/>
    <w:rsid w:val="35E87EEF"/>
    <w:rsid w:val="37C415DC"/>
    <w:rsid w:val="389048CB"/>
    <w:rsid w:val="395D6E46"/>
    <w:rsid w:val="39691347"/>
    <w:rsid w:val="3B0543F9"/>
    <w:rsid w:val="3B793742"/>
    <w:rsid w:val="3D04109F"/>
    <w:rsid w:val="3D4B7873"/>
    <w:rsid w:val="3DAB75C1"/>
    <w:rsid w:val="3DF635A3"/>
    <w:rsid w:val="3E023EC2"/>
    <w:rsid w:val="3FBB0C30"/>
    <w:rsid w:val="403C384F"/>
    <w:rsid w:val="41CB391A"/>
    <w:rsid w:val="41D659E7"/>
    <w:rsid w:val="424C1A8C"/>
    <w:rsid w:val="425C432A"/>
    <w:rsid w:val="42B701AA"/>
    <w:rsid w:val="42F71395"/>
    <w:rsid w:val="432174AC"/>
    <w:rsid w:val="43731C6C"/>
    <w:rsid w:val="44DC1E75"/>
    <w:rsid w:val="44F10D90"/>
    <w:rsid w:val="45F91905"/>
    <w:rsid w:val="47B2090A"/>
    <w:rsid w:val="480771AD"/>
    <w:rsid w:val="48C53FAA"/>
    <w:rsid w:val="49434095"/>
    <w:rsid w:val="497E6E13"/>
    <w:rsid w:val="49A31718"/>
    <w:rsid w:val="49E34D1E"/>
    <w:rsid w:val="4A2D4096"/>
    <w:rsid w:val="4A5924E2"/>
    <w:rsid w:val="4B5300A9"/>
    <w:rsid w:val="4E120E73"/>
    <w:rsid w:val="4FB953E0"/>
    <w:rsid w:val="4FBF5D0D"/>
    <w:rsid w:val="50DC77B5"/>
    <w:rsid w:val="51463097"/>
    <w:rsid w:val="516F66B9"/>
    <w:rsid w:val="51AE085E"/>
    <w:rsid w:val="51BD7221"/>
    <w:rsid w:val="51E66EA7"/>
    <w:rsid w:val="52097713"/>
    <w:rsid w:val="522367EB"/>
    <w:rsid w:val="531E64B9"/>
    <w:rsid w:val="53A61822"/>
    <w:rsid w:val="53D1326E"/>
    <w:rsid w:val="552303AB"/>
    <w:rsid w:val="557E14B2"/>
    <w:rsid w:val="56712E9B"/>
    <w:rsid w:val="56932CC9"/>
    <w:rsid w:val="56A101AC"/>
    <w:rsid w:val="56FA342B"/>
    <w:rsid w:val="57315369"/>
    <w:rsid w:val="57461CAB"/>
    <w:rsid w:val="57472E21"/>
    <w:rsid w:val="57E00F16"/>
    <w:rsid w:val="58B33B37"/>
    <w:rsid w:val="59154BEF"/>
    <w:rsid w:val="59A65848"/>
    <w:rsid w:val="59C34132"/>
    <w:rsid w:val="5A0A5DD6"/>
    <w:rsid w:val="5A4C39FF"/>
    <w:rsid w:val="5AE02FEE"/>
    <w:rsid w:val="5BF4304E"/>
    <w:rsid w:val="5C1912A4"/>
    <w:rsid w:val="5CC94F0B"/>
    <w:rsid w:val="5D7B58A3"/>
    <w:rsid w:val="5EAF66AD"/>
    <w:rsid w:val="5F2F79EF"/>
    <w:rsid w:val="60251AA8"/>
    <w:rsid w:val="62C6102E"/>
    <w:rsid w:val="64C15CF5"/>
    <w:rsid w:val="6522491C"/>
    <w:rsid w:val="653B2814"/>
    <w:rsid w:val="6651353B"/>
    <w:rsid w:val="66D40FC5"/>
    <w:rsid w:val="686925FB"/>
    <w:rsid w:val="687C21C7"/>
    <w:rsid w:val="68D85E02"/>
    <w:rsid w:val="691D5202"/>
    <w:rsid w:val="692243C2"/>
    <w:rsid w:val="693A2632"/>
    <w:rsid w:val="69636081"/>
    <w:rsid w:val="6D084DB4"/>
    <w:rsid w:val="6D7B4D9C"/>
    <w:rsid w:val="6E3D6323"/>
    <w:rsid w:val="6EB7069C"/>
    <w:rsid w:val="6F68064A"/>
    <w:rsid w:val="6FF21D6B"/>
    <w:rsid w:val="7144635F"/>
    <w:rsid w:val="725505D3"/>
    <w:rsid w:val="745C561B"/>
    <w:rsid w:val="75533325"/>
    <w:rsid w:val="756252D5"/>
    <w:rsid w:val="75DA0FAF"/>
    <w:rsid w:val="7669236C"/>
    <w:rsid w:val="76EE32A0"/>
    <w:rsid w:val="77785218"/>
    <w:rsid w:val="783B6B2C"/>
    <w:rsid w:val="78D51553"/>
    <w:rsid w:val="79C61681"/>
    <w:rsid w:val="7B2368A0"/>
    <w:rsid w:val="7B2E1919"/>
    <w:rsid w:val="7B5E22AC"/>
    <w:rsid w:val="7B92238E"/>
    <w:rsid w:val="7BCE2371"/>
    <w:rsid w:val="7C4734DE"/>
    <w:rsid w:val="7C4D6B69"/>
    <w:rsid w:val="7D037940"/>
    <w:rsid w:val="7D2D275F"/>
    <w:rsid w:val="7DB36601"/>
    <w:rsid w:val="7DDFDD8D"/>
    <w:rsid w:val="7E4231C5"/>
    <w:rsid w:val="7F5D61D6"/>
    <w:rsid w:val="7F7F1F37"/>
    <w:rsid w:val="7F837518"/>
    <w:rsid w:val="DEF39C8B"/>
    <w:rsid w:val="DFB90A27"/>
    <w:rsid w:val="DFD8C032"/>
    <w:rsid w:val="FEECF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footer"/>
    <w:basedOn w:val="1"/>
    <w:qFormat/>
    <w:uiPriority w:val="0"/>
    <w:pPr>
      <w:tabs>
        <w:tab w:val="center" w:pos="4153"/>
        <w:tab w:val="right" w:pos="8306"/>
      </w:tabs>
      <w:snapToGrid w:val="0"/>
      <w:jc w:val="left"/>
    </w:pPr>
    <w:rPr>
      <w:rFonts w:ascii="等线" w:hAnsi="等线"/>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等线" w:hAnsi="等线"/>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9">
    <w:name w:val="annotation subject"/>
    <w:basedOn w:val="4"/>
    <w:next w:val="4"/>
    <w:link w:val="30"/>
    <w:qFormat/>
    <w:uiPriority w:val="0"/>
    <w:rPr>
      <w:b/>
      <w:bCs/>
    </w:rPr>
  </w:style>
  <w:style w:type="character" w:styleId="12">
    <w:name w:val="Strong"/>
    <w:basedOn w:val="11"/>
    <w:qFormat/>
    <w:uiPriority w:val="0"/>
    <w:rPr>
      <w:b/>
    </w:rPr>
  </w:style>
  <w:style w:type="character" w:styleId="13">
    <w:name w:val="page number"/>
    <w:basedOn w:val="11"/>
    <w:qFormat/>
    <w:uiPriority w:val="0"/>
    <w:rPr>
      <w:rFonts w:cs="Times New Roman"/>
    </w:rPr>
  </w:style>
  <w:style w:type="character" w:styleId="14">
    <w:name w:val="FollowedHyperlink"/>
    <w:basedOn w:val="11"/>
    <w:qFormat/>
    <w:uiPriority w:val="0"/>
    <w:rPr>
      <w:color w:val="800080"/>
      <w:u w:val="none"/>
    </w:rPr>
  </w:style>
  <w:style w:type="character" w:styleId="15">
    <w:name w:val="Emphasis"/>
    <w:basedOn w:val="11"/>
    <w:qFormat/>
    <w:uiPriority w:val="0"/>
  </w:style>
  <w:style w:type="character" w:styleId="16">
    <w:name w:val="HTML Definition"/>
    <w:basedOn w:val="11"/>
    <w:qFormat/>
    <w:uiPriority w:val="0"/>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ascii="Courier New" w:hAnsi="Courier New"/>
      <w:sz w:val="20"/>
      <w:u w:val="none"/>
    </w:rPr>
  </w:style>
  <w:style w:type="character" w:styleId="21">
    <w:name w:val="annotation reference"/>
    <w:basedOn w:val="11"/>
    <w:qFormat/>
    <w:uiPriority w:val="0"/>
    <w:rPr>
      <w:sz w:val="21"/>
      <w:szCs w:val="21"/>
    </w:rPr>
  </w:style>
  <w:style w:type="character" w:styleId="22">
    <w:name w:val="HTML Cite"/>
    <w:basedOn w:val="11"/>
    <w:qFormat/>
    <w:uiPriority w:val="0"/>
  </w:style>
  <w:style w:type="paragraph" w:customStyle="1" w:styleId="23">
    <w:name w:val="列表段落2"/>
    <w:basedOn w:val="1"/>
    <w:qFormat/>
    <w:uiPriority w:val="99"/>
    <w:pPr>
      <w:ind w:firstLine="420" w:firstLineChars="200"/>
    </w:pPr>
  </w:style>
  <w:style w:type="paragraph" w:customStyle="1" w:styleId="24">
    <w:name w:val="列表段落1"/>
    <w:basedOn w:val="1"/>
    <w:qFormat/>
    <w:uiPriority w:val="99"/>
    <w:pPr>
      <w:ind w:firstLine="420" w:firstLineChars="200"/>
    </w:pPr>
  </w:style>
  <w:style w:type="character" w:customStyle="1" w:styleId="25">
    <w:name w:val="font51"/>
    <w:basedOn w:val="11"/>
    <w:qFormat/>
    <w:uiPriority w:val="0"/>
    <w:rPr>
      <w:rFonts w:hint="eastAsia" w:ascii="黑体" w:hAnsi="宋体" w:eastAsia="黑体" w:cs="黑体"/>
      <w:color w:val="000000"/>
      <w:sz w:val="28"/>
      <w:szCs w:val="28"/>
      <w:u w:val="none"/>
    </w:rPr>
  </w:style>
  <w:style w:type="character" w:customStyle="1" w:styleId="26">
    <w:name w:val="font21"/>
    <w:basedOn w:val="11"/>
    <w:qFormat/>
    <w:uiPriority w:val="0"/>
    <w:rPr>
      <w:rFonts w:hint="eastAsia" w:ascii="黑体" w:hAnsi="宋体" w:eastAsia="黑体" w:cs="黑体"/>
      <w:color w:val="000000"/>
      <w:sz w:val="28"/>
      <w:szCs w:val="28"/>
      <w:u w:val="single"/>
    </w:rPr>
  </w:style>
  <w:style w:type="character" w:customStyle="1" w:styleId="27">
    <w:name w:val="curre"/>
    <w:basedOn w:val="11"/>
    <w:qFormat/>
    <w:uiPriority w:val="0"/>
    <w:rPr>
      <w:color w:val="FFFFFF"/>
      <w:shd w:val="clear" w:color="auto" w:fill="2F6EA2"/>
    </w:rPr>
  </w:style>
  <w:style w:type="paragraph" w:customStyle="1" w:styleId="28">
    <w:name w:val="修订1"/>
    <w:hidden/>
    <w:unhideWhenUsed/>
    <w:qFormat/>
    <w:uiPriority w:val="99"/>
    <w:rPr>
      <w:rFonts w:ascii="Calibri" w:hAnsi="Calibri" w:eastAsia="宋体" w:cs="Times New Roman"/>
      <w:kern w:val="2"/>
      <w:sz w:val="21"/>
      <w:szCs w:val="22"/>
      <w:lang w:val="en-US" w:eastAsia="zh-CN" w:bidi="ar-SA"/>
    </w:rPr>
  </w:style>
  <w:style w:type="character" w:customStyle="1" w:styleId="29">
    <w:name w:val="批注文字 字符"/>
    <w:basedOn w:val="11"/>
    <w:link w:val="4"/>
    <w:qFormat/>
    <w:uiPriority w:val="0"/>
    <w:rPr>
      <w:rFonts w:ascii="Calibri" w:hAnsi="Calibri"/>
      <w:kern w:val="2"/>
      <w:sz w:val="21"/>
      <w:szCs w:val="22"/>
    </w:rPr>
  </w:style>
  <w:style w:type="character" w:customStyle="1" w:styleId="30">
    <w:name w:val="批注主题 字符"/>
    <w:basedOn w:val="29"/>
    <w:link w:val="9"/>
    <w:qFormat/>
    <w:uiPriority w:val="0"/>
    <w:rPr>
      <w:rFonts w:ascii="Calibri" w:hAnsi="Calibri"/>
      <w:b/>
      <w:bCs/>
      <w:kern w:val="2"/>
      <w:sz w:val="21"/>
      <w:szCs w:val="22"/>
    </w:rPr>
  </w:style>
  <w:style w:type="paragraph" w:styleId="31">
    <w:name w:val="List Paragraph"/>
    <w:basedOn w:val="1"/>
    <w:unhideWhenUsed/>
    <w:qFormat/>
    <w:uiPriority w:val="99"/>
    <w:pPr>
      <w:ind w:firstLine="420" w:firstLineChars="200"/>
    </w:pPr>
  </w:style>
  <w:style w:type="paragraph" w:customStyle="1" w:styleId="32">
    <w:name w:val="公文正文"/>
    <w:basedOn w:val="1"/>
    <w:qFormat/>
    <w:uiPriority w:val="0"/>
    <w:rPr>
      <w:rFonts w:hint="eastAsia" w:ascii="方正小标宋_GBK" w:hAnsi="方正小标宋_GBK" w:eastAsia="仿宋_GB2312" w:cs="方正小标宋_GBK"/>
      <w:sz w:val="32"/>
      <w:szCs w:val="44"/>
    </w:rPr>
  </w:style>
  <w:style w:type="character" w:customStyle="1" w:styleId="33">
    <w:name w:val="s11"/>
    <w:basedOn w:val="11"/>
    <w:qFormat/>
    <w:uiPriority w:val="0"/>
  </w:style>
  <w:style w:type="paragraph" w:customStyle="1" w:styleId="3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1240</Words>
  <Characters>7069</Characters>
  <Lines>58</Lines>
  <Paragraphs>16</Paragraphs>
  <TotalTime>11</TotalTime>
  <ScaleCrop>false</ScaleCrop>
  <LinksUpToDate>false</LinksUpToDate>
  <CharactersWithSpaces>8293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2024-07-24T15:28:00Z</dcterms:created>
  <dc:creator>小军</dc:creator>
  <cp:lastModifiedBy>黄鸿</cp:lastModifiedBy>
  <cp:lastPrinted>2024-07-19T23:14:00Z</cp:lastPrinted>
  <dcterms:modified xsi:type="dcterms:W3CDTF">2024-07-29T09:59:17Z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245824080_embed</vt:lpwstr>
  </property>
  <property fmtid="{D5CDD505-2E9C-101B-9397-08002B2CF9AE}" pid="4" name="ICV">
    <vt:lpwstr>D14D66DF5C03488AA8580C331CA62E05</vt:lpwstr>
  </property>
</Properties>
</file>