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875" w:type="pct"/>
        <w:tblInd w:w="113" w:type="dxa"/>
        <w:tblLayout w:type="autofit"/>
        <w:tblCellMar>
          <w:top w:w="0" w:type="dxa"/>
          <w:left w:w="108" w:type="dxa"/>
          <w:bottom w:w="0" w:type="dxa"/>
          <w:right w:w="108" w:type="dxa"/>
        </w:tblCellMar>
      </w:tblPr>
      <w:tblGrid>
        <w:gridCol w:w="868"/>
        <w:gridCol w:w="3140"/>
        <w:gridCol w:w="1111"/>
        <w:gridCol w:w="8701"/>
      </w:tblGrid>
      <w:tr>
        <w:tblPrEx>
          <w:tblCellMar>
            <w:top w:w="0" w:type="dxa"/>
            <w:left w:w="108" w:type="dxa"/>
            <w:bottom w:w="0" w:type="dxa"/>
            <w:right w:w="108" w:type="dxa"/>
          </w:tblCellMar>
        </w:tblPrEx>
        <w:trPr>
          <w:trHeight w:val="311"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tabs>
                <w:tab w:val="left" w:pos="6246"/>
              </w:tabs>
              <w:spacing w:line="360" w:lineRule="exact"/>
              <w:ind w:firstLine="3780" w:firstLineChars="1400"/>
              <w:jc w:val="left"/>
              <w:rPr>
                <w:rFonts w:hint="eastAsia" w:ascii="仿宋_GB2312" w:eastAsia="仿宋_GB2312" w:cs="宋体"/>
                <w:b/>
                <w:bCs/>
                <w:kern w:val="0"/>
                <w:sz w:val="22"/>
                <w:lang w:eastAsia="zh-CN"/>
              </w:rPr>
            </w:pPr>
            <w:bookmarkStart w:id="0" w:name="_GoBack"/>
            <w:bookmarkEnd w:id="0"/>
            <w:r>
              <w:rPr>
                <w:rFonts w:ascii="微软雅黑" w:hAnsi="微软雅黑" w:eastAsia="微软雅黑" w:cs="微软雅黑"/>
                <w:i w:val="0"/>
                <w:iCs w:val="0"/>
                <w:caps w:val="0"/>
                <w:color w:val="000000"/>
                <w:spacing w:val="0"/>
                <w:sz w:val="27"/>
                <w:szCs w:val="27"/>
              </w:rPr>
              <w:t>创建“专精特新”企业培育书记工作室项目清单</w:t>
            </w:r>
          </w:p>
        </w:tc>
      </w:tr>
      <w:tr>
        <w:tblPrEx>
          <w:tblCellMar>
            <w:top w:w="0" w:type="dxa"/>
            <w:left w:w="108" w:type="dxa"/>
            <w:bottom w:w="0" w:type="dxa"/>
            <w:right w:w="108" w:type="dxa"/>
          </w:tblCellMar>
        </w:tblPrEx>
        <w:trPr>
          <w:trHeight w:val="311" w:hRule="atLeast"/>
        </w:trPr>
        <w:tc>
          <w:tcPr>
            <w:tcW w:w="31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cs="宋体"/>
                <w:b/>
                <w:bCs/>
                <w:kern w:val="0"/>
                <w:sz w:val="22"/>
              </w:rPr>
            </w:pPr>
            <w:r>
              <w:rPr>
                <w:rFonts w:hint="eastAsia" w:ascii="仿宋_GB2312" w:eastAsia="仿宋_GB2312" w:cs="宋体"/>
                <w:b/>
                <w:bCs/>
                <w:kern w:val="0"/>
                <w:sz w:val="22"/>
              </w:rPr>
              <w:t>序号</w:t>
            </w:r>
          </w:p>
        </w:tc>
        <w:tc>
          <w:tcPr>
            <w:tcW w:w="1136"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b/>
                <w:bCs/>
                <w:kern w:val="0"/>
                <w:sz w:val="22"/>
              </w:rPr>
            </w:pPr>
            <w:r>
              <w:rPr>
                <w:rFonts w:hint="eastAsia" w:ascii="仿宋_GB2312" w:eastAsia="仿宋_GB2312" w:cs="宋体"/>
                <w:b/>
                <w:bCs/>
                <w:kern w:val="0"/>
                <w:sz w:val="22"/>
              </w:rPr>
              <w:t>服务项目</w:t>
            </w:r>
          </w:p>
        </w:tc>
        <w:tc>
          <w:tcPr>
            <w:tcW w:w="402"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仿宋_GB2312" w:eastAsia="仿宋_GB2312" w:cs="宋体"/>
                <w:b/>
                <w:bCs/>
                <w:kern w:val="0"/>
                <w:sz w:val="22"/>
                <w:lang w:val="en-US" w:eastAsia="zh-CN"/>
              </w:rPr>
            </w:pPr>
            <w:r>
              <w:rPr>
                <w:rFonts w:hint="eastAsia" w:ascii="仿宋_GB2312" w:eastAsia="仿宋_GB2312" w:cs="宋体"/>
                <w:b/>
                <w:bCs/>
                <w:kern w:val="0"/>
                <w:sz w:val="22"/>
                <w:lang w:val="en-US" w:eastAsia="zh-CN"/>
              </w:rPr>
              <w:t>服务次数</w:t>
            </w:r>
          </w:p>
        </w:tc>
        <w:tc>
          <w:tcPr>
            <w:tcW w:w="3147"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b/>
                <w:bCs/>
                <w:kern w:val="0"/>
                <w:sz w:val="22"/>
              </w:rPr>
            </w:pPr>
            <w:r>
              <w:rPr>
                <w:rFonts w:hint="eastAsia" w:ascii="仿宋_GB2312" w:eastAsia="仿宋_GB2312" w:cs="宋体"/>
                <w:b/>
                <w:bCs/>
                <w:kern w:val="0"/>
                <w:sz w:val="22"/>
              </w:rPr>
              <w:t>服务内容</w:t>
            </w:r>
          </w:p>
        </w:tc>
      </w:tr>
      <w:tr>
        <w:tblPrEx>
          <w:tblCellMar>
            <w:top w:w="0" w:type="dxa"/>
            <w:left w:w="108" w:type="dxa"/>
            <w:bottom w:w="0" w:type="dxa"/>
            <w:right w:w="108" w:type="dxa"/>
          </w:tblCellMar>
        </w:tblPrEx>
        <w:trPr>
          <w:trHeight w:val="398" w:hRule="atLeast"/>
        </w:trPr>
        <w:tc>
          <w:tcPr>
            <w:tcW w:w="314" w:type="pct"/>
            <w:vMerge w:val="restart"/>
            <w:tcBorders>
              <w:top w:val="nil"/>
              <w:left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r>
              <w:rPr>
                <w:rFonts w:hint="eastAsia" w:ascii="仿宋_GB2312" w:eastAsia="仿宋_GB2312" w:cs="宋体"/>
                <w:kern w:val="0"/>
                <w:sz w:val="22"/>
              </w:rPr>
              <w:t>1</w:t>
            </w:r>
          </w:p>
        </w:tc>
        <w:tc>
          <w:tcPr>
            <w:tcW w:w="1136" w:type="pct"/>
            <w:vMerge w:val="restart"/>
            <w:tcBorders>
              <w:top w:val="nil"/>
              <w:left w:val="nil"/>
              <w:right w:val="single" w:color="auto" w:sz="4" w:space="0"/>
            </w:tcBorders>
            <w:vAlign w:val="center"/>
          </w:tcPr>
          <w:p>
            <w:pPr>
              <w:widowControl/>
              <w:spacing w:line="360" w:lineRule="exact"/>
              <w:jc w:val="center"/>
              <w:rPr>
                <w:rFonts w:hint="eastAsia" w:ascii="仿宋_GB2312" w:eastAsia="仿宋_GB2312" w:cs="宋体"/>
                <w:kern w:val="0"/>
                <w:sz w:val="22"/>
              </w:rPr>
            </w:pPr>
            <w:r>
              <w:rPr>
                <w:rFonts w:hint="eastAsia" w:ascii="仿宋_GB2312" w:eastAsia="仿宋_GB2312" w:cs="宋体"/>
                <w:b/>
                <w:bCs/>
                <w:kern w:val="0"/>
                <w:sz w:val="22"/>
              </w:rPr>
              <w:t>企业画像与产业链图谱资源库</w:t>
            </w:r>
          </w:p>
        </w:tc>
        <w:tc>
          <w:tcPr>
            <w:tcW w:w="402" w:type="pct"/>
            <w:tcBorders>
              <w:top w:val="nil"/>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b/>
                <w:bCs/>
                <w:kern w:val="0"/>
                <w:sz w:val="22"/>
              </w:rPr>
            </w:pPr>
            <w:r>
              <w:rPr>
                <w:rFonts w:hint="eastAsia" w:ascii="仿宋_GB2312" w:eastAsia="仿宋_GB2312" w:cs="宋体"/>
                <w:kern w:val="0"/>
                <w:sz w:val="22"/>
              </w:rPr>
              <w:t>常态</w:t>
            </w:r>
          </w:p>
        </w:tc>
        <w:tc>
          <w:tcPr>
            <w:tcW w:w="3147" w:type="pct"/>
            <w:tcBorders>
              <w:top w:val="nil"/>
              <w:left w:val="nil"/>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（普惠服务）企业画像</w:t>
            </w:r>
            <w:r>
              <w:rPr>
                <w:rFonts w:hint="eastAsia" w:ascii="仿宋_GB2312" w:eastAsia="仿宋_GB2312" w:cs="宋体"/>
                <w:kern w:val="0"/>
                <w:sz w:val="22"/>
              </w:rPr>
              <w:t>：收集智园各入驻企业的主营业务、发展情况、股权架构与产品类别等相关信息，形成书记工作室基础性企业基础信息库，</w:t>
            </w:r>
            <w:r>
              <w:rPr>
                <w:rFonts w:hint="eastAsia" w:ascii="仿宋_GB2312" w:eastAsia="仿宋_GB2312" w:cs="宋体"/>
                <w:b/>
                <w:bCs/>
                <w:kern w:val="0"/>
                <w:sz w:val="22"/>
              </w:rPr>
              <w:t>共200家(根据南山智园签约入驻企业数量)，定期更新，形成资源库。</w:t>
            </w:r>
          </w:p>
        </w:tc>
      </w:tr>
      <w:tr>
        <w:tblPrEx>
          <w:tblCellMar>
            <w:top w:w="0" w:type="dxa"/>
            <w:left w:w="108" w:type="dxa"/>
            <w:bottom w:w="0" w:type="dxa"/>
            <w:right w:w="108" w:type="dxa"/>
          </w:tblCellMar>
        </w:tblPrEx>
        <w:trPr>
          <w:trHeight w:val="691" w:hRule="atLeast"/>
        </w:trPr>
        <w:tc>
          <w:tcPr>
            <w:tcW w:w="314" w:type="pct"/>
            <w:vMerge w:val="continue"/>
            <w:tcBorders>
              <w:left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p>
        </w:tc>
        <w:tc>
          <w:tcPr>
            <w:tcW w:w="1136" w:type="pct"/>
            <w:vMerge w:val="continue"/>
            <w:tcBorders>
              <w:left w:val="nil"/>
              <w:right w:val="single" w:color="auto" w:sz="4" w:space="0"/>
            </w:tcBorders>
            <w:vAlign w:val="center"/>
          </w:tcPr>
          <w:p>
            <w:pPr>
              <w:widowControl/>
              <w:spacing w:line="360" w:lineRule="exact"/>
              <w:jc w:val="center"/>
              <w:rPr>
                <w:rFonts w:hint="eastAsia" w:ascii="仿宋_GB2312" w:eastAsia="仿宋_GB2312" w:cs="宋体"/>
                <w:b/>
                <w:bCs/>
                <w:kern w:val="0"/>
                <w:sz w:val="22"/>
              </w:rPr>
            </w:pPr>
          </w:p>
        </w:tc>
        <w:tc>
          <w:tcPr>
            <w:tcW w:w="402" w:type="pct"/>
            <w:tcBorders>
              <w:top w:val="nil"/>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b/>
                <w:bCs/>
                <w:kern w:val="0"/>
                <w:sz w:val="22"/>
              </w:rPr>
            </w:pPr>
            <w:r>
              <w:rPr>
                <w:rFonts w:hint="eastAsia" w:ascii="仿宋_GB2312" w:eastAsia="仿宋_GB2312" w:cs="宋体"/>
                <w:kern w:val="0"/>
                <w:sz w:val="22"/>
              </w:rPr>
              <w:t>常态</w:t>
            </w:r>
          </w:p>
        </w:tc>
        <w:tc>
          <w:tcPr>
            <w:tcW w:w="3147" w:type="pct"/>
            <w:tcBorders>
              <w:top w:val="nil"/>
              <w:left w:val="nil"/>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（普惠服务）企业信息一览表</w:t>
            </w:r>
            <w:r>
              <w:rPr>
                <w:rFonts w:hint="eastAsia" w:ascii="仿宋_GB2312" w:eastAsia="仿宋_GB2312" w:cs="宋体"/>
                <w:kern w:val="0"/>
                <w:sz w:val="22"/>
              </w:rPr>
              <w:t>：收集智园入驻企业所属细分领域、具体地址、主营业务、经营情况、资质情况与党建情况等，形成企业信息一览表，</w:t>
            </w:r>
            <w:r>
              <w:rPr>
                <w:rFonts w:hint="eastAsia" w:ascii="仿宋_GB2312" w:eastAsia="仿宋_GB2312" w:cs="宋体"/>
                <w:b/>
                <w:bCs/>
                <w:kern w:val="0"/>
                <w:sz w:val="22"/>
              </w:rPr>
              <w:t>共200家(根据南山智园签约入驻企业数量)，定期更新，形成基础信息清单。同时整理出重点服务企业对象：小巨人潜在企业10家、专精特新企业30家。</w:t>
            </w:r>
          </w:p>
        </w:tc>
      </w:tr>
      <w:tr>
        <w:tblPrEx>
          <w:tblCellMar>
            <w:top w:w="0" w:type="dxa"/>
            <w:left w:w="108" w:type="dxa"/>
            <w:bottom w:w="0" w:type="dxa"/>
            <w:right w:w="108" w:type="dxa"/>
          </w:tblCellMar>
        </w:tblPrEx>
        <w:trPr>
          <w:trHeight w:val="718" w:hRule="atLeast"/>
        </w:trPr>
        <w:tc>
          <w:tcPr>
            <w:tcW w:w="314" w:type="pct"/>
            <w:vMerge w:val="continue"/>
            <w:tcBorders>
              <w:left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p>
        </w:tc>
        <w:tc>
          <w:tcPr>
            <w:tcW w:w="1136" w:type="pct"/>
            <w:vMerge w:val="continue"/>
            <w:tcBorders>
              <w:left w:val="nil"/>
              <w:right w:val="single" w:color="auto" w:sz="4" w:space="0"/>
            </w:tcBorders>
            <w:vAlign w:val="center"/>
          </w:tcPr>
          <w:p>
            <w:pPr>
              <w:widowControl/>
              <w:spacing w:line="360" w:lineRule="exact"/>
              <w:jc w:val="center"/>
              <w:rPr>
                <w:rFonts w:hint="eastAsia" w:ascii="仿宋_GB2312" w:eastAsia="仿宋_GB2312" w:cs="宋体"/>
                <w:b/>
                <w:bCs/>
                <w:kern w:val="0"/>
                <w:sz w:val="22"/>
              </w:rPr>
            </w:pPr>
          </w:p>
        </w:tc>
        <w:tc>
          <w:tcPr>
            <w:tcW w:w="402" w:type="pct"/>
            <w:tcBorders>
              <w:top w:val="nil"/>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b/>
                <w:bCs/>
                <w:kern w:val="0"/>
                <w:sz w:val="22"/>
              </w:rPr>
            </w:pPr>
            <w:r>
              <w:rPr>
                <w:rFonts w:hint="eastAsia" w:ascii="仿宋_GB2312" w:eastAsia="仿宋_GB2312" w:cs="宋体"/>
                <w:kern w:val="0"/>
                <w:sz w:val="22"/>
              </w:rPr>
              <w:t>常态</w:t>
            </w:r>
          </w:p>
        </w:tc>
        <w:tc>
          <w:tcPr>
            <w:tcW w:w="3147" w:type="pct"/>
            <w:tcBorders>
              <w:top w:val="nil"/>
              <w:left w:val="nil"/>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（普惠服务）产业图谱</w:t>
            </w:r>
            <w:r>
              <w:rPr>
                <w:rFonts w:hint="eastAsia" w:ascii="仿宋_GB2312" w:eastAsia="仿宋_GB2312" w:cs="宋体"/>
                <w:kern w:val="0"/>
                <w:sz w:val="22"/>
              </w:rPr>
              <w:t>：按智园企业所属大致领域，以深圳市“20+8”产业进行产业图谱汇编，分别为</w:t>
            </w:r>
            <w:r>
              <w:rPr>
                <w:rFonts w:hint="eastAsia" w:ascii="仿宋_GB2312" w:eastAsia="仿宋_GB2312" w:cs="宋体"/>
                <w:b/>
                <w:bCs/>
                <w:kern w:val="0"/>
                <w:sz w:val="22"/>
              </w:rPr>
              <w:t>高端装备制造、新一代信息技术、数字与时尚、绿色低碳、新材料</w:t>
            </w:r>
            <w:r>
              <w:rPr>
                <w:rFonts w:hint="eastAsia" w:ascii="仿宋_GB2312" w:eastAsia="仿宋_GB2312" w:cs="宋体"/>
                <w:kern w:val="0"/>
                <w:sz w:val="22"/>
              </w:rPr>
              <w:t>以及</w:t>
            </w:r>
            <w:r>
              <w:rPr>
                <w:rFonts w:hint="eastAsia" w:ascii="仿宋_GB2312" w:eastAsia="仿宋_GB2312" w:cs="宋体"/>
                <w:b/>
                <w:bCs/>
                <w:kern w:val="0"/>
                <w:sz w:val="22"/>
              </w:rPr>
              <w:t>生物医药与健康，共6篇，全年开展。</w:t>
            </w:r>
          </w:p>
          <w:p>
            <w:pPr>
              <w:widowControl/>
              <w:spacing w:line="360" w:lineRule="exact"/>
              <w:rPr>
                <w:rFonts w:hint="eastAsia" w:ascii="仿宋_GB2312" w:eastAsia="仿宋_GB2312" w:cs="宋体"/>
                <w:b/>
                <w:bCs/>
                <w:kern w:val="0"/>
                <w:sz w:val="22"/>
              </w:rPr>
            </w:pPr>
            <w:r>
              <w:rPr>
                <w:rFonts w:hint="eastAsia" w:ascii="仿宋_GB2312" w:eastAsia="仿宋_GB2312" w:cs="宋体"/>
                <w:kern w:val="0"/>
                <w:sz w:val="22"/>
              </w:rPr>
              <w:t>以上内容、数量将按园区入驻企业的动态变化进行对应调整。</w:t>
            </w:r>
          </w:p>
        </w:tc>
      </w:tr>
      <w:tr>
        <w:tblPrEx>
          <w:tblCellMar>
            <w:top w:w="0" w:type="dxa"/>
            <w:left w:w="108" w:type="dxa"/>
            <w:bottom w:w="0" w:type="dxa"/>
            <w:right w:w="108" w:type="dxa"/>
          </w:tblCellMar>
        </w:tblPrEx>
        <w:trPr>
          <w:trHeight w:val="551" w:hRule="atLeast"/>
        </w:trPr>
        <w:tc>
          <w:tcPr>
            <w:tcW w:w="314" w:type="pct"/>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p>
        </w:tc>
        <w:tc>
          <w:tcPr>
            <w:tcW w:w="1136" w:type="pct"/>
            <w:vMerge w:val="continue"/>
            <w:tcBorders>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b/>
                <w:bCs/>
                <w:kern w:val="0"/>
                <w:sz w:val="22"/>
              </w:rPr>
            </w:pPr>
          </w:p>
        </w:tc>
        <w:tc>
          <w:tcPr>
            <w:tcW w:w="402" w:type="pct"/>
            <w:tcBorders>
              <w:top w:val="nil"/>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b/>
                <w:bCs/>
                <w:kern w:val="0"/>
                <w:sz w:val="22"/>
              </w:rPr>
            </w:pPr>
            <w:r>
              <w:rPr>
                <w:rFonts w:hint="eastAsia" w:ascii="仿宋_GB2312" w:eastAsia="仿宋_GB2312" w:cs="宋体"/>
                <w:kern w:val="0"/>
                <w:sz w:val="22"/>
              </w:rPr>
              <w:t>常态</w:t>
            </w:r>
          </w:p>
        </w:tc>
        <w:tc>
          <w:tcPr>
            <w:tcW w:w="3147" w:type="pct"/>
            <w:tcBorders>
              <w:top w:val="nil"/>
              <w:left w:val="nil"/>
              <w:bottom w:val="single" w:color="auto" w:sz="4" w:space="0"/>
              <w:right w:val="single" w:color="auto" w:sz="4" w:space="0"/>
            </w:tcBorders>
            <w:vAlign w:val="center"/>
          </w:tcPr>
          <w:p>
            <w:pPr>
              <w:widowControl/>
              <w:spacing w:line="360" w:lineRule="exact"/>
              <w:rPr>
                <w:rFonts w:hint="eastAsia" w:ascii="仿宋_GB2312" w:eastAsia="仿宋_GB2312" w:cs="宋体"/>
                <w:b/>
                <w:bCs/>
                <w:kern w:val="0"/>
                <w:sz w:val="22"/>
              </w:rPr>
            </w:pPr>
            <w:r>
              <w:rPr>
                <w:rFonts w:hint="eastAsia" w:ascii="仿宋_GB2312" w:eastAsia="仿宋_GB2312" w:cs="宋体"/>
                <w:b/>
                <w:bCs/>
                <w:kern w:val="0"/>
                <w:sz w:val="22"/>
              </w:rPr>
              <w:t>（专项服务）智园专精特新企业梯度培育库</w:t>
            </w:r>
            <w:r>
              <w:rPr>
                <w:rFonts w:hint="eastAsia" w:ascii="仿宋_GB2312" w:eastAsia="仿宋_GB2312" w:cs="宋体"/>
                <w:kern w:val="0"/>
                <w:sz w:val="22"/>
              </w:rPr>
              <w:t>：以智园企业画像、企业信息一览表进行深度分析，归纳输出</w:t>
            </w:r>
            <w:r>
              <w:rPr>
                <w:rFonts w:hint="eastAsia" w:ascii="仿宋_GB2312" w:eastAsia="仿宋_GB2312" w:cs="宋体"/>
                <w:b/>
                <w:bCs/>
                <w:kern w:val="0"/>
                <w:sz w:val="22"/>
              </w:rPr>
              <w:t>智园专精特新企业梯度培育名单</w:t>
            </w:r>
            <w:r>
              <w:rPr>
                <w:rFonts w:hint="eastAsia" w:ascii="仿宋_GB2312" w:eastAsia="仿宋_GB2312" w:cs="宋体"/>
                <w:kern w:val="0"/>
                <w:sz w:val="22"/>
              </w:rPr>
              <w:t>，涵盖</w:t>
            </w:r>
            <w:r>
              <w:rPr>
                <w:rFonts w:hint="eastAsia" w:ascii="仿宋_GB2312" w:eastAsia="仿宋_GB2312" w:cs="宋体"/>
                <w:b/>
                <w:bCs/>
                <w:kern w:val="0"/>
                <w:sz w:val="22"/>
              </w:rPr>
              <w:t>创新型中小企业潜力企业、深圳市专精特新中小企业潜力企业、国家级专精特新小巨人潜力企业、以及单项冠军与政府质量奖评选潜力企业</w:t>
            </w:r>
            <w:r>
              <w:rPr>
                <w:rFonts w:hint="eastAsia" w:ascii="仿宋_GB2312" w:eastAsia="仿宋_GB2312" w:cs="宋体"/>
                <w:kern w:val="0"/>
                <w:sz w:val="22"/>
              </w:rPr>
              <w:t>等各梯度层级。</w:t>
            </w:r>
          </w:p>
        </w:tc>
      </w:tr>
      <w:tr>
        <w:tblPrEx>
          <w:tblCellMar>
            <w:top w:w="0" w:type="dxa"/>
            <w:left w:w="108" w:type="dxa"/>
            <w:bottom w:w="0" w:type="dxa"/>
            <w:right w:w="108" w:type="dxa"/>
          </w:tblCellMar>
        </w:tblPrEx>
        <w:trPr>
          <w:trHeight w:val="1139" w:hRule="atLeast"/>
        </w:trPr>
        <w:tc>
          <w:tcPr>
            <w:tcW w:w="314" w:type="pct"/>
            <w:vMerge w:val="restart"/>
            <w:tcBorders>
              <w:top w:val="nil"/>
              <w:left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r>
              <w:rPr>
                <w:rFonts w:hint="eastAsia" w:ascii="仿宋_GB2312" w:eastAsia="仿宋_GB2312" w:cs="宋体"/>
                <w:kern w:val="0"/>
                <w:sz w:val="22"/>
              </w:rPr>
              <w:t>2</w:t>
            </w:r>
          </w:p>
        </w:tc>
        <w:tc>
          <w:tcPr>
            <w:tcW w:w="1136" w:type="pct"/>
            <w:tcBorders>
              <w:top w:val="nil"/>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r>
              <w:rPr>
                <w:rFonts w:hint="eastAsia" w:ascii="仿宋_GB2312" w:eastAsia="仿宋_GB2312" w:cs="宋体"/>
                <w:b/>
                <w:bCs/>
                <w:kern w:val="0"/>
                <w:sz w:val="22"/>
              </w:rPr>
              <w:t>企业资源池链接</w:t>
            </w:r>
          </w:p>
        </w:tc>
        <w:tc>
          <w:tcPr>
            <w:tcW w:w="402" w:type="pct"/>
            <w:tcBorders>
              <w:top w:val="nil"/>
              <w:left w:val="nil"/>
              <w:bottom w:val="single" w:color="auto" w:sz="4" w:space="0"/>
              <w:right w:val="single" w:color="auto" w:sz="4" w:space="0"/>
            </w:tcBorders>
            <w:vAlign w:val="center"/>
          </w:tcPr>
          <w:p>
            <w:pPr>
              <w:widowControl/>
              <w:spacing w:line="360" w:lineRule="exact"/>
              <w:jc w:val="center"/>
              <w:rPr>
                <w:rFonts w:hint="eastAsia" w:ascii="仿宋_GB2312" w:eastAsia="仿宋_GB2312" w:cs="宋体"/>
                <w:b w:val="0"/>
                <w:bCs w:val="0"/>
                <w:kern w:val="0"/>
                <w:sz w:val="22"/>
                <w:lang w:val="en-US" w:eastAsia="zh-CN"/>
              </w:rPr>
            </w:pPr>
            <w:r>
              <w:rPr>
                <w:rFonts w:hint="eastAsia" w:ascii="仿宋_GB2312" w:eastAsia="仿宋_GB2312" w:cs="宋体"/>
                <w:b w:val="0"/>
                <w:bCs w:val="0"/>
                <w:kern w:val="0"/>
                <w:sz w:val="22"/>
                <w:lang w:val="en-US" w:eastAsia="zh-CN"/>
              </w:rPr>
              <w:t>3</w:t>
            </w:r>
          </w:p>
        </w:tc>
        <w:tc>
          <w:tcPr>
            <w:tcW w:w="3147" w:type="pct"/>
            <w:tcBorders>
              <w:top w:val="nil"/>
              <w:left w:val="nil"/>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（专项服务）产业圈层活动：</w:t>
            </w:r>
            <w:r>
              <w:rPr>
                <w:rFonts w:hint="eastAsia" w:ascii="仿宋_GB2312" w:eastAsia="仿宋_GB2312" w:cs="宋体"/>
                <w:kern w:val="0"/>
                <w:sz w:val="22"/>
              </w:rPr>
              <w:t>根据智园在新一代信息技术以及生物医药与健康等产业的上下游集聚情况，选取其中小巨人潜在企业或专精特新潜在企业所处的细分领域，结合智能终端芯片设计产业中小企业集群的资质与资源，策划开展产业圈层上下游链接活动，邀请园区同产业领域企业核心高管进行走访参观、沟通座谈，</w:t>
            </w:r>
            <w:r>
              <w:rPr>
                <w:rFonts w:hint="eastAsia" w:ascii="仿宋_GB2312" w:eastAsia="仿宋_GB2312" w:cs="宋体"/>
                <w:b/>
                <w:bCs/>
                <w:kern w:val="0"/>
                <w:sz w:val="22"/>
              </w:rPr>
              <w:t>共3场，活动将分别于 2024年7月、2024年11月及2025年4月举办。</w:t>
            </w:r>
          </w:p>
        </w:tc>
      </w:tr>
      <w:tr>
        <w:tblPrEx>
          <w:tblCellMar>
            <w:top w:w="0" w:type="dxa"/>
            <w:left w:w="108" w:type="dxa"/>
            <w:bottom w:w="0" w:type="dxa"/>
            <w:right w:w="108" w:type="dxa"/>
          </w:tblCellMar>
        </w:tblPrEx>
        <w:trPr>
          <w:trHeight w:val="841" w:hRule="atLeast"/>
        </w:trPr>
        <w:tc>
          <w:tcPr>
            <w:tcW w:w="314" w:type="pct"/>
            <w:vMerge w:val="continue"/>
            <w:tcBorders>
              <w:left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p>
        </w:tc>
        <w:tc>
          <w:tcPr>
            <w:tcW w:w="1136" w:type="pct"/>
            <w:tcBorders>
              <w:top w:val="single" w:color="000000" w:sz="4" w:space="0"/>
              <w:left w:val="nil"/>
              <w:bottom w:val="single" w:color="000000" w:sz="4" w:space="0"/>
              <w:right w:val="single" w:color="auto" w:sz="4" w:space="0"/>
            </w:tcBorders>
            <w:vAlign w:val="center"/>
          </w:tcPr>
          <w:p>
            <w:pPr>
              <w:pStyle w:val="6"/>
              <w:spacing w:line="360" w:lineRule="exact"/>
              <w:ind w:firstLine="0" w:firstLineChars="0"/>
              <w:jc w:val="center"/>
              <w:rPr>
                <w:rFonts w:hint="eastAsia" w:ascii="仿宋_GB2312" w:eastAsia="仿宋_GB2312" w:cs="宋体"/>
                <w:b/>
                <w:bCs/>
                <w:kern w:val="0"/>
                <w:sz w:val="22"/>
              </w:rPr>
            </w:pPr>
            <w:r>
              <w:rPr>
                <w:rFonts w:hint="eastAsia" w:ascii="仿宋_GB2312" w:eastAsia="仿宋_GB2312" w:cs="宋体"/>
                <w:b/>
                <w:bCs/>
                <w:kern w:val="0"/>
                <w:sz w:val="22"/>
              </w:rPr>
              <w:t>“智园</w:t>
            </w:r>
            <w:r>
              <w:rPr>
                <w:rFonts w:ascii="仿宋_GB2312" w:eastAsia="仿宋_GB2312" w:cs="宋体"/>
                <w:b/>
                <w:bCs/>
                <w:kern w:val="0"/>
                <w:sz w:val="22"/>
              </w:rPr>
              <w:t>书记沙龙</w:t>
            </w:r>
            <w:r>
              <w:rPr>
                <w:rFonts w:hint="eastAsia" w:ascii="仿宋_GB2312" w:eastAsia="仿宋_GB2312" w:cs="宋体"/>
                <w:b/>
                <w:bCs/>
                <w:kern w:val="0"/>
                <w:sz w:val="22"/>
              </w:rPr>
              <w:t>”研讨交流会</w:t>
            </w:r>
          </w:p>
        </w:tc>
        <w:tc>
          <w:tcPr>
            <w:tcW w:w="402" w:type="pct"/>
            <w:tcBorders>
              <w:top w:val="single" w:color="000000" w:sz="4" w:space="0"/>
              <w:left w:val="nil"/>
              <w:bottom w:val="single" w:color="000000" w:sz="4" w:space="0"/>
              <w:right w:val="single" w:color="auto" w:sz="4" w:space="0"/>
            </w:tcBorders>
            <w:vAlign w:val="center"/>
          </w:tcPr>
          <w:p>
            <w:pPr>
              <w:pStyle w:val="6"/>
              <w:spacing w:line="360" w:lineRule="exact"/>
              <w:ind w:firstLine="0" w:firstLineChars="0"/>
              <w:jc w:val="center"/>
              <w:rPr>
                <w:rFonts w:hint="eastAsia" w:ascii="仿宋_GB2312" w:eastAsia="仿宋_GB2312" w:cs="宋体"/>
                <w:b w:val="0"/>
                <w:bCs w:val="0"/>
                <w:kern w:val="0"/>
                <w:sz w:val="22"/>
                <w:lang w:val="en-US" w:eastAsia="zh-CN"/>
              </w:rPr>
            </w:pPr>
            <w:r>
              <w:rPr>
                <w:rFonts w:hint="eastAsia" w:ascii="仿宋_GB2312" w:eastAsia="仿宋_GB2312" w:cs="宋体"/>
                <w:b w:val="0"/>
                <w:bCs w:val="0"/>
                <w:kern w:val="0"/>
                <w:sz w:val="22"/>
                <w:lang w:val="en-US" w:eastAsia="zh-CN"/>
              </w:rPr>
              <w:t>1</w:t>
            </w:r>
          </w:p>
        </w:tc>
        <w:tc>
          <w:tcPr>
            <w:tcW w:w="3147" w:type="pct"/>
            <w:tcBorders>
              <w:top w:val="single" w:color="000000" w:sz="4" w:space="0"/>
              <w:left w:val="nil"/>
              <w:bottom w:val="single" w:color="000000"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（专项服务）“智园书记沙龙”创新创业分享主题活动</w:t>
            </w:r>
            <w:r>
              <w:rPr>
                <w:rFonts w:hint="eastAsia" w:ascii="仿宋_GB2312" w:eastAsia="仿宋_GB2312" w:cs="宋体"/>
                <w:kern w:val="0"/>
                <w:sz w:val="22"/>
              </w:rPr>
              <w:t>：</w:t>
            </w:r>
            <w:r>
              <w:rPr>
                <w:rFonts w:ascii="仿宋_GB2312" w:eastAsia="仿宋_GB2312" w:cs="宋体"/>
                <w:kern w:val="0"/>
                <w:sz w:val="22"/>
              </w:rPr>
              <w:t xml:space="preserve"> </w:t>
            </w:r>
            <w:r>
              <w:rPr>
                <w:rFonts w:hint="eastAsia" w:ascii="仿宋_GB2312" w:eastAsia="仿宋_GB2312" w:cs="宋体"/>
                <w:kern w:val="0"/>
                <w:sz w:val="22"/>
              </w:rPr>
              <w:t>以企业家、科研人才的创业创新故事及企业经营发展诉求为主题，举办气氛欢快、调性活泼、社交面广的沙龙活动，</w:t>
            </w:r>
            <w:r>
              <w:rPr>
                <w:rFonts w:hint="eastAsia" w:ascii="仿宋_GB2312" w:eastAsia="仿宋_GB2312" w:cs="宋体"/>
                <w:b/>
                <w:bCs/>
                <w:kern w:val="0"/>
                <w:sz w:val="22"/>
              </w:rPr>
              <w:t>共1场，预</w:t>
            </w:r>
            <w:r>
              <w:rPr>
                <w:rFonts w:hint="eastAsia" w:ascii="仿宋_GB2312" w:eastAsia="仿宋_GB2312" w:cs="宋体"/>
                <w:b/>
                <w:bCs/>
                <w:color w:val="0C0C0C"/>
                <w:kern w:val="0"/>
                <w:sz w:val="22"/>
              </w:rPr>
              <w:t>计2024年第四季度举办。</w:t>
            </w:r>
          </w:p>
        </w:tc>
      </w:tr>
    </w:tbl>
    <w:p>
      <w:pPr>
        <w:widowControl/>
        <w:jc w:val="left"/>
        <w:rPr>
          <w:rFonts w:hint="eastAsia"/>
        </w:rPr>
      </w:pPr>
    </w:p>
    <w:tbl>
      <w:tblPr>
        <w:tblStyle w:val="4"/>
        <w:tblW w:w="4872" w:type="pct"/>
        <w:tblInd w:w="113" w:type="dxa"/>
        <w:tblLayout w:type="fixed"/>
        <w:tblCellMar>
          <w:top w:w="0" w:type="dxa"/>
          <w:left w:w="108" w:type="dxa"/>
          <w:bottom w:w="0" w:type="dxa"/>
          <w:right w:w="108" w:type="dxa"/>
        </w:tblCellMar>
      </w:tblPr>
      <w:tblGrid>
        <w:gridCol w:w="872"/>
        <w:gridCol w:w="3122"/>
        <w:gridCol w:w="1119"/>
        <w:gridCol w:w="8698"/>
      </w:tblGrid>
      <w:tr>
        <w:tblPrEx>
          <w:tblCellMar>
            <w:top w:w="0" w:type="dxa"/>
            <w:left w:w="108" w:type="dxa"/>
            <w:bottom w:w="0" w:type="dxa"/>
            <w:right w:w="108" w:type="dxa"/>
          </w:tblCellMar>
        </w:tblPrEx>
        <w:trPr>
          <w:trHeight w:val="55" w:hRule="atLeast"/>
        </w:trPr>
        <w:tc>
          <w:tcPr>
            <w:tcW w:w="315" w:type="pct"/>
            <w:vMerge w:val="restart"/>
            <w:tcBorders>
              <w:top w:val="single" w:color="auto" w:sz="4" w:space="0"/>
              <w:left w:val="single" w:color="auto" w:sz="4" w:space="0"/>
              <w:right w:val="single" w:color="auto" w:sz="4" w:space="0"/>
            </w:tcBorders>
            <w:vAlign w:val="center"/>
          </w:tcPr>
          <w:p>
            <w:pPr>
              <w:widowControl/>
              <w:spacing w:line="360" w:lineRule="exact"/>
              <w:ind w:firstLine="220" w:firstLineChars="100"/>
              <w:jc w:val="both"/>
              <w:rPr>
                <w:rFonts w:hint="eastAsia" w:ascii="仿宋_GB2312" w:eastAsia="仿宋_GB2312" w:cs="宋体"/>
                <w:kern w:val="0"/>
                <w:sz w:val="22"/>
              </w:rPr>
            </w:pPr>
            <w:r>
              <w:rPr>
                <w:rFonts w:hint="eastAsia" w:ascii="仿宋_GB2312" w:eastAsia="仿宋_GB2312" w:cs="宋体"/>
                <w:kern w:val="0"/>
                <w:sz w:val="22"/>
              </w:rPr>
              <w:t>3</w:t>
            </w:r>
          </w:p>
        </w:tc>
        <w:tc>
          <w:tcPr>
            <w:tcW w:w="1130" w:type="pct"/>
            <w:vMerge w:val="restart"/>
            <w:tcBorders>
              <w:top w:val="single" w:color="auto" w:sz="4" w:space="0"/>
              <w:left w:val="nil"/>
              <w:right w:val="single" w:color="auto" w:sz="4" w:space="0"/>
            </w:tcBorders>
            <w:vAlign w:val="center"/>
          </w:tcPr>
          <w:p>
            <w:pPr>
              <w:pStyle w:val="6"/>
              <w:spacing w:line="360" w:lineRule="exact"/>
              <w:ind w:firstLine="0" w:firstLineChars="0"/>
              <w:rPr>
                <w:rFonts w:hint="eastAsia" w:ascii="仿宋_GB2312" w:eastAsia="仿宋_GB2312" w:cs="宋体"/>
                <w:b/>
                <w:bCs/>
                <w:kern w:val="0"/>
                <w:sz w:val="22"/>
              </w:rPr>
            </w:pPr>
            <w:r>
              <w:rPr>
                <w:rFonts w:hint="eastAsia" w:ascii="仿宋_GB2312" w:eastAsia="仿宋_GB2312" w:cs="宋体"/>
                <w:b/>
                <w:bCs/>
                <w:kern w:val="0"/>
                <w:sz w:val="22"/>
              </w:rPr>
              <w:t>“桃源底色”专精特新服务</w:t>
            </w:r>
          </w:p>
        </w:tc>
        <w:tc>
          <w:tcPr>
            <w:tcW w:w="405"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等线" w:eastAsia="仿宋_GB2312" w:cs="宋体"/>
                <w:kern w:val="0"/>
                <w:sz w:val="22"/>
                <w:szCs w:val="22"/>
                <w:lang w:val="en-US" w:eastAsia="zh-CN" w:bidi="ar-SA"/>
              </w:rPr>
            </w:pPr>
            <w:r>
              <w:rPr>
                <w:rFonts w:hint="eastAsia" w:ascii="仿宋_GB2312" w:eastAsia="仿宋_GB2312" w:cs="宋体"/>
                <w:kern w:val="0"/>
                <w:sz w:val="22"/>
              </w:rPr>
              <w:t>4</w:t>
            </w:r>
          </w:p>
        </w:tc>
        <w:tc>
          <w:tcPr>
            <w:tcW w:w="3149" w:type="pct"/>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（普惠服务）桃源先锋智行：</w:t>
            </w:r>
            <w:r>
              <w:rPr>
                <w:rFonts w:hint="eastAsia" w:ascii="仿宋_GB2312" w:eastAsia="仿宋_GB2312" w:cs="宋体"/>
                <w:kern w:val="0"/>
                <w:sz w:val="22"/>
              </w:rPr>
              <w:t>聚焦专精特新企业资质认定、知识产权规划维权与产学研资源链接需求，开展</w:t>
            </w:r>
            <w:r>
              <w:rPr>
                <w:rFonts w:hint="eastAsia" w:ascii="仿宋_GB2312" w:eastAsia="仿宋_GB2312" w:cs="宋体"/>
                <w:b/>
                <w:bCs/>
                <w:kern w:val="0"/>
                <w:sz w:val="22"/>
              </w:rPr>
              <w:t>专精特新与国高认定政策宣贯、商业秘密保护</w:t>
            </w:r>
            <w:r>
              <w:rPr>
                <w:rFonts w:hint="eastAsia" w:ascii="仿宋_GB2312" w:eastAsia="仿宋_GB2312" w:cs="宋体"/>
                <w:kern w:val="0"/>
                <w:sz w:val="22"/>
              </w:rPr>
              <w:t>与</w:t>
            </w:r>
            <w:r>
              <w:rPr>
                <w:rFonts w:hint="eastAsia" w:ascii="仿宋_GB2312" w:eastAsia="仿宋_GB2312" w:cs="宋体"/>
                <w:b/>
                <w:bCs/>
                <w:kern w:val="0"/>
                <w:sz w:val="22"/>
              </w:rPr>
              <w:t>产学研对接交流</w:t>
            </w:r>
            <w:r>
              <w:rPr>
                <w:rFonts w:hint="eastAsia" w:ascii="仿宋_GB2312" w:eastAsia="仿宋_GB2312" w:cs="宋体"/>
                <w:kern w:val="0"/>
                <w:sz w:val="22"/>
              </w:rPr>
              <w:t>活动、另根据街道需求开展</w:t>
            </w:r>
            <w:r>
              <w:rPr>
                <w:rFonts w:hint="eastAsia" w:ascii="仿宋_GB2312" w:eastAsia="仿宋_GB2312" w:cs="宋体"/>
                <w:b/>
                <w:bCs/>
                <w:kern w:val="0"/>
                <w:sz w:val="22"/>
              </w:rPr>
              <w:t>定制化宣讲活动</w:t>
            </w:r>
            <w:r>
              <w:rPr>
                <w:rFonts w:hint="eastAsia" w:ascii="仿宋_GB2312" w:eastAsia="仿宋_GB2312" w:cs="宋体"/>
                <w:kern w:val="0"/>
                <w:sz w:val="22"/>
              </w:rPr>
              <w:t>，</w:t>
            </w:r>
            <w:r>
              <w:rPr>
                <w:rFonts w:hint="eastAsia" w:ascii="仿宋_GB2312" w:eastAsia="仿宋_GB2312" w:cs="宋体"/>
                <w:b/>
                <w:bCs/>
                <w:kern w:val="0"/>
                <w:sz w:val="22"/>
              </w:rPr>
              <w:t>共4场。</w:t>
            </w:r>
            <w:r>
              <w:rPr>
                <w:rFonts w:hint="eastAsia" w:ascii="仿宋_GB2312" w:eastAsia="仿宋_GB2312" w:cs="宋体"/>
                <w:kern w:val="0"/>
                <w:sz w:val="22"/>
              </w:rPr>
              <w:t>预计分别于</w:t>
            </w:r>
            <w:r>
              <w:rPr>
                <w:rFonts w:hint="eastAsia" w:ascii="仿宋_GB2312" w:eastAsia="仿宋_GB2312" w:cs="宋体"/>
                <w:b/>
                <w:bCs/>
                <w:kern w:val="0"/>
                <w:sz w:val="22"/>
              </w:rPr>
              <w:t>2024年8月、2024年12月、2025年3月、2025年6月举办。</w:t>
            </w:r>
          </w:p>
        </w:tc>
      </w:tr>
      <w:tr>
        <w:tblPrEx>
          <w:tblCellMar>
            <w:top w:w="0" w:type="dxa"/>
            <w:left w:w="108" w:type="dxa"/>
            <w:bottom w:w="0" w:type="dxa"/>
            <w:right w:w="108" w:type="dxa"/>
          </w:tblCellMar>
        </w:tblPrEx>
        <w:trPr>
          <w:trHeight w:val="1737" w:hRule="atLeast"/>
        </w:trPr>
        <w:tc>
          <w:tcPr>
            <w:tcW w:w="315" w:type="pct"/>
            <w:vMerge w:val="continue"/>
            <w:tcBorders>
              <w:left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p>
        </w:tc>
        <w:tc>
          <w:tcPr>
            <w:tcW w:w="1130" w:type="pct"/>
            <w:vMerge w:val="continue"/>
            <w:tcBorders>
              <w:left w:val="nil"/>
              <w:right w:val="single" w:color="auto" w:sz="4" w:space="0"/>
            </w:tcBorders>
            <w:vAlign w:val="center"/>
          </w:tcPr>
          <w:p>
            <w:pPr>
              <w:pStyle w:val="6"/>
              <w:spacing w:line="360" w:lineRule="exact"/>
              <w:ind w:firstLine="0" w:firstLineChars="0"/>
              <w:jc w:val="center"/>
              <w:rPr>
                <w:rFonts w:hint="eastAsia" w:ascii="仿宋_GB2312" w:eastAsia="仿宋_GB2312" w:cs="宋体"/>
                <w:b/>
                <w:bCs/>
                <w:kern w:val="0"/>
                <w:sz w:val="22"/>
              </w:rPr>
            </w:pPr>
          </w:p>
        </w:tc>
        <w:tc>
          <w:tcPr>
            <w:tcW w:w="405" w:type="pct"/>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hAnsi="等线" w:eastAsia="仿宋_GB2312" w:cs="宋体"/>
                <w:kern w:val="0"/>
                <w:sz w:val="22"/>
                <w:szCs w:val="22"/>
                <w:lang w:val="en-US" w:eastAsia="zh-CN" w:bidi="ar-SA"/>
              </w:rPr>
            </w:pPr>
            <w:r>
              <w:rPr>
                <w:rFonts w:hint="eastAsia" w:ascii="仿宋_GB2312" w:eastAsia="仿宋_GB2312" w:cs="宋体"/>
                <w:kern w:val="0"/>
                <w:sz w:val="22"/>
              </w:rPr>
              <w:t>常态</w:t>
            </w:r>
          </w:p>
        </w:tc>
        <w:tc>
          <w:tcPr>
            <w:tcW w:w="3149" w:type="pct"/>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（专项服务）重点赋能服务：</w:t>
            </w:r>
            <w:r>
              <w:rPr>
                <w:rFonts w:hint="eastAsia" w:ascii="仿宋_GB2312" w:eastAsia="仿宋_GB2312" w:cs="宋体"/>
                <w:kern w:val="0"/>
                <w:sz w:val="22"/>
              </w:rPr>
              <w:t>针对在梳理出来的小巨人潜在企业10家、专精特新企业30家进行定向走访交流，挖掘企业在申报过程中的痛点、难点，以专业的申报辅导、疑难解答以及资源对接等服务，协助企业进行申报材料打磨，提升申报通过率。同时摸排两类潜在企业对省市级政府质量奖、国高、知识产权优势企业、省市级创新平台及高校联合实验室等需求，并提供定制化服务，</w:t>
            </w:r>
            <w:r>
              <w:rPr>
                <w:rFonts w:hint="eastAsia" w:ascii="仿宋_GB2312" w:eastAsia="仿宋_GB2312" w:cs="宋体"/>
                <w:b/>
                <w:bCs/>
                <w:kern w:val="0"/>
                <w:sz w:val="22"/>
              </w:rPr>
              <w:t>全年常态化开展，输出专项服务报告。</w:t>
            </w:r>
          </w:p>
        </w:tc>
      </w:tr>
      <w:tr>
        <w:tblPrEx>
          <w:tblCellMar>
            <w:top w:w="0" w:type="dxa"/>
            <w:left w:w="108" w:type="dxa"/>
            <w:bottom w:w="0" w:type="dxa"/>
            <w:right w:w="108" w:type="dxa"/>
          </w:tblCellMar>
        </w:tblPrEx>
        <w:trPr>
          <w:trHeight w:val="1200" w:hRule="atLeast"/>
        </w:trPr>
        <w:tc>
          <w:tcPr>
            <w:tcW w:w="315" w:type="pct"/>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cs="宋体"/>
                <w:kern w:val="0"/>
                <w:sz w:val="22"/>
              </w:rPr>
            </w:pPr>
          </w:p>
        </w:tc>
        <w:tc>
          <w:tcPr>
            <w:tcW w:w="1130" w:type="pct"/>
            <w:vMerge w:val="continue"/>
            <w:tcBorders>
              <w:left w:val="nil"/>
              <w:bottom w:val="single" w:color="auto" w:sz="4" w:space="0"/>
              <w:right w:val="single" w:color="auto" w:sz="4" w:space="0"/>
            </w:tcBorders>
            <w:vAlign w:val="center"/>
          </w:tcPr>
          <w:p>
            <w:pPr>
              <w:pStyle w:val="6"/>
              <w:spacing w:line="360" w:lineRule="exact"/>
              <w:ind w:firstLine="0" w:firstLineChars="0"/>
              <w:jc w:val="center"/>
              <w:rPr>
                <w:rFonts w:hint="eastAsia" w:ascii="仿宋_GB2312" w:eastAsia="仿宋_GB2312" w:cs="宋体"/>
                <w:b/>
                <w:bCs/>
                <w:kern w:val="0"/>
                <w:sz w:val="22"/>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等线" w:eastAsia="仿宋_GB2312" w:cs="宋体"/>
                <w:kern w:val="0"/>
                <w:sz w:val="22"/>
                <w:szCs w:val="22"/>
                <w:lang w:val="en-US" w:eastAsia="zh-CN" w:bidi="ar-SA"/>
              </w:rPr>
            </w:pPr>
            <w:r>
              <w:rPr>
                <w:rFonts w:hint="eastAsia" w:ascii="仿宋_GB2312" w:eastAsia="仿宋_GB2312" w:cs="宋体"/>
                <w:kern w:val="0"/>
                <w:sz w:val="22"/>
              </w:rPr>
              <w:t>常态</w:t>
            </w:r>
          </w:p>
        </w:tc>
        <w:tc>
          <w:tcPr>
            <w:tcW w:w="31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中高端人才服务：</w:t>
            </w:r>
            <w:r>
              <w:rPr>
                <w:rFonts w:hint="eastAsia" w:ascii="仿宋_GB2312" w:eastAsia="仿宋_GB2312" w:cs="宋体"/>
                <w:kern w:val="0"/>
                <w:sz w:val="22"/>
              </w:rPr>
              <w:t>协助开展高层次人才工作，</w:t>
            </w:r>
            <w:r>
              <w:rPr>
                <w:rFonts w:hint="eastAsia" w:ascii="仿宋_GB2312" w:eastAsia="仿宋_GB2312" w:cs="宋体"/>
                <w:b/>
                <w:bCs/>
                <w:kern w:val="0"/>
                <w:sz w:val="22"/>
              </w:rPr>
              <w:t>收集智园海外人才名单</w:t>
            </w:r>
            <w:r>
              <w:rPr>
                <w:rFonts w:hint="eastAsia" w:ascii="仿宋_GB2312" w:eastAsia="仿宋_GB2312" w:cs="宋体"/>
                <w:kern w:val="0"/>
                <w:sz w:val="22"/>
              </w:rPr>
              <w:t>，协助相关项目申报辅导；收集、汇编园区企业对于中高端研发、管理人才需求，并与辖区知名高校校友会、科研院所、人资机构进行广泛征集与资源链接</w:t>
            </w:r>
            <w:r>
              <w:rPr>
                <w:rFonts w:hint="eastAsia" w:ascii="仿宋_GB2312" w:eastAsia="仿宋_GB2312" w:cs="宋体"/>
                <w:b/>
                <w:bCs/>
                <w:kern w:val="0"/>
                <w:sz w:val="22"/>
              </w:rPr>
              <w:t>，全年常态化开展。</w:t>
            </w:r>
          </w:p>
        </w:tc>
      </w:tr>
      <w:tr>
        <w:tblPrEx>
          <w:tblCellMar>
            <w:top w:w="0" w:type="dxa"/>
            <w:left w:w="108" w:type="dxa"/>
            <w:bottom w:w="0" w:type="dxa"/>
            <w:right w:w="108" w:type="dxa"/>
          </w:tblCellMar>
        </w:tblPrEx>
        <w:trPr>
          <w:trHeight w:val="825" w:hRule="atLeast"/>
        </w:trPr>
        <w:tc>
          <w:tcPr>
            <w:tcW w:w="315"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eastAsia="仿宋_GB2312" w:cs="宋体"/>
                <w:kern w:val="0"/>
                <w:sz w:val="22"/>
              </w:rPr>
            </w:pPr>
            <w:r>
              <w:rPr>
                <w:rFonts w:hint="eastAsia" w:ascii="仿宋_GB2312" w:eastAsia="仿宋_GB2312" w:cs="宋体"/>
                <w:kern w:val="0"/>
                <w:sz w:val="22"/>
              </w:rPr>
              <w:t>4</w:t>
            </w:r>
            <w:r>
              <w:br w:type="page"/>
            </w:r>
          </w:p>
        </w:tc>
        <w:tc>
          <w:tcPr>
            <w:tcW w:w="1130" w:type="pct"/>
            <w:tcBorders>
              <w:top w:val="single" w:color="auto" w:sz="4" w:space="0"/>
              <w:left w:val="nil"/>
              <w:bottom w:val="single" w:color="auto" w:sz="4" w:space="0"/>
              <w:right w:val="single" w:color="auto" w:sz="4" w:space="0"/>
            </w:tcBorders>
            <w:vAlign w:val="center"/>
          </w:tcPr>
          <w:p>
            <w:pPr>
              <w:pStyle w:val="6"/>
              <w:spacing w:line="360" w:lineRule="exact"/>
              <w:ind w:firstLine="0" w:firstLineChars="0"/>
              <w:jc w:val="center"/>
              <w:rPr>
                <w:rFonts w:hint="eastAsia" w:ascii="仿宋_GB2312" w:eastAsia="仿宋_GB2312" w:cs="宋体"/>
                <w:b/>
                <w:bCs/>
                <w:kern w:val="0"/>
                <w:sz w:val="22"/>
              </w:rPr>
            </w:pPr>
            <w:r>
              <w:rPr>
                <w:rFonts w:hint="eastAsia" w:ascii="仿宋_GB2312" w:eastAsia="仿宋_GB2312" w:cs="宋体"/>
                <w:b/>
                <w:bCs/>
                <w:kern w:val="0"/>
                <w:sz w:val="22"/>
              </w:rPr>
              <w:t>企业百景绘</w:t>
            </w:r>
          </w:p>
        </w:tc>
        <w:tc>
          <w:tcPr>
            <w:tcW w:w="405"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等线" w:eastAsia="仿宋_GB2312" w:cs="宋体"/>
                <w:kern w:val="0"/>
                <w:sz w:val="22"/>
                <w:szCs w:val="22"/>
                <w:lang w:val="en-US" w:eastAsia="zh-CN" w:bidi="ar-SA"/>
              </w:rPr>
            </w:pPr>
            <w:r>
              <w:rPr>
                <w:rFonts w:hint="eastAsia" w:ascii="仿宋_GB2312" w:eastAsia="仿宋_GB2312" w:cs="宋体"/>
                <w:kern w:val="0"/>
                <w:sz w:val="22"/>
              </w:rPr>
              <w:t>常态</w:t>
            </w:r>
          </w:p>
        </w:tc>
        <w:tc>
          <w:tcPr>
            <w:tcW w:w="3149" w:type="pct"/>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 xml:space="preserve">企业百景绘宣传海报： </w:t>
            </w:r>
            <w:r>
              <w:rPr>
                <w:rFonts w:hint="eastAsia" w:ascii="仿宋_GB2312" w:eastAsia="仿宋_GB2312" w:cs="宋体"/>
                <w:kern w:val="0"/>
                <w:sz w:val="22"/>
              </w:rPr>
              <w:t>结合智园专精特新品牌、产品并与此联动，打造“智园专精特新红色党建企业百景绘”，定期展示企业发展信息及核心产品信息，</w:t>
            </w:r>
            <w:r>
              <w:rPr>
                <w:rFonts w:hint="eastAsia" w:ascii="仿宋_GB2312" w:eastAsia="仿宋_GB2312" w:cs="宋体"/>
                <w:b/>
                <w:bCs/>
                <w:kern w:val="0"/>
                <w:sz w:val="22"/>
              </w:rPr>
              <w:t>共计12篇，每月1期。</w:t>
            </w:r>
          </w:p>
        </w:tc>
      </w:tr>
      <w:tr>
        <w:tblPrEx>
          <w:tblCellMar>
            <w:top w:w="0" w:type="dxa"/>
            <w:left w:w="108" w:type="dxa"/>
            <w:bottom w:w="0" w:type="dxa"/>
            <w:right w:w="108" w:type="dxa"/>
          </w:tblCellMar>
        </w:tblPrEx>
        <w:trPr>
          <w:trHeight w:val="2643" w:hRule="atLeast"/>
        </w:trPr>
        <w:tc>
          <w:tcPr>
            <w:tcW w:w="315" w:type="pct"/>
            <w:vMerge w:val="continue"/>
            <w:tcBorders>
              <w:left w:val="single" w:color="auto" w:sz="4" w:space="0"/>
              <w:right w:val="single" w:color="auto" w:sz="4" w:space="0"/>
            </w:tcBorders>
            <w:vAlign w:val="center"/>
          </w:tcPr>
          <w:p>
            <w:pPr>
              <w:spacing w:line="360" w:lineRule="exact"/>
              <w:jc w:val="center"/>
              <w:rPr>
                <w:rFonts w:hint="eastAsia" w:ascii="仿宋_GB2312" w:eastAsia="仿宋_GB2312" w:cs="宋体"/>
                <w:kern w:val="0"/>
                <w:sz w:val="22"/>
              </w:rPr>
            </w:pPr>
          </w:p>
        </w:tc>
        <w:tc>
          <w:tcPr>
            <w:tcW w:w="1130" w:type="pct"/>
            <w:tcBorders>
              <w:top w:val="single" w:color="auto" w:sz="4" w:space="0"/>
              <w:left w:val="nil"/>
              <w:bottom w:val="single" w:color="auto" w:sz="4" w:space="0"/>
              <w:right w:val="single" w:color="auto" w:sz="4" w:space="0"/>
            </w:tcBorders>
            <w:vAlign w:val="center"/>
          </w:tcPr>
          <w:p>
            <w:pPr>
              <w:pStyle w:val="6"/>
              <w:spacing w:line="360" w:lineRule="exact"/>
              <w:ind w:firstLine="0" w:firstLineChars="0"/>
              <w:jc w:val="center"/>
              <w:rPr>
                <w:rFonts w:hint="eastAsia" w:ascii="仿宋_GB2312" w:eastAsia="仿宋_GB2312" w:cs="宋体"/>
                <w:b/>
                <w:bCs/>
                <w:kern w:val="0"/>
                <w:sz w:val="22"/>
              </w:rPr>
            </w:pPr>
            <w:r>
              <w:rPr>
                <w:rFonts w:hint="eastAsia" w:ascii="仿宋_GB2312" w:eastAsia="仿宋_GB2312" w:cs="宋体"/>
                <w:b/>
                <w:bCs/>
                <w:kern w:val="0"/>
                <w:sz w:val="22"/>
              </w:rPr>
              <w:t>企业红色</w:t>
            </w:r>
          </w:p>
          <w:p>
            <w:pPr>
              <w:pStyle w:val="6"/>
              <w:spacing w:line="360" w:lineRule="exact"/>
              <w:ind w:firstLine="0" w:firstLineChars="0"/>
              <w:jc w:val="center"/>
              <w:rPr>
                <w:rFonts w:hint="eastAsia" w:ascii="仿宋_GB2312" w:eastAsia="仿宋_GB2312" w:cs="宋体"/>
                <w:b/>
                <w:bCs/>
                <w:kern w:val="0"/>
                <w:sz w:val="22"/>
              </w:rPr>
            </w:pPr>
            <w:r>
              <w:rPr>
                <w:rFonts w:hint="eastAsia" w:ascii="仿宋_GB2312" w:eastAsia="仿宋_GB2312" w:cs="宋体"/>
                <w:b/>
                <w:bCs/>
                <w:kern w:val="0"/>
                <w:sz w:val="22"/>
              </w:rPr>
              <w:t>发展路线与总结大会</w:t>
            </w:r>
          </w:p>
        </w:tc>
        <w:tc>
          <w:tcPr>
            <w:tcW w:w="405"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等线" w:eastAsia="仿宋_GB2312" w:cs="宋体"/>
                <w:kern w:val="0"/>
                <w:sz w:val="22"/>
                <w:szCs w:val="22"/>
                <w:lang w:val="en-US" w:eastAsia="zh-CN" w:bidi="ar-SA"/>
              </w:rPr>
            </w:pPr>
            <w:r>
              <w:rPr>
                <w:rFonts w:hint="eastAsia" w:ascii="仿宋_GB2312" w:eastAsia="仿宋_GB2312" w:cs="宋体"/>
                <w:kern w:val="0"/>
                <w:sz w:val="22"/>
              </w:rPr>
              <w:t>1</w:t>
            </w:r>
          </w:p>
        </w:tc>
        <w:tc>
          <w:tcPr>
            <w:tcW w:w="3149" w:type="pct"/>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书记工作室红色党建空间</w:t>
            </w:r>
            <w:r>
              <w:rPr>
                <w:rFonts w:hint="eastAsia" w:ascii="仿宋_GB2312" w:eastAsia="仿宋_GB2312" w:cs="宋体"/>
                <w:kern w:val="0"/>
                <w:sz w:val="22"/>
              </w:rPr>
              <w:t>：结合辖区场地，设计、打造、运营一个书记工作室红色党建空间，力求展示智园专精特新企业与战略性产业发展历程与脉络、展示智园就企业赋能与党建工作的成果与成效，并以此开展智园企业党建走访活动。</w:t>
            </w:r>
            <w:r>
              <w:rPr>
                <w:rFonts w:ascii="仿宋_GB2312" w:eastAsia="仿宋_GB2312" w:cs="宋体"/>
                <w:kern w:val="0"/>
                <w:sz w:val="22"/>
              </w:rPr>
              <w:t xml:space="preserve"> </w:t>
            </w:r>
          </w:p>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党建示范点</w:t>
            </w:r>
            <w:r>
              <w:rPr>
                <w:rFonts w:hint="eastAsia" w:ascii="仿宋_GB2312" w:eastAsia="仿宋_GB2312" w:cs="宋体"/>
                <w:kern w:val="0"/>
                <w:sz w:val="22"/>
              </w:rPr>
              <w:t>：联络智园企业，梳理2-3家党组织书记会说、党组织（党员）事迹能学、企业（党建）展厅可看的党建示范点。</w:t>
            </w:r>
          </w:p>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总结大会：</w:t>
            </w:r>
            <w:r>
              <w:rPr>
                <w:rFonts w:hint="eastAsia" w:ascii="仿宋_GB2312" w:eastAsia="仿宋_GB2312" w:cs="宋体"/>
                <w:kern w:val="0"/>
                <w:sz w:val="22"/>
              </w:rPr>
              <w:t>结合服务期内工作服务成果与智园企业专精特新认定成绩。</w:t>
            </w:r>
          </w:p>
          <w:p>
            <w:pPr>
              <w:widowControl/>
              <w:spacing w:line="360" w:lineRule="exact"/>
              <w:rPr>
                <w:rFonts w:hint="eastAsia" w:ascii="仿宋_GB2312" w:eastAsia="仿宋_GB2312" w:cs="宋体"/>
                <w:kern w:val="0"/>
                <w:sz w:val="22"/>
              </w:rPr>
            </w:pPr>
            <w:r>
              <w:rPr>
                <w:rFonts w:hint="eastAsia" w:ascii="仿宋_GB2312" w:eastAsia="仿宋_GB2312" w:cs="宋体"/>
                <w:b/>
                <w:bCs/>
                <w:kern w:val="0"/>
                <w:sz w:val="22"/>
              </w:rPr>
              <w:t>以上共计1场，预计服务期末开展。</w:t>
            </w:r>
          </w:p>
        </w:tc>
      </w:tr>
      <w:tr>
        <w:tblPrEx>
          <w:tblCellMar>
            <w:top w:w="0" w:type="dxa"/>
            <w:left w:w="108" w:type="dxa"/>
            <w:bottom w:w="0" w:type="dxa"/>
            <w:right w:w="108" w:type="dxa"/>
          </w:tblCellMar>
        </w:tblPrEx>
        <w:trPr>
          <w:trHeight w:val="1171" w:hRule="atLeast"/>
        </w:trPr>
        <w:tc>
          <w:tcPr>
            <w:tcW w:w="315" w:type="pct"/>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s="宋体"/>
                <w:kern w:val="0"/>
                <w:sz w:val="22"/>
              </w:rPr>
            </w:pPr>
          </w:p>
        </w:tc>
        <w:tc>
          <w:tcPr>
            <w:tcW w:w="1130" w:type="pct"/>
            <w:tcBorders>
              <w:top w:val="single" w:color="auto" w:sz="4" w:space="0"/>
              <w:left w:val="nil"/>
              <w:bottom w:val="single" w:color="auto" w:sz="4" w:space="0"/>
              <w:right w:val="single" w:color="auto" w:sz="4" w:space="0"/>
            </w:tcBorders>
            <w:vAlign w:val="center"/>
          </w:tcPr>
          <w:p>
            <w:pPr>
              <w:pStyle w:val="6"/>
              <w:spacing w:line="360" w:lineRule="exact"/>
              <w:ind w:firstLine="0" w:firstLineChars="0"/>
              <w:jc w:val="center"/>
              <w:rPr>
                <w:rFonts w:hint="eastAsia" w:ascii="仿宋_GB2312" w:eastAsia="仿宋_GB2312" w:cs="宋体"/>
                <w:b/>
                <w:bCs/>
                <w:kern w:val="0"/>
                <w:sz w:val="22"/>
              </w:rPr>
            </w:pPr>
            <w:r>
              <w:rPr>
                <w:rFonts w:hint="eastAsia" w:ascii="仿宋_GB2312" w:eastAsia="仿宋_GB2312" w:cs="宋体"/>
                <w:b/>
                <w:bCs/>
                <w:kern w:val="0"/>
                <w:sz w:val="22"/>
              </w:rPr>
              <w:t>整体品宣</w:t>
            </w:r>
          </w:p>
        </w:tc>
        <w:tc>
          <w:tcPr>
            <w:tcW w:w="405"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等线" w:eastAsia="仿宋_GB2312" w:cs="宋体"/>
                <w:kern w:val="0"/>
                <w:sz w:val="22"/>
                <w:szCs w:val="22"/>
                <w:lang w:val="en-US" w:eastAsia="zh-CN" w:bidi="ar-SA"/>
              </w:rPr>
            </w:pPr>
            <w:r>
              <w:rPr>
                <w:rFonts w:hint="eastAsia" w:ascii="仿宋_GB2312" w:eastAsia="仿宋_GB2312" w:cs="宋体"/>
                <w:kern w:val="0"/>
                <w:sz w:val="22"/>
              </w:rPr>
              <w:t>常态</w:t>
            </w:r>
          </w:p>
        </w:tc>
        <w:tc>
          <w:tcPr>
            <w:tcW w:w="3149" w:type="pct"/>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_GB2312" w:eastAsia="仿宋_GB2312" w:cs="宋体"/>
                <w:b/>
                <w:bCs/>
                <w:kern w:val="0"/>
                <w:sz w:val="22"/>
              </w:rPr>
            </w:pPr>
            <w:r>
              <w:rPr>
                <w:rFonts w:hint="eastAsia" w:ascii="仿宋_GB2312" w:eastAsia="仿宋_GB2312" w:cs="宋体"/>
                <w:b/>
                <w:bCs/>
                <w:kern w:val="0"/>
                <w:sz w:val="22"/>
              </w:rPr>
              <w:t>服务期整体宣传服务：</w:t>
            </w:r>
            <w:r>
              <w:rPr>
                <w:rFonts w:hint="eastAsia" w:ascii="仿宋_GB2312" w:eastAsia="仿宋_GB2312" w:cs="宋体"/>
                <w:kern w:val="0"/>
                <w:sz w:val="22"/>
              </w:rPr>
              <w:t>结合服务期内各项活动的筹备预告、开展结果与服务成果，常态化进行我司现有线上、线下渠道推广宣，提升工作成效与品牌效应</w:t>
            </w:r>
            <w:r>
              <w:rPr>
                <w:rFonts w:hint="eastAsia" w:ascii="仿宋_GB2312" w:eastAsia="仿宋_GB2312" w:cs="宋体"/>
                <w:b/>
                <w:bCs/>
                <w:kern w:val="0"/>
                <w:sz w:val="22"/>
              </w:rPr>
              <w:t>，</w:t>
            </w:r>
          </w:p>
          <w:p>
            <w:pPr>
              <w:widowControl/>
              <w:spacing w:line="360" w:lineRule="exact"/>
              <w:rPr>
                <w:rFonts w:hint="eastAsia" w:ascii="仿宋_GB2312" w:eastAsia="仿宋_GB2312" w:cs="宋体"/>
                <w:b/>
                <w:bCs/>
                <w:kern w:val="0"/>
                <w:sz w:val="22"/>
              </w:rPr>
            </w:pPr>
            <w:r>
              <w:rPr>
                <w:rFonts w:hint="eastAsia" w:ascii="仿宋_GB2312" w:eastAsia="仿宋_GB2312" w:cs="宋体"/>
                <w:b/>
                <w:bCs/>
                <w:kern w:val="0"/>
                <w:sz w:val="22"/>
              </w:rPr>
              <w:t>汇报材料：</w:t>
            </w:r>
            <w:r>
              <w:rPr>
                <w:rFonts w:hint="eastAsia" w:ascii="仿宋_GB2312" w:eastAsia="仿宋_GB2312" w:cs="宋体"/>
                <w:kern w:val="0"/>
                <w:sz w:val="22"/>
              </w:rPr>
              <w:t>输出一篇高质量汇报材料，总结汇报智园“专精特新”企业培育书记工作室全年度工作成绩。</w:t>
            </w:r>
          </w:p>
        </w:tc>
      </w:tr>
    </w:tbl>
    <w:p/>
    <w:sectPr>
      <w:pgSz w:w="16838" w:h="11906" w:orient="landscape"/>
      <w:pgMar w:top="140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806F4"/>
    <w:rsid w:val="6218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2025-03-19T02:56:00Z</dcterms:created>
  <dc:creator>韩媛媛</dc:creator>
  <cp:lastModifiedBy>韩媛媛</cp:lastModifiedBy>
  <dcterms:modified xsi:type="dcterms:W3CDTF">2025-03-19T03:15:33Z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3797ACB763F04D7E80885D689E101A9C</vt:lpwstr>
  </property>
</Properties>
</file>