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p>
    <w:p>
      <w:pPr>
        <w:spacing w:line="480" w:lineRule="auto"/>
        <w:rPr>
          <w:rFonts w:ascii="华文中宋" w:hAnsi="华文中宋" w:eastAsia="华文中宋"/>
          <w:b/>
          <w:sz w:val="72"/>
        </w:rPr>
      </w:pPr>
    </w:p>
    <w:p>
      <w:pPr>
        <w:snapToGrid w:val="0"/>
        <w:spacing w:before="156" w:beforeLines="50"/>
        <w:jc w:val="center"/>
        <w:rPr>
          <w:rFonts w:ascii="黑体" w:hAnsi="华文中宋" w:eastAsia="黑体" w:cs="华文中宋"/>
          <w:b/>
          <w:bCs/>
          <w:sz w:val="72"/>
          <w:szCs w:val="72"/>
        </w:rPr>
      </w:pPr>
      <w:r>
        <w:rPr>
          <w:rFonts w:hint="eastAsia" w:ascii="黑体" w:hAnsi="华文中宋" w:eastAsia="黑体" w:cs="华文中宋"/>
          <w:b/>
          <w:bCs/>
          <w:sz w:val="72"/>
          <w:szCs w:val="72"/>
        </w:rPr>
        <w:t>工程</w:t>
      </w:r>
    </w:p>
    <w:p>
      <w:pPr>
        <w:snapToGrid w:val="0"/>
        <w:spacing w:before="156" w:beforeLines="50"/>
        <w:jc w:val="center"/>
        <w:rPr>
          <w:rFonts w:ascii="仿宋_GB2312" w:eastAsia="仿宋_GB2312"/>
          <w:b/>
          <w:bCs/>
          <w:sz w:val="72"/>
          <w:szCs w:val="72"/>
        </w:rPr>
      </w:pPr>
      <w:r>
        <w:rPr>
          <w:rFonts w:hint="eastAsia" w:ascii="黑体" w:hAnsi="华文中宋" w:eastAsia="黑体" w:cs="华文中宋"/>
          <w:b/>
          <w:bCs/>
          <w:sz w:val="72"/>
          <w:szCs w:val="72"/>
        </w:rPr>
        <w:t>公开招标文件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6"/>
        <w:spacing w:line="360" w:lineRule="auto"/>
        <w:ind w:firstLine="422" w:firstLineChars="132"/>
        <w:rPr>
          <w:rFonts w:ascii="仿宋_GB2312" w:eastAsia="仿宋_GB2312"/>
          <w:b/>
          <w:sz w:val="32"/>
        </w:rPr>
      </w:pPr>
      <w:r>
        <w:rPr>
          <w:rFonts w:hint="eastAsia" w:ascii="仿宋_GB2312" w:eastAsia="仿宋_GB2312"/>
          <w:b/>
          <w:sz w:val="32"/>
        </w:rPr>
        <w:t>项目编号：NSSHJDMSWSS2021017</w:t>
      </w:r>
    </w:p>
    <w:p>
      <w:pPr>
        <w:pStyle w:val="16"/>
        <w:spacing w:line="360" w:lineRule="auto"/>
        <w:ind w:firstLine="422" w:firstLineChars="132"/>
        <w:rPr>
          <w:rFonts w:ascii="仿宋_GB2312" w:eastAsia="仿宋_GB2312"/>
          <w:b/>
          <w:sz w:val="32"/>
        </w:rPr>
      </w:pPr>
      <w:r>
        <w:rPr>
          <w:rFonts w:hint="eastAsia" w:ascii="仿宋_GB2312" w:eastAsia="仿宋_GB2312"/>
          <w:b/>
          <w:sz w:val="32"/>
        </w:rPr>
        <w:t>项目名称：沙河街道中新街8栋和海棠阁内外墙维修翻新</w:t>
      </w:r>
    </w:p>
    <w:p>
      <w:pPr>
        <w:pStyle w:val="16"/>
        <w:spacing w:line="360" w:lineRule="auto"/>
        <w:rPr>
          <w:rFonts w:ascii="仿宋_GB2312" w:eastAsia="仿宋_GB2312"/>
          <w:b/>
          <w:color w:val="FF00FF"/>
          <w:sz w:val="32"/>
        </w:rPr>
      </w:pPr>
    </w:p>
    <w:p>
      <w:pPr>
        <w:snapToGrid w:val="0"/>
        <w:spacing w:line="360" w:lineRule="auto"/>
        <w:rPr>
          <w:rFonts w:ascii="仿宋_GB2312" w:eastAsia="仿宋_GB2312"/>
          <w:sz w:val="32"/>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napToGrid w:val="0"/>
        <w:spacing w:line="360" w:lineRule="auto"/>
        <w:jc w:val="center"/>
        <w:rPr>
          <w:rFonts w:ascii="黑体" w:hAnsi="华文中宋" w:eastAsia="黑体" w:cs="华文中宋"/>
          <w:sz w:val="30"/>
          <w:szCs w:val="30"/>
        </w:rPr>
      </w:pPr>
    </w:p>
    <w:p>
      <w:pPr>
        <w:snapToGrid w:val="0"/>
        <w:spacing w:line="360" w:lineRule="auto"/>
        <w:jc w:val="center"/>
        <w:rPr>
          <w:rFonts w:ascii="黑体" w:hAnsi="华文中宋" w:eastAsia="黑体" w:cs="华文中宋"/>
          <w:sz w:val="30"/>
          <w:szCs w:val="30"/>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黑体" w:hAnsi="华文中宋" w:eastAsia="黑体" w:cs="华文中宋"/>
          <w:sz w:val="30"/>
          <w:szCs w:val="30"/>
        </w:rPr>
        <w:t>2021年7</w:t>
      </w:r>
      <w:r>
        <w:rPr>
          <w:rFonts w:ascii="黑体" w:hAnsi="华文中宋" w:eastAsia="黑体" w:cs="华文中宋"/>
          <w:sz w:val="30"/>
          <w:szCs w:val="30"/>
        </w:rPr>
        <w:t>月</w:t>
      </w:r>
      <w:r>
        <w:rPr>
          <w:rFonts w:hint="eastAsia" w:ascii="黑体" w:hAnsi="华文中宋" w:eastAsia="黑体" w:cs="华文中宋"/>
          <w:sz w:val="30"/>
          <w:szCs w:val="30"/>
        </w:rPr>
        <w:t>26日</w:t>
      </w:r>
    </w:p>
    <w:p>
      <w:pPr>
        <w:spacing w:line="360" w:lineRule="auto"/>
        <w:jc w:val="center"/>
        <w:rPr>
          <w:rFonts w:ascii="宋体" w:hAnsi="宋体"/>
          <w:b/>
          <w:sz w:val="44"/>
          <w:szCs w:val="44"/>
        </w:rPr>
      </w:pPr>
      <w:r>
        <w:rPr>
          <w:rFonts w:hint="eastAsia" w:ascii="宋体" w:hAnsi="宋体"/>
          <w:b/>
          <w:sz w:val="44"/>
          <w:szCs w:val="44"/>
        </w:rPr>
        <w:t>目   录</w:t>
      </w:r>
    </w:p>
    <w:p>
      <w:pPr>
        <w:pStyle w:val="27"/>
        <w:tabs>
          <w:tab w:val="right" w:leader="dot" w:pos="9170"/>
        </w:tabs>
        <w:rPr>
          <w:rFonts w:asciiTheme="minorHAnsi" w:hAnsiTheme="minorHAnsi" w:eastAsiaTheme="minorEastAsia" w:cstheme="minorBidi"/>
          <w:b w:val="0"/>
          <w:bCs w:val="0"/>
          <w:caps w:val="0"/>
          <w:szCs w:val="22"/>
        </w:rPr>
      </w:pPr>
      <w:bookmarkStart w:id="0" w:name="_Toc435514842"/>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"_Toc77947870" </w:instrText>
      </w:r>
      <w:r>
        <w:fldChar w:fldCharType="separate"/>
      </w:r>
      <w:r>
        <w:rPr>
          <w:rStyle w:val="43"/>
          <w:rFonts w:asciiTheme="majorEastAsia" w:hAnsiTheme="majorEastAsia" w:eastAsiaTheme="majorEastAsia" w:cstheme="majorEastAsia"/>
        </w:rPr>
        <w:t>第一章 投标邀请</w:t>
      </w:r>
      <w:r>
        <w:tab/>
      </w:r>
      <w:r>
        <w:fldChar w:fldCharType="begin"/>
      </w:r>
      <w:r>
        <w:instrText xml:space="preserve"> PAGEREF _Toc77947870 \h </w:instrText>
      </w:r>
      <w:r>
        <w:fldChar w:fldCharType="separate"/>
      </w:r>
      <w:r>
        <w:t>3</w:t>
      </w:r>
      <w:r>
        <w:fldChar w:fldCharType="end"/>
      </w:r>
      <w:r>
        <w:fldChar w:fldCharType="end"/>
      </w:r>
    </w:p>
    <w:p>
      <w:pPr>
        <w:pStyle w:val="27"/>
        <w:tabs>
          <w:tab w:val="right" w:leader="dot" w:pos="9170"/>
        </w:tabs>
        <w:rPr>
          <w:rFonts w:asciiTheme="minorHAnsi" w:hAnsiTheme="minorHAnsi" w:eastAsiaTheme="minorEastAsia" w:cstheme="minorBidi"/>
          <w:b w:val="0"/>
          <w:bCs w:val="0"/>
          <w:caps w:val="0"/>
          <w:szCs w:val="22"/>
        </w:rPr>
      </w:pPr>
      <w:r>
        <w:fldChar w:fldCharType="begin"/>
      </w:r>
      <w:r>
        <w:instrText xml:space="preserve"> HYPERLINK \l "_Toc77947871" </w:instrText>
      </w:r>
      <w:r>
        <w:fldChar w:fldCharType="separate"/>
      </w:r>
      <w:r>
        <w:rPr>
          <w:rStyle w:val="43"/>
          <w:rFonts w:asciiTheme="majorEastAsia" w:hAnsiTheme="majorEastAsia" w:eastAsiaTheme="majorEastAsia" w:cstheme="majorEastAsia"/>
        </w:rPr>
        <w:t>第二章 投标资料表</w:t>
      </w:r>
      <w:r>
        <w:tab/>
      </w:r>
      <w:r>
        <w:fldChar w:fldCharType="begin"/>
      </w:r>
      <w:r>
        <w:instrText xml:space="preserve"> PAGEREF _Toc77947871 \h </w:instrText>
      </w:r>
      <w:r>
        <w:fldChar w:fldCharType="separate"/>
      </w:r>
      <w:r>
        <w:t>5</w:t>
      </w:r>
      <w:r>
        <w:fldChar w:fldCharType="end"/>
      </w:r>
      <w:r>
        <w:fldChar w:fldCharType="end"/>
      </w:r>
    </w:p>
    <w:p>
      <w:pPr>
        <w:pStyle w:val="27"/>
        <w:tabs>
          <w:tab w:val="right" w:leader="dot" w:pos="9170"/>
        </w:tabs>
        <w:rPr>
          <w:rFonts w:asciiTheme="minorHAnsi" w:hAnsiTheme="minorHAnsi" w:eastAsiaTheme="minorEastAsia" w:cstheme="minorBidi"/>
          <w:b w:val="0"/>
          <w:bCs w:val="0"/>
          <w:caps w:val="0"/>
          <w:szCs w:val="22"/>
        </w:rPr>
      </w:pPr>
      <w:r>
        <w:fldChar w:fldCharType="begin"/>
      </w:r>
      <w:r>
        <w:instrText xml:space="preserve"> HYPERLINK \l "_Toc77947872" </w:instrText>
      </w:r>
      <w:r>
        <w:fldChar w:fldCharType="separate"/>
      </w:r>
      <w:r>
        <w:rPr>
          <w:rStyle w:val="43"/>
          <w:rFonts w:asciiTheme="majorEastAsia" w:hAnsiTheme="majorEastAsia" w:eastAsiaTheme="majorEastAsia" w:cstheme="majorEastAsia"/>
        </w:rPr>
        <w:t>第三章 用户需求书</w:t>
      </w:r>
      <w:r>
        <w:tab/>
      </w:r>
      <w:r>
        <w:fldChar w:fldCharType="begin"/>
      </w:r>
      <w:r>
        <w:instrText xml:space="preserve"> PAGEREF _Toc77947872 \h </w:instrText>
      </w:r>
      <w:r>
        <w:fldChar w:fldCharType="separate"/>
      </w:r>
      <w:r>
        <w:t>6</w:t>
      </w:r>
      <w:r>
        <w:fldChar w:fldCharType="end"/>
      </w:r>
      <w:r>
        <w:fldChar w:fldCharType="end"/>
      </w:r>
    </w:p>
    <w:p>
      <w:pPr>
        <w:pStyle w:val="27"/>
        <w:tabs>
          <w:tab w:val="right" w:leader="dot" w:pos="9170"/>
        </w:tabs>
        <w:rPr>
          <w:rFonts w:asciiTheme="minorHAnsi" w:hAnsiTheme="minorHAnsi" w:eastAsiaTheme="minorEastAsia" w:cstheme="minorBidi"/>
          <w:b w:val="0"/>
          <w:bCs w:val="0"/>
          <w:caps w:val="0"/>
          <w:szCs w:val="22"/>
        </w:rPr>
      </w:pPr>
      <w:r>
        <w:fldChar w:fldCharType="begin"/>
      </w:r>
      <w:r>
        <w:instrText xml:space="preserve"> HYPERLINK \l "_Toc77947873" </w:instrText>
      </w:r>
      <w:r>
        <w:fldChar w:fldCharType="separate"/>
      </w:r>
      <w:r>
        <w:rPr>
          <w:rStyle w:val="43"/>
          <w:rFonts w:asciiTheme="majorEastAsia" w:hAnsiTheme="majorEastAsia" w:eastAsiaTheme="majorEastAsia" w:cstheme="majorEastAsia"/>
        </w:rPr>
        <w:t>第四章 评标、定标</w:t>
      </w:r>
      <w:r>
        <w:tab/>
      </w:r>
      <w:r>
        <w:fldChar w:fldCharType="begin"/>
      </w:r>
      <w:r>
        <w:instrText xml:space="preserve"> PAGEREF _Toc77947873 \h </w:instrText>
      </w:r>
      <w:r>
        <w:fldChar w:fldCharType="separate"/>
      </w:r>
      <w:r>
        <w:t>9</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"_Toc77947874" </w:instrText>
      </w:r>
      <w:r>
        <w:fldChar w:fldCharType="separate"/>
      </w:r>
      <w:r>
        <w:rPr>
          <w:rStyle w:val="43"/>
          <w:rFonts w:asciiTheme="majorEastAsia" w:hAnsiTheme="majorEastAsia" w:eastAsiaTheme="majorEastAsia"/>
        </w:rPr>
        <w:t>（一）</w:t>
      </w:r>
      <w:r>
        <w:rPr>
          <w:rFonts w:asciiTheme="minorHAnsi" w:hAnsiTheme="minorHAnsi" w:eastAsiaTheme="minorEastAsia" w:cstheme="minorBidi"/>
          <w:smallCaps w:val="0"/>
          <w:szCs w:val="22"/>
        </w:rPr>
        <w:tab/>
      </w:r>
      <w:r>
        <w:rPr>
          <w:rStyle w:val="43"/>
          <w:rFonts w:asciiTheme="majorEastAsia" w:hAnsiTheme="majorEastAsia" w:eastAsiaTheme="majorEastAsia"/>
        </w:rPr>
        <w:t>资格性审查表</w:t>
      </w:r>
      <w:r>
        <w:tab/>
      </w:r>
      <w:r>
        <w:fldChar w:fldCharType="begin"/>
      </w:r>
      <w:r>
        <w:instrText xml:space="preserve"> PAGEREF _Toc77947874 \h </w:instrText>
      </w:r>
      <w:r>
        <w:fldChar w:fldCharType="separate"/>
      </w:r>
      <w:r>
        <w:t>9</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"_Toc77947875" </w:instrText>
      </w:r>
      <w:r>
        <w:fldChar w:fldCharType="separate"/>
      </w:r>
      <w:r>
        <w:rPr>
          <w:rStyle w:val="43"/>
          <w:rFonts w:asciiTheme="majorEastAsia" w:hAnsiTheme="majorEastAsia" w:eastAsiaTheme="majorEastAsia"/>
        </w:rPr>
        <w:t>（二）</w:t>
      </w:r>
      <w:r>
        <w:rPr>
          <w:rFonts w:asciiTheme="minorHAnsi" w:hAnsiTheme="minorHAnsi" w:eastAsiaTheme="minorEastAsia" w:cstheme="minorBidi"/>
          <w:smallCaps w:val="0"/>
          <w:szCs w:val="22"/>
        </w:rPr>
        <w:tab/>
      </w:r>
      <w:r>
        <w:rPr>
          <w:rStyle w:val="43"/>
          <w:rFonts w:asciiTheme="majorEastAsia" w:hAnsiTheme="majorEastAsia" w:eastAsiaTheme="majorEastAsia"/>
        </w:rPr>
        <w:t>符合性审查表</w:t>
      </w:r>
      <w:r>
        <w:tab/>
      </w:r>
      <w:r>
        <w:fldChar w:fldCharType="begin"/>
      </w:r>
      <w:r>
        <w:instrText xml:space="preserve"> PAGEREF _Toc77947875 \h </w:instrText>
      </w:r>
      <w:r>
        <w:fldChar w:fldCharType="separate"/>
      </w:r>
      <w:r>
        <w:t>9</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"_Toc77947876" </w:instrText>
      </w:r>
      <w:r>
        <w:fldChar w:fldCharType="separate"/>
      </w:r>
      <w:r>
        <w:rPr>
          <w:rStyle w:val="43"/>
          <w:rFonts w:ascii="黑体" w:hAnsi="宋体" w:cs="宋体"/>
        </w:rPr>
        <w:t>（三）</w:t>
      </w:r>
      <w:r>
        <w:rPr>
          <w:rFonts w:asciiTheme="minorHAnsi" w:hAnsiTheme="minorHAnsi" w:eastAsiaTheme="minorEastAsia" w:cstheme="minorBidi"/>
          <w:smallCaps w:val="0"/>
          <w:szCs w:val="22"/>
        </w:rPr>
        <w:tab/>
      </w:r>
      <w:r>
        <w:rPr>
          <w:rStyle w:val="43"/>
          <w:rFonts w:asciiTheme="majorEastAsia" w:hAnsiTheme="majorEastAsia" w:eastAsiaTheme="majorEastAsia"/>
        </w:rPr>
        <w:t>综合评分表</w:t>
      </w:r>
      <w:r>
        <w:tab/>
      </w:r>
      <w:r>
        <w:fldChar w:fldCharType="begin"/>
      </w:r>
      <w:r>
        <w:instrText xml:space="preserve"> PAGEREF _Toc77947876 \h </w:instrText>
      </w:r>
      <w:r>
        <w:fldChar w:fldCharType="separate"/>
      </w:r>
      <w:r>
        <w:t>10</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"_Toc77947877" </w:instrText>
      </w:r>
      <w:r>
        <w:fldChar w:fldCharType="separate"/>
      </w:r>
      <w:r>
        <w:rPr>
          <w:rStyle w:val="43"/>
          <w:rFonts w:asciiTheme="majorEastAsia" w:hAnsiTheme="majorEastAsia" w:eastAsiaTheme="majorEastAsia"/>
        </w:rPr>
        <w:t>（四）</w:t>
      </w:r>
      <w:r>
        <w:rPr>
          <w:rFonts w:asciiTheme="minorHAnsi" w:hAnsiTheme="minorHAnsi" w:eastAsiaTheme="minorEastAsia" w:cstheme="minorBidi"/>
          <w:smallCaps w:val="0"/>
          <w:szCs w:val="22"/>
        </w:rPr>
        <w:tab/>
      </w:r>
      <w:r>
        <w:rPr>
          <w:rStyle w:val="43"/>
          <w:rFonts w:asciiTheme="majorEastAsia" w:hAnsiTheme="majorEastAsia" w:eastAsiaTheme="majorEastAsia"/>
        </w:rPr>
        <w:t>评标</w:t>
      </w:r>
      <w:r>
        <w:rPr>
          <w:rStyle w:val="43"/>
          <w:rFonts w:hint="eastAsia" w:asciiTheme="majorEastAsia" w:hAnsiTheme="majorEastAsia" w:eastAsiaTheme="majorEastAsia"/>
        </w:rPr>
        <w:t>与定标</w:t>
      </w:r>
      <w:r>
        <w:tab/>
      </w:r>
      <w:r>
        <w:fldChar w:fldCharType="begin"/>
      </w:r>
      <w:r>
        <w:instrText xml:space="preserve"> PAGEREF _Toc77947877 \h </w:instrText>
      </w:r>
      <w:r>
        <w:fldChar w:fldCharType="separate"/>
      </w:r>
      <w:r>
        <w:t>13</w:t>
      </w:r>
      <w:r>
        <w:fldChar w:fldCharType="end"/>
      </w:r>
      <w:r>
        <w:fldChar w:fldCharType="end"/>
      </w:r>
    </w:p>
    <w:p>
      <w:pPr>
        <w:pStyle w:val="27"/>
        <w:tabs>
          <w:tab w:val="right" w:leader="dot" w:pos="9170"/>
        </w:tabs>
        <w:rPr>
          <w:rFonts w:asciiTheme="minorHAnsi" w:hAnsiTheme="minorHAnsi" w:eastAsiaTheme="minorEastAsia" w:cstheme="minorBidi"/>
          <w:b w:val="0"/>
          <w:bCs w:val="0"/>
          <w:caps w:val="0"/>
          <w:szCs w:val="22"/>
        </w:rPr>
      </w:pPr>
      <w:r>
        <w:fldChar w:fldCharType="begin"/>
      </w:r>
      <w:r>
        <w:instrText xml:space="preserve"> HYPERLINK \l "_Toc77947878" </w:instrText>
      </w:r>
      <w:r>
        <w:fldChar w:fldCharType="separate"/>
      </w:r>
      <w:r>
        <w:rPr>
          <w:rStyle w:val="43"/>
        </w:rPr>
        <w:t>第五章 合同文本</w:t>
      </w:r>
      <w:r>
        <w:rPr>
          <w:rStyle w:val="43"/>
          <w:rFonts w:ascii="宋体" w:hAnsi="宋体" w:cs="宋体"/>
        </w:rPr>
        <w:t>（仅供参考）</w:t>
      </w:r>
      <w:r>
        <w:tab/>
      </w:r>
      <w:r>
        <w:fldChar w:fldCharType="begin"/>
      </w:r>
      <w:r>
        <w:instrText xml:space="preserve"> PAGEREF _Toc77947878 \h </w:instrText>
      </w:r>
      <w:r>
        <w:fldChar w:fldCharType="separate"/>
      </w:r>
      <w:r>
        <w:t>17</w:t>
      </w:r>
      <w:r>
        <w:fldChar w:fldCharType="end"/>
      </w:r>
      <w:r>
        <w:fldChar w:fldCharType="end"/>
      </w:r>
    </w:p>
    <w:p>
      <w:pPr>
        <w:pStyle w:val="27"/>
        <w:tabs>
          <w:tab w:val="right" w:leader="dot" w:pos="9170"/>
        </w:tabs>
        <w:rPr>
          <w:rFonts w:asciiTheme="minorHAnsi" w:hAnsiTheme="minorHAnsi" w:eastAsiaTheme="minorEastAsia" w:cstheme="minorBidi"/>
          <w:b w:val="0"/>
          <w:bCs w:val="0"/>
          <w:caps w:val="0"/>
          <w:szCs w:val="22"/>
        </w:rPr>
      </w:pPr>
      <w:r>
        <w:fldChar w:fldCharType="begin"/>
      </w:r>
      <w:r>
        <w:instrText xml:space="preserve"> HYPERLINK \l "_Toc77947879" </w:instrText>
      </w:r>
      <w:r>
        <w:fldChar w:fldCharType="separate"/>
      </w:r>
      <w:r>
        <w:rPr>
          <w:rStyle w:val="43"/>
          <w:rFonts w:asciiTheme="majorEastAsia" w:hAnsiTheme="majorEastAsia" w:eastAsiaTheme="majorEastAsia" w:cstheme="majorEastAsia"/>
        </w:rPr>
        <w:t>第六章 投标文件格式</w:t>
      </w:r>
      <w:r>
        <w:tab/>
      </w:r>
      <w:r>
        <w:fldChar w:fldCharType="begin"/>
      </w:r>
      <w:r>
        <w:instrText xml:space="preserve"> PAGEREF _Toc77947879 \h </w:instrText>
      </w:r>
      <w:r>
        <w:fldChar w:fldCharType="separate"/>
      </w:r>
      <w:r>
        <w:t>20</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"_Toc77947880" </w:instrText>
      </w:r>
      <w:r>
        <w:fldChar w:fldCharType="separate"/>
      </w:r>
      <w:r>
        <w:rPr>
          <w:rStyle w:val="43"/>
          <w:rFonts w:asciiTheme="majorEastAsia" w:hAnsiTheme="majorEastAsia" w:eastAsiaTheme="majorEastAsia"/>
        </w:rPr>
        <w:t>（一）</w:t>
      </w:r>
      <w:r>
        <w:rPr>
          <w:rFonts w:asciiTheme="minorHAnsi" w:hAnsiTheme="minorHAnsi" w:eastAsiaTheme="minorEastAsia" w:cstheme="minorBidi"/>
          <w:smallCaps w:val="0"/>
          <w:szCs w:val="22"/>
        </w:rPr>
        <w:tab/>
      </w:r>
      <w:r>
        <w:rPr>
          <w:rStyle w:val="43"/>
          <w:rFonts w:asciiTheme="majorEastAsia" w:hAnsiTheme="majorEastAsia" w:eastAsiaTheme="majorEastAsia"/>
        </w:rPr>
        <w:t>投标文件包装封面参考</w:t>
      </w:r>
      <w:r>
        <w:tab/>
      </w:r>
      <w:r>
        <w:fldChar w:fldCharType="begin"/>
      </w:r>
      <w:r>
        <w:instrText xml:space="preserve"> PAGEREF _Toc77947880 \h </w:instrText>
      </w:r>
      <w:r>
        <w:fldChar w:fldCharType="separate"/>
      </w:r>
      <w:r>
        <w:t>20</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"_Toc77947881" </w:instrText>
      </w:r>
      <w:r>
        <w:fldChar w:fldCharType="separate"/>
      </w:r>
      <w:r>
        <w:rPr>
          <w:rStyle w:val="43"/>
          <w:rFonts w:asciiTheme="majorEastAsia" w:hAnsiTheme="majorEastAsia" w:eastAsiaTheme="majorEastAsia"/>
        </w:rPr>
        <w:t>（二）</w:t>
      </w:r>
      <w:r>
        <w:rPr>
          <w:rFonts w:asciiTheme="minorHAnsi" w:hAnsiTheme="minorHAnsi" w:eastAsiaTheme="minorEastAsia" w:cstheme="minorBidi"/>
          <w:smallCaps w:val="0"/>
          <w:szCs w:val="22"/>
        </w:rPr>
        <w:tab/>
      </w:r>
      <w:r>
        <w:rPr>
          <w:rStyle w:val="43"/>
          <w:rFonts w:asciiTheme="majorEastAsia" w:hAnsiTheme="majorEastAsia" w:eastAsiaTheme="majorEastAsia"/>
        </w:rPr>
        <w:t>营业执照等资质文件</w:t>
      </w:r>
      <w:r>
        <w:tab/>
      </w:r>
      <w:r>
        <w:fldChar w:fldCharType="begin"/>
      </w:r>
      <w:r>
        <w:instrText xml:space="preserve"> PAGEREF _Toc77947881 \h </w:instrText>
      </w:r>
      <w:r>
        <w:fldChar w:fldCharType="separate"/>
      </w:r>
      <w:r>
        <w:t>21</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"_Toc77947882" </w:instrText>
      </w:r>
      <w:r>
        <w:fldChar w:fldCharType="separate"/>
      </w:r>
      <w:r>
        <w:rPr>
          <w:rStyle w:val="43"/>
        </w:rPr>
        <w:t>（三）</w:t>
      </w:r>
      <w:r>
        <w:rPr>
          <w:rFonts w:asciiTheme="minorHAnsi" w:hAnsiTheme="minorHAnsi" w:eastAsiaTheme="minorEastAsia" w:cstheme="minorBidi"/>
          <w:smallCaps w:val="0"/>
          <w:szCs w:val="22"/>
        </w:rPr>
        <w:tab/>
      </w:r>
      <w:r>
        <w:rPr>
          <w:rStyle w:val="43"/>
          <w:rFonts w:asciiTheme="majorEastAsia" w:hAnsiTheme="majorEastAsia" w:eastAsiaTheme="majorEastAsia"/>
        </w:rPr>
        <w:t>投标函</w:t>
      </w:r>
      <w:r>
        <w:tab/>
      </w:r>
      <w:r>
        <w:fldChar w:fldCharType="begin"/>
      </w:r>
      <w:r>
        <w:instrText xml:space="preserve"> PAGEREF _Toc77947882 \h </w:instrText>
      </w:r>
      <w:r>
        <w:fldChar w:fldCharType="separate"/>
      </w:r>
      <w:r>
        <w:t>22</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"_Toc77947883" </w:instrText>
      </w:r>
      <w:r>
        <w:fldChar w:fldCharType="separate"/>
      </w:r>
      <w:r>
        <w:rPr>
          <w:rStyle w:val="43"/>
          <w:rFonts w:asciiTheme="majorEastAsia" w:hAnsiTheme="majorEastAsia" w:eastAsiaTheme="majorEastAsia"/>
        </w:rPr>
        <w:t>（四）</w:t>
      </w:r>
      <w:r>
        <w:rPr>
          <w:rFonts w:asciiTheme="minorHAnsi" w:hAnsiTheme="minorHAnsi" w:eastAsiaTheme="minorEastAsia" w:cstheme="minorBidi"/>
          <w:smallCaps w:val="0"/>
          <w:szCs w:val="22"/>
        </w:rPr>
        <w:tab/>
      </w:r>
      <w:r>
        <w:rPr>
          <w:rStyle w:val="43"/>
          <w:rFonts w:asciiTheme="majorEastAsia" w:hAnsiTheme="majorEastAsia" w:eastAsiaTheme="majorEastAsia"/>
        </w:rPr>
        <w:t>投标人资格声明函</w:t>
      </w:r>
      <w:r>
        <w:tab/>
      </w:r>
      <w:r>
        <w:fldChar w:fldCharType="begin"/>
      </w:r>
      <w:r>
        <w:instrText xml:space="preserve"> PAGEREF _Toc77947883 \h </w:instrText>
      </w:r>
      <w:r>
        <w:fldChar w:fldCharType="separate"/>
      </w:r>
      <w:r>
        <w:t>23</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"_Toc77947884" </w:instrText>
      </w:r>
      <w:r>
        <w:fldChar w:fldCharType="separate"/>
      </w:r>
      <w:r>
        <w:rPr>
          <w:rStyle w:val="43"/>
          <w:rFonts w:asciiTheme="majorEastAsia" w:hAnsiTheme="majorEastAsia" w:eastAsiaTheme="majorEastAsia"/>
        </w:rPr>
        <w:t>（五）</w:t>
      </w:r>
      <w:r>
        <w:rPr>
          <w:rFonts w:asciiTheme="minorHAnsi" w:hAnsiTheme="minorHAnsi" w:eastAsiaTheme="minorEastAsia" w:cstheme="minorBidi"/>
          <w:smallCaps w:val="0"/>
          <w:szCs w:val="22"/>
        </w:rPr>
        <w:tab/>
      </w:r>
      <w:r>
        <w:rPr>
          <w:rStyle w:val="43"/>
          <w:rFonts w:asciiTheme="majorEastAsia" w:hAnsiTheme="majorEastAsia" w:eastAsiaTheme="majorEastAsia"/>
        </w:rPr>
        <w:t>公章对投标专用章授权说明</w:t>
      </w:r>
      <w:r>
        <w:tab/>
      </w:r>
      <w:r>
        <w:fldChar w:fldCharType="begin"/>
      </w:r>
      <w:r>
        <w:instrText xml:space="preserve"> PAGEREF _Toc77947884 \h </w:instrText>
      </w:r>
      <w:r>
        <w:fldChar w:fldCharType="separate"/>
      </w:r>
      <w:r>
        <w:t>25</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"_Toc77947885" </w:instrText>
      </w:r>
      <w:r>
        <w:fldChar w:fldCharType="separate"/>
      </w:r>
      <w:r>
        <w:rPr>
          <w:rStyle w:val="43"/>
          <w:rFonts w:asciiTheme="majorEastAsia" w:hAnsiTheme="majorEastAsia" w:eastAsiaTheme="majorEastAsia"/>
        </w:rPr>
        <w:t>（六）</w:t>
      </w:r>
      <w:r>
        <w:rPr>
          <w:rFonts w:asciiTheme="minorHAnsi" w:hAnsiTheme="minorHAnsi" w:eastAsiaTheme="minorEastAsia" w:cstheme="minorBidi"/>
          <w:smallCaps w:val="0"/>
          <w:szCs w:val="22"/>
        </w:rPr>
        <w:tab/>
      </w:r>
      <w:r>
        <w:rPr>
          <w:rStyle w:val="43"/>
          <w:rFonts w:asciiTheme="majorEastAsia" w:hAnsiTheme="majorEastAsia" w:eastAsiaTheme="majorEastAsia"/>
        </w:rPr>
        <w:t>法定代表人授权委托书</w:t>
      </w:r>
      <w:r>
        <w:tab/>
      </w:r>
      <w:r>
        <w:fldChar w:fldCharType="begin"/>
      </w:r>
      <w:r>
        <w:instrText xml:space="preserve"> PAGEREF _Toc77947885 \h </w:instrText>
      </w:r>
      <w:r>
        <w:fldChar w:fldCharType="separate"/>
      </w:r>
      <w:r>
        <w:t>26</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"_Toc77947886" </w:instrText>
      </w:r>
      <w:r>
        <w:fldChar w:fldCharType="separate"/>
      </w:r>
      <w:r>
        <w:rPr>
          <w:rStyle w:val="43"/>
          <w:rFonts w:asciiTheme="majorEastAsia" w:hAnsiTheme="majorEastAsia" w:eastAsiaTheme="majorEastAsia"/>
        </w:rPr>
        <w:t>（七）</w:t>
      </w:r>
      <w:r>
        <w:rPr>
          <w:rFonts w:asciiTheme="minorHAnsi" w:hAnsiTheme="minorHAnsi" w:eastAsiaTheme="minorEastAsia" w:cstheme="minorBidi"/>
          <w:smallCaps w:val="0"/>
          <w:szCs w:val="22"/>
        </w:rPr>
        <w:tab/>
      </w:r>
      <w:r>
        <w:rPr>
          <w:rStyle w:val="43"/>
          <w:rFonts w:asciiTheme="majorEastAsia" w:hAnsiTheme="majorEastAsia" w:eastAsiaTheme="majorEastAsia"/>
        </w:rPr>
        <w:t>法定代表人证明书</w:t>
      </w:r>
      <w:r>
        <w:tab/>
      </w:r>
      <w:r>
        <w:fldChar w:fldCharType="begin"/>
      </w:r>
      <w:r>
        <w:instrText xml:space="preserve"> PAGEREF _Toc77947886 \h </w:instrText>
      </w:r>
      <w:r>
        <w:fldChar w:fldCharType="separate"/>
      </w:r>
      <w:r>
        <w:t>27</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"_Toc77947887" </w:instrText>
      </w:r>
      <w:r>
        <w:fldChar w:fldCharType="separate"/>
      </w:r>
      <w:r>
        <w:rPr>
          <w:rStyle w:val="43"/>
          <w:rFonts w:asciiTheme="majorEastAsia" w:hAnsiTheme="majorEastAsia" w:eastAsiaTheme="majorEastAsia"/>
        </w:rPr>
        <w:t>（八）</w:t>
      </w:r>
      <w:r>
        <w:rPr>
          <w:rFonts w:asciiTheme="minorHAnsi" w:hAnsiTheme="minorHAnsi" w:eastAsiaTheme="minorEastAsia" w:cstheme="minorBidi"/>
          <w:smallCaps w:val="0"/>
          <w:szCs w:val="22"/>
        </w:rPr>
        <w:tab/>
      </w:r>
      <w:r>
        <w:rPr>
          <w:rStyle w:val="43"/>
          <w:rFonts w:asciiTheme="majorEastAsia" w:hAnsiTheme="majorEastAsia" w:eastAsiaTheme="majorEastAsia"/>
        </w:rPr>
        <w:t>用户需求书条款响应一览表</w:t>
      </w:r>
      <w:r>
        <w:tab/>
      </w:r>
      <w:r>
        <w:fldChar w:fldCharType="begin"/>
      </w:r>
      <w:r>
        <w:instrText xml:space="preserve"> PAGEREF _Toc77947887 \h </w:instrText>
      </w:r>
      <w:r>
        <w:fldChar w:fldCharType="separate"/>
      </w:r>
      <w:r>
        <w:t>28</w:t>
      </w:r>
      <w:r>
        <w:fldChar w:fldCharType="end"/>
      </w:r>
      <w:r>
        <w:fldChar w:fldCharType="end"/>
      </w:r>
    </w:p>
    <w:p>
      <w:pPr>
        <w:pStyle w:val="27"/>
        <w:tabs>
          <w:tab w:val="right" w:leader="dot" w:pos="9170"/>
        </w:tabs>
        <w:rPr>
          <w:rFonts w:asciiTheme="minorHAnsi" w:hAnsiTheme="minorHAnsi" w:eastAsiaTheme="minorEastAsia" w:cstheme="minorBidi"/>
          <w:b w:val="0"/>
          <w:bCs w:val="0"/>
          <w:caps w:val="0"/>
          <w:szCs w:val="22"/>
        </w:rPr>
      </w:pPr>
      <w:r>
        <w:fldChar w:fldCharType="begin"/>
      </w:r>
      <w:r>
        <w:instrText xml:space="preserve"> HYPERLINK \l "_Toc77947888" </w:instrText>
      </w:r>
      <w:r>
        <w:fldChar w:fldCharType="separate"/>
      </w:r>
      <w:r>
        <w:rPr>
          <w:rStyle w:val="43"/>
          <w:rFonts w:asciiTheme="majorEastAsia" w:hAnsiTheme="majorEastAsia" w:eastAsiaTheme="majorEastAsia" w:cstheme="majorEastAsia"/>
        </w:rPr>
        <w:t>第七章 投标人须知</w:t>
      </w:r>
      <w:r>
        <w:tab/>
      </w:r>
      <w:r>
        <w:fldChar w:fldCharType="begin"/>
      </w:r>
      <w:r>
        <w:instrText xml:space="preserve"> PAGEREF _Toc77947888 \h </w:instrText>
      </w:r>
      <w:r>
        <w:fldChar w:fldCharType="separate"/>
      </w:r>
      <w:r>
        <w:t>29</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"_Toc77947889" </w:instrText>
      </w:r>
      <w:r>
        <w:fldChar w:fldCharType="separate"/>
      </w:r>
      <w:r>
        <w:rPr>
          <w:rStyle w:val="43"/>
          <w:rFonts w:asciiTheme="majorEastAsia" w:hAnsiTheme="majorEastAsia" w:eastAsiaTheme="majorEastAsia"/>
        </w:rPr>
        <w:t>（一）</w:t>
      </w:r>
      <w:r>
        <w:rPr>
          <w:rFonts w:asciiTheme="minorHAnsi" w:hAnsiTheme="minorHAnsi" w:eastAsiaTheme="minorEastAsia" w:cstheme="minorBidi"/>
          <w:smallCaps w:val="0"/>
          <w:szCs w:val="22"/>
        </w:rPr>
        <w:tab/>
      </w:r>
      <w:r>
        <w:rPr>
          <w:rStyle w:val="43"/>
          <w:rFonts w:asciiTheme="majorEastAsia" w:hAnsiTheme="majorEastAsia" w:eastAsiaTheme="majorEastAsia"/>
          <w:lang w:eastAsia="zh-TW"/>
        </w:rPr>
        <w:t>说 明</w:t>
      </w:r>
      <w:r>
        <w:tab/>
      </w:r>
      <w:r>
        <w:fldChar w:fldCharType="begin"/>
      </w:r>
      <w:r>
        <w:instrText xml:space="preserve"> PAGEREF _Toc77947889 \h </w:instrText>
      </w:r>
      <w:r>
        <w:fldChar w:fldCharType="separate"/>
      </w:r>
      <w:r>
        <w:t>29</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"_Toc77947890" </w:instrText>
      </w:r>
      <w:r>
        <w:fldChar w:fldCharType="separate"/>
      </w:r>
      <w:r>
        <w:rPr>
          <w:rStyle w:val="43"/>
          <w:rFonts w:asciiTheme="majorEastAsia" w:hAnsiTheme="majorEastAsia" w:eastAsiaTheme="majorEastAsia"/>
          <w:lang w:eastAsia="zh-TW"/>
        </w:rPr>
        <w:t>（二）</w:t>
      </w:r>
      <w:r>
        <w:rPr>
          <w:rFonts w:asciiTheme="minorHAnsi" w:hAnsiTheme="minorHAnsi" w:eastAsiaTheme="minorEastAsia" w:cstheme="minorBidi"/>
          <w:smallCaps w:val="0"/>
          <w:szCs w:val="22"/>
        </w:rPr>
        <w:tab/>
      </w:r>
      <w:r>
        <w:rPr>
          <w:rStyle w:val="43"/>
          <w:rFonts w:asciiTheme="majorEastAsia" w:hAnsiTheme="majorEastAsia" w:eastAsiaTheme="majorEastAsia"/>
          <w:lang w:eastAsia="zh-TW"/>
        </w:rPr>
        <w:t>招标文件</w:t>
      </w:r>
      <w:r>
        <w:tab/>
      </w:r>
      <w:r>
        <w:fldChar w:fldCharType="begin"/>
      </w:r>
      <w:r>
        <w:instrText xml:space="preserve"> PAGEREF _Toc77947890 \h </w:instrText>
      </w:r>
      <w:r>
        <w:fldChar w:fldCharType="separate"/>
      </w:r>
      <w:r>
        <w:t>30</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"_Toc77947891" </w:instrText>
      </w:r>
      <w:r>
        <w:fldChar w:fldCharType="separate"/>
      </w:r>
      <w:r>
        <w:rPr>
          <w:rStyle w:val="43"/>
          <w:rFonts w:asciiTheme="majorEastAsia" w:hAnsiTheme="majorEastAsia" w:eastAsiaTheme="majorEastAsia"/>
          <w:lang w:eastAsia="zh-TW"/>
        </w:rPr>
        <w:t>（三）</w:t>
      </w:r>
      <w:r>
        <w:rPr>
          <w:rFonts w:asciiTheme="minorHAnsi" w:hAnsiTheme="minorHAnsi" w:eastAsiaTheme="minorEastAsia" w:cstheme="minorBidi"/>
          <w:smallCaps w:val="0"/>
          <w:szCs w:val="22"/>
        </w:rPr>
        <w:tab/>
      </w:r>
      <w:r>
        <w:rPr>
          <w:rStyle w:val="43"/>
          <w:rFonts w:asciiTheme="majorEastAsia" w:hAnsiTheme="majorEastAsia" w:eastAsiaTheme="majorEastAsia"/>
          <w:lang w:eastAsia="zh-TW"/>
        </w:rPr>
        <w:t>投标文件的编制</w:t>
      </w:r>
      <w:r>
        <w:tab/>
      </w:r>
      <w:r>
        <w:fldChar w:fldCharType="begin"/>
      </w:r>
      <w:r>
        <w:instrText xml:space="preserve"> PAGEREF _Toc77947891 \h </w:instrText>
      </w:r>
      <w:r>
        <w:fldChar w:fldCharType="separate"/>
      </w:r>
      <w:r>
        <w:t>31</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"_Toc77947892" </w:instrText>
      </w:r>
      <w:r>
        <w:fldChar w:fldCharType="separate"/>
      </w:r>
      <w:r>
        <w:rPr>
          <w:rStyle w:val="43"/>
          <w:rFonts w:asciiTheme="majorEastAsia" w:hAnsiTheme="majorEastAsia" w:eastAsiaTheme="majorEastAsia"/>
          <w:lang w:eastAsia="zh-TW"/>
        </w:rPr>
        <w:t>（四）</w:t>
      </w:r>
      <w:r>
        <w:rPr>
          <w:rFonts w:asciiTheme="minorHAnsi" w:hAnsiTheme="minorHAnsi" w:eastAsiaTheme="minorEastAsia" w:cstheme="minorBidi"/>
          <w:smallCaps w:val="0"/>
          <w:szCs w:val="22"/>
        </w:rPr>
        <w:tab/>
      </w:r>
      <w:r>
        <w:rPr>
          <w:rStyle w:val="43"/>
          <w:rFonts w:asciiTheme="majorEastAsia" w:hAnsiTheme="majorEastAsia" w:eastAsiaTheme="majorEastAsia"/>
          <w:lang w:eastAsia="zh-TW"/>
        </w:rPr>
        <w:t>投标文件的递交</w:t>
      </w:r>
      <w:r>
        <w:tab/>
      </w:r>
      <w:r>
        <w:fldChar w:fldCharType="begin"/>
      </w:r>
      <w:r>
        <w:instrText xml:space="preserve"> PAGEREF _Toc77947892 \h </w:instrText>
      </w:r>
      <w:r>
        <w:fldChar w:fldCharType="separate"/>
      </w:r>
      <w:r>
        <w:t>33</w:t>
      </w:r>
      <w:r>
        <w:fldChar w:fldCharType="end"/>
      </w:r>
      <w:r>
        <w:fldChar w:fldCharType="end"/>
      </w:r>
    </w:p>
    <w:p>
      <w:pPr>
        <w:pStyle w:val="31"/>
        <w:tabs>
          <w:tab w:val="left" w:pos="1260"/>
          <w:tab w:val="right" w:leader="dot" w:pos="9170"/>
        </w:tabs>
        <w:rPr>
          <w:rFonts w:asciiTheme="minorHAnsi" w:hAnsiTheme="minorHAnsi" w:eastAsiaTheme="minorEastAsia" w:cstheme="minorBidi"/>
          <w:smallCaps w:val="0"/>
          <w:szCs w:val="22"/>
        </w:rPr>
      </w:pPr>
      <w:r>
        <w:fldChar w:fldCharType="begin"/>
      </w:r>
      <w:r>
        <w:instrText xml:space="preserve"> HYPERLINK \l "_Toc77947893" </w:instrText>
      </w:r>
      <w:r>
        <w:fldChar w:fldCharType="separate"/>
      </w:r>
      <w:r>
        <w:rPr>
          <w:rStyle w:val="43"/>
          <w:rFonts w:asciiTheme="majorEastAsia" w:hAnsiTheme="majorEastAsia" w:eastAsiaTheme="majorEastAsia"/>
          <w:lang w:eastAsia="zh-TW"/>
        </w:rPr>
        <w:t>（五）</w:t>
      </w:r>
      <w:r>
        <w:rPr>
          <w:rFonts w:asciiTheme="minorHAnsi" w:hAnsiTheme="minorHAnsi" w:eastAsiaTheme="minorEastAsia" w:cstheme="minorBidi"/>
          <w:smallCaps w:val="0"/>
          <w:szCs w:val="22"/>
        </w:rPr>
        <w:tab/>
      </w:r>
      <w:r>
        <w:rPr>
          <w:rStyle w:val="43"/>
          <w:rFonts w:asciiTheme="majorEastAsia" w:hAnsiTheme="majorEastAsia" w:eastAsiaTheme="majorEastAsia"/>
          <w:lang w:eastAsia="zh-TW"/>
        </w:rPr>
        <w:t>授予合同</w:t>
      </w:r>
      <w:r>
        <w:tab/>
      </w:r>
      <w:r>
        <w:fldChar w:fldCharType="begin"/>
      </w:r>
      <w:r>
        <w:instrText xml:space="preserve"> PAGEREF _Toc77947893 \h </w:instrText>
      </w:r>
      <w:r>
        <w:fldChar w:fldCharType="separate"/>
      </w:r>
      <w:r>
        <w:t>35</w:t>
      </w:r>
      <w:r>
        <w:fldChar w:fldCharType="end"/>
      </w:r>
      <w:r>
        <w:fldChar w:fldCharType="end"/>
      </w:r>
    </w:p>
    <w:p>
      <w:pPr>
        <w:widowControl/>
        <w:jc w:val="left"/>
        <w:rPr>
          <w:rFonts w:ascii="宋体" w:hAnsi="宋体" w:cs="宋体"/>
          <w:b/>
          <w:bCs/>
          <w:sz w:val="28"/>
          <w:szCs w:val="28"/>
        </w:rPr>
      </w:pPr>
      <w:r>
        <w:rPr>
          <w:rFonts w:hint="eastAsia" w:ascii="宋体" w:hAnsi="宋体" w:cs="宋体"/>
          <w:bCs/>
          <w:szCs w:val="28"/>
        </w:rPr>
        <w:fldChar w:fldCharType="end"/>
      </w:r>
    </w:p>
    <w:p>
      <w:pPr>
        <w:widowControl/>
        <w:jc w:val="left"/>
        <w:rPr>
          <w:rFonts w:ascii="宋体" w:hAnsi="宋体" w:cs="宋体"/>
          <w:b/>
          <w:bCs/>
          <w:sz w:val="28"/>
          <w:szCs w:val="28"/>
        </w:rPr>
      </w:pPr>
      <w:r>
        <w:rPr>
          <w:rFonts w:hint="eastAsia" w:ascii="宋体" w:hAnsi="宋体" w:cs="宋体"/>
          <w:b/>
          <w:bCs/>
          <w:sz w:val="28"/>
          <w:szCs w:val="28"/>
        </w:rPr>
        <w:br w:type="page"/>
      </w:r>
    </w:p>
    <w:p>
      <w:pPr>
        <w:pStyle w:val="2"/>
        <w:jc w:val="center"/>
        <w:rPr>
          <w:rFonts w:asciiTheme="majorEastAsia" w:hAnsiTheme="majorEastAsia" w:eastAsiaTheme="majorEastAsia" w:cstheme="majorEastAsia"/>
          <w:sz w:val="32"/>
          <w:szCs w:val="32"/>
        </w:rPr>
      </w:pPr>
      <w:bookmarkStart w:id="1" w:name="_Toc4815_WPSOffice_Level1"/>
      <w:bookmarkStart w:id="2" w:name="_Toc77947870"/>
      <w:bookmarkStart w:id="3" w:name="_Toc21804"/>
      <w:bookmarkStart w:id="4" w:name="_Toc8307299"/>
      <w:bookmarkStart w:id="5" w:name="_Toc16797"/>
      <w:r>
        <w:rPr>
          <w:rFonts w:hint="eastAsia" w:asciiTheme="majorEastAsia" w:hAnsiTheme="majorEastAsia" w:eastAsiaTheme="majorEastAsia" w:cstheme="majorEastAsia"/>
          <w:sz w:val="32"/>
          <w:szCs w:val="32"/>
        </w:rPr>
        <w:t>第一章 投标邀请</w:t>
      </w:r>
      <w:bookmarkEnd w:id="0"/>
      <w:bookmarkEnd w:id="1"/>
      <w:bookmarkEnd w:id="2"/>
      <w:bookmarkEnd w:id="3"/>
      <w:bookmarkEnd w:id="4"/>
      <w:bookmarkEnd w:id="5"/>
    </w:p>
    <w:p>
      <w:pPr>
        <w:adjustRightInd w:val="0"/>
        <w:snapToGrid w:val="0"/>
        <w:spacing w:line="360" w:lineRule="auto"/>
        <w:ind w:firstLine="420" w:firstLineChars="200"/>
        <w:rPr>
          <w:rFonts w:ascii="宋体" w:hAnsi="宋体" w:cs="宋体"/>
          <w:bCs/>
          <w:szCs w:val="20"/>
        </w:rPr>
      </w:pPr>
      <w:r>
        <w:rPr>
          <w:rFonts w:hint="eastAsia" w:ascii="宋体" w:hAnsi="宋体" w:cs="宋体"/>
          <w:szCs w:val="21"/>
        </w:rPr>
        <w:t>深圳市南山区沙河街道办事处</w:t>
      </w:r>
      <w:r>
        <w:rPr>
          <w:rFonts w:hint="eastAsia" w:ascii="宋体" w:hAnsi="宋体" w:cs="宋体"/>
          <w:bCs/>
          <w:szCs w:val="21"/>
        </w:rPr>
        <w:t>对</w:t>
      </w:r>
      <w:r>
        <w:rPr>
          <w:rFonts w:hint="eastAsia" w:ascii="宋体" w:hAnsi="宋体" w:cs="宋体"/>
          <w:szCs w:val="21"/>
        </w:rPr>
        <w:t>沙河街道中新街8栋和海棠阁内外墙维修翻新</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一、项目编号：NSSHJDMSWSS2021017</w:t>
      </w:r>
    </w:p>
    <w:p>
      <w:pPr>
        <w:tabs>
          <w:tab w:val="left" w:pos="567"/>
        </w:tabs>
        <w:adjustRightInd w:val="0"/>
        <w:snapToGrid w:val="0"/>
        <w:spacing w:line="360" w:lineRule="auto"/>
        <w:rPr>
          <w:rFonts w:ascii="宋体" w:hAnsi="宋体" w:cs="宋体"/>
        </w:rPr>
      </w:pPr>
      <w:r>
        <w:rPr>
          <w:rFonts w:hint="eastAsia" w:ascii="宋体" w:hAnsi="宋体" w:cs="宋体"/>
          <w:bCs/>
          <w:szCs w:val="20"/>
        </w:rPr>
        <w:t>二、采购项目名称：</w:t>
      </w:r>
      <w:r>
        <w:rPr>
          <w:rFonts w:hint="eastAsia" w:ascii="宋体" w:hAnsi="宋体" w:cs="宋体"/>
        </w:rPr>
        <w:t>沙河街道中新街8栋和海棠阁内外墙维修翻新</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三、采购项目内容及需求：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1</w:t>
      </w:r>
      <w:r>
        <w:rPr>
          <w:rFonts w:ascii="宋体" w:hAnsi="宋体" w:cs="宋体"/>
          <w:bCs/>
          <w:szCs w:val="20"/>
        </w:rPr>
        <w:t>.</w:t>
      </w:r>
      <w:r>
        <w:rPr>
          <w:rFonts w:hint="eastAsia" w:ascii="宋体" w:hAnsi="宋体" w:cs="宋体"/>
          <w:bCs/>
          <w:szCs w:val="20"/>
        </w:rPr>
        <w:t>采购项目内容及最高限价：</w:t>
      </w:r>
    </w:p>
    <w:tbl>
      <w:tblPr>
        <w:tblStyle w:val="36"/>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709"/>
        <w:gridCol w:w="289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775" w:type="dxa"/>
            <w:shd w:val="clear" w:color="auto" w:fill="EEECE1"/>
            <w:vAlign w:val="center"/>
          </w:tcPr>
          <w:p>
            <w:pPr>
              <w:jc w:val="center"/>
              <w:rPr>
                <w:rFonts w:ascii="宋体"/>
                <w:b/>
                <w:szCs w:val="21"/>
              </w:rPr>
            </w:pPr>
            <w:r>
              <w:rPr>
                <w:rFonts w:hint="eastAsia" w:ascii="宋体"/>
                <w:b/>
                <w:szCs w:val="21"/>
              </w:rPr>
              <w:t>采购内容</w:t>
            </w:r>
          </w:p>
        </w:tc>
        <w:tc>
          <w:tcPr>
            <w:tcW w:w="709" w:type="dxa"/>
            <w:shd w:val="clear" w:color="auto" w:fill="EEECE1"/>
            <w:vAlign w:val="center"/>
          </w:tcPr>
          <w:p>
            <w:pPr>
              <w:jc w:val="center"/>
              <w:rPr>
                <w:rFonts w:ascii="宋体"/>
                <w:b/>
                <w:szCs w:val="21"/>
              </w:rPr>
            </w:pPr>
            <w:r>
              <w:rPr>
                <w:rFonts w:hint="eastAsia" w:ascii="宋体"/>
                <w:b/>
                <w:szCs w:val="21"/>
              </w:rPr>
              <w:t>数量</w:t>
            </w:r>
          </w:p>
        </w:tc>
        <w:tc>
          <w:tcPr>
            <w:tcW w:w="2899" w:type="dxa"/>
            <w:shd w:val="clear" w:color="auto" w:fill="EEECE1"/>
            <w:vAlign w:val="center"/>
          </w:tcPr>
          <w:p>
            <w:pPr>
              <w:jc w:val="center"/>
              <w:rPr>
                <w:rFonts w:ascii="宋体"/>
                <w:b/>
                <w:szCs w:val="21"/>
              </w:rPr>
            </w:pPr>
            <w:r>
              <w:rPr>
                <w:rFonts w:hint="eastAsia" w:ascii="宋体"/>
                <w:b/>
                <w:szCs w:val="21"/>
              </w:rPr>
              <w:t>工期</w:t>
            </w:r>
          </w:p>
        </w:tc>
        <w:tc>
          <w:tcPr>
            <w:tcW w:w="2109" w:type="dxa"/>
            <w:shd w:val="clear" w:color="auto" w:fill="EEECE1"/>
            <w:vAlign w:val="center"/>
          </w:tcPr>
          <w:p>
            <w:pPr>
              <w:jc w:val="center"/>
              <w:rPr>
                <w:rFonts w:ascii="宋体"/>
                <w:b/>
                <w:szCs w:val="21"/>
              </w:rPr>
            </w:pPr>
            <w:r>
              <w:rPr>
                <w:rFonts w:hint="eastAsia" w:ascii="宋体"/>
                <w:b/>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775" w:type="dxa"/>
            <w:vAlign w:val="center"/>
          </w:tcPr>
          <w:p>
            <w:pPr>
              <w:jc w:val="center"/>
              <w:rPr>
                <w:rFonts w:ascii="宋体"/>
                <w:bCs/>
                <w:szCs w:val="21"/>
              </w:rPr>
            </w:pPr>
            <w:r>
              <w:rPr>
                <w:rFonts w:hint="eastAsia" w:ascii="宋体" w:hAnsi="宋体" w:cs="宋体"/>
              </w:rPr>
              <w:t>沙河街道中新街8栋和海棠阁内外墙维修翻新</w:t>
            </w:r>
          </w:p>
        </w:tc>
        <w:tc>
          <w:tcPr>
            <w:tcW w:w="709" w:type="dxa"/>
            <w:vAlign w:val="center"/>
          </w:tcPr>
          <w:p>
            <w:pPr>
              <w:jc w:val="center"/>
              <w:rPr>
                <w:rFonts w:ascii="宋体"/>
                <w:bCs/>
                <w:szCs w:val="21"/>
              </w:rPr>
            </w:pPr>
            <w:r>
              <w:rPr>
                <w:rFonts w:hint="eastAsia" w:ascii="宋体"/>
                <w:bCs/>
                <w:szCs w:val="21"/>
              </w:rPr>
              <w:t>1项</w:t>
            </w:r>
          </w:p>
        </w:tc>
        <w:tc>
          <w:tcPr>
            <w:tcW w:w="2899" w:type="dxa"/>
            <w:vAlign w:val="center"/>
          </w:tcPr>
          <w:p>
            <w:pPr>
              <w:pStyle w:val="74"/>
              <w:spacing w:line="240" w:lineRule="auto"/>
              <w:rPr>
                <w:snapToGrid/>
                <w:spacing w:val="0"/>
                <w:kern w:val="2"/>
                <w:sz w:val="21"/>
                <w:szCs w:val="24"/>
              </w:rPr>
            </w:pPr>
            <w:r>
              <w:rPr>
                <w:rFonts w:hint="eastAsia"/>
                <w:snapToGrid/>
                <w:spacing w:val="0"/>
                <w:kern w:val="2"/>
                <w:sz w:val="21"/>
                <w:szCs w:val="24"/>
              </w:rPr>
              <w:t>自合同签订之日起60天</w:t>
            </w:r>
          </w:p>
        </w:tc>
        <w:tc>
          <w:tcPr>
            <w:tcW w:w="2109" w:type="dxa"/>
            <w:vAlign w:val="center"/>
          </w:tcPr>
          <w:p>
            <w:pPr>
              <w:pStyle w:val="74"/>
              <w:spacing w:line="240" w:lineRule="auto"/>
              <w:rPr>
                <w:snapToGrid/>
                <w:spacing w:val="0"/>
                <w:kern w:val="2"/>
                <w:sz w:val="21"/>
                <w:szCs w:val="24"/>
              </w:rPr>
            </w:pPr>
            <w:r>
              <w:rPr>
                <w:rFonts w:hint="eastAsia" w:ascii="宋体" w:hAnsi="宋体"/>
                <w:snapToGrid/>
                <w:spacing w:val="0"/>
                <w:kern w:val="2"/>
                <w:sz w:val="21"/>
                <w:szCs w:val="21"/>
              </w:rPr>
              <w:t>人民币</w:t>
            </w:r>
            <w:r>
              <w:rPr>
                <w:rFonts w:ascii="宋体" w:hAnsi="宋体"/>
                <w:snapToGrid/>
                <w:spacing w:val="0"/>
                <w:kern w:val="2"/>
                <w:sz w:val="21"/>
                <w:szCs w:val="21"/>
              </w:rPr>
              <w:t>88.4</w:t>
            </w:r>
            <w:r>
              <w:rPr>
                <w:rFonts w:hint="eastAsia" w:ascii="宋体" w:hAnsi="宋体"/>
                <w:snapToGrid/>
                <w:spacing w:val="0"/>
                <w:kern w:val="2"/>
                <w:sz w:val="21"/>
                <w:szCs w:val="21"/>
              </w:rPr>
              <w:t>万元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2</w:t>
      </w:r>
      <w:r>
        <w:rPr>
          <w:rFonts w:ascii="宋体" w:hAnsi="宋体" w:cs="宋体"/>
          <w:bCs/>
          <w:szCs w:val="20"/>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rPr>
        <w:t>3</w:t>
      </w:r>
      <w:r>
        <w:rPr>
          <w:rFonts w:ascii="宋体" w:hAnsi="宋体" w:cs="宋体"/>
          <w:bCs/>
          <w:szCs w:val="20"/>
        </w:rPr>
        <w:t>.</w:t>
      </w:r>
      <w:r>
        <w:rPr>
          <w:rFonts w:hint="eastAsia" w:ascii="宋体" w:hAnsi="宋体" w:cs="宋体"/>
          <w:bCs/>
          <w:szCs w:val="20"/>
        </w:rPr>
        <w:t>本项目不接受进口</w:t>
      </w:r>
      <w:r>
        <w:rPr>
          <w:rFonts w:hint="eastAsia" w:ascii="宋体"/>
          <w:bCs/>
          <w:szCs w:val="20"/>
        </w:rPr>
        <w:t>产品\服务。</w:t>
      </w:r>
    </w:p>
    <w:p>
      <w:pPr>
        <w:adjustRightInd w:val="0"/>
        <w:snapToGrid w:val="0"/>
        <w:spacing w:line="360" w:lineRule="auto"/>
        <w:ind w:firstLine="424" w:firstLineChars="202"/>
        <w:rPr>
          <w:rFonts w:ascii="宋体"/>
          <w:bCs/>
          <w:szCs w:val="20"/>
        </w:rPr>
      </w:pPr>
      <w:r>
        <w:rPr>
          <w:rFonts w:hint="eastAsia" w:ascii="宋体"/>
          <w:bCs/>
          <w:szCs w:val="20"/>
        </w:rPr>
        <w:t>4</w:t>
      </w:r>
      <w:r>
        <w:rPr>
          <w:rFonts w:ascii="宋体"/>
          <w:bCs/>
          <w:szCs w:val="20"/>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四、投标人的资格要求：</w:t>
      </w:r>
    </w:p>
    <w:p>
      <w:pPr>
        <w:pStyle w:val="82"/>
        <w:adjustRightInd w:val="0"/>
        <w:snapToGrid w:val="0"/>
        <w:spacing w:line="360" w:lineRule="auto"/>
        <w:ind w:firstLine="424" w:firstLineChars="202"/>
        <w:rPr>
          <w:rFonts w:ascii="宋体" w:hAnsi="宋体"/>
          <w:bCs/>
          <w:szCs w:val="21"/>
        </w:rPr>
      </w:pPr>
      <w:bookmarkStart w:id="6" w:name="_Toc435115052"/>
      <w:bookmarkStart w:id="7" w:name="_Toc435514843"/>
      <w:r>
        <w:rPr>
          <w:rFonts w:hint="eastAsia" w:ascii="宋体" w:hAnsi="宋体"/>
          <w:bCs/>
          <w:szCs w:val="21"/>
        </w:rPr>
        <w:t>1</w:t>
      </w:r>
      <w:r>
        <w:rPr>
          <w:rFonts w:ascii="宋体" w:hAnsi="宋体"/>
          <w:bCs/>
          <w:szCs w:val="21"/>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82"/>
        <w:adjustRightInd w:val="0"/>
        <w:snapToGrid w:val="0"/>
        <w:spacing w:line="360" w:lineRule="auto"/>
        <w:ind w:firstLine="424" w:firstLineChars="202"/>
        <w:rPr>
          <w:rFonts w:ascii="宋体" w:hAnsi="宋体" w:cs="宋体"/>
          <w:bCs/>
          <w:szCs w:val="20"/>
        </w:rPr>
      </w:pPr>
      <w:r>
        <w:rPr>
          <w:rFonts w:hint="eastAsia" w:ascii="宋体" w:hAnsi="宋体" w:cs="宋体"/>
          <w:bCs/>
          <w:szCs w:val="20"/>
        </w:rPr>
        <w:t>2</w:t>
      </w:r>
      <w:r>
        <w:rPr>
          <w:rFonts w:ascii="宋体" w:hAnsi="宋体" w:cs="宋体"/>
          <w:bCs/>
          <w:szCs w:val="20"/>
        </w:rPr>
        <w:t>.</w:t>
      </w:r>
      <w:r>
        <w:rPr>
          <w:rFonts w:hint="eastAsia" w:ascii="宋体" w:hAnsi="宋体" w:cs="宋体"/>
          <w:bCs/>
          <w:szCs w:val="20"/>
        </w:rPr>
        <w:t>投标人须具有</w:t>
      </w:r>
      <w:r>
        <w:rPr>
          <w:rFonts w:hint="eastAsia"/>
        </w:rPr>
        <w:t>建筑装修装饰工程专业承包二级或以上（建筑装修装饰工程专业承包乙级或以上）资质，</w:t>
      </w:r>
      <w:r>
        <w:rPr>
          <w:rFonts w:hint="eastAsia" w:ascii="宋体" w:hAnsi="宋体" w:cs="宋体"/>
          <w:bCs/>
          <w:szCs w:val="20"/>
        </w:rPr>
        <w:t>提供资质证书复印件。</w:t>
      </w:r>
    </w:p>
    <w:p>
      <w:pPr>
        <w:pStyle w:val="82"/>
        <w:adjustRightInd w:val="0"/>
        <w:snapToGrid w:val="0"/>
        <w:spacing w:line="360" w:lineRule="auto"/>
        <w:ind w:firstLine="424" w:firstLineChars="202"/>
        <w:rPr>
          <w:rFonts w:ascii="宋体" w:hAnsi="宋体" w:cs="宋体"/>
          <w:bCs/>
          <w:szCs w:val="20"/>
        </w:rPr>
      </w:pPr>
      <w:r>
        <w:rPr>
          <w:rFonts w:hint="eastAsia" w:ascii="宋体" w:hAnsi="宋体" w:cs="宋体"/>
          <w:bCs/>
          <w:szCs w:val="20"/>
        </w:rPr>
        <w:t>3</w:t>
      </w:r>
      <w:r>
        <w:rPr>
          <w:rFonts w:ascii="宋体" w:hAnsi="宋体" w:cs="宋体"/>
          <w:bCs/>
          <w:szCs w:val="20"/>
        </w:rPr>
        <w:t>.</w:t>
      </w:r>
      <w:r>
        <w:rPr>
          <w:rFonts w:hint="eastAsia" w:ascii="宋体" w:hAnsi="宋体" w:cs="宋体"/>
          <w:bCs/>
          <w:szCs w:val="20"/>
        </w:rPr>
        <w:t xml:space="preserve"> 投标人须具有《安全生产许可证》，提供许可证复印件。</w:t>
      </w:r>
    </w:p>
    <w:p>
      <w:pPr>
        <w:pStyle w:val="82"/>
        <w:adjustRightInd w:val="0"/>
        <w:snapToGrid w:val="0"/>
        <w:spacing w:line="360" w:lineRule="auto"/>
        <w:ind w:firstLine="424" w:firstLineChars="202"/>
        <w:rPr>
          <w:rFonts w:ascii="宋体" w:hAnsi="宋体" w:cs="宋体"/>
          <w:bCs/>
          <w:szCs w:val="20"/>
        </w:rPr>
      </w:pPr>
      <w:r>
        <w:rPr>
          <w:rFonts w:ascii="宋体" w:hAnsi="宋体" w:cs="宋体"/>
          <w:bCs/>
          <w:szCs w:val="20"/>
        </w:rPr>
        <w:t>4..</w:t>
      </w:r>
      <w:r>
        <w:rPr>
          <w:rFonts w:hint="eastAsia" w:ascii="宋体" w:hAnsi="宋体" w:cs="宋体"/>
          <w:bCs/>
          <w:szCs w:val="20"/>
        </w:rPr>
        <w:t>本项目不接受联合体投标。</w:t>
      </w:r>
    </w:p>
    <w:p>
      <w:pPr>
        <w:spacing w:line="360" w:lineRule="auto"/>
        <w:ind w:firstLine="420" w:firstLineChars="200"/>
        <w:rPr>
          <w:rFonts w:ascii="宋体" w:hAnsi="宋体" w:cs="宋体"/>
          <w:kern w:val="0"/>
          <w:szCs w:val="21"/>
        </w:rPr>
      </w:pPr>
      <w:r>
        <w:rPr>
          <w:rFonts w:ascii="宋体" w:hAnsi="宋体" w:cs="宋体"/>
          <w:kern w:val="0"/>
        </w:rPr>
        <w:t>5.</w:t>
      </w:r>
      <w:r>
        <w:rPr>
          <w:rFonts w:hint="eastAsia" w:ascii="宋体" w:hAnsi="宋体" w:cs="宋体"/>
          <w:kern w:val="0"/>
        </w:rPr>
        <w:t>参与本项目投标前三年内，在经营活动中没有重大违法记录（由供应商在《</w:t>
      </w:r>
      <w:r>
        <w:rPr>
          <w:rFonts w:hint="eastAsia"/>
        </w:rPr>
        <w:t>投标人资格声明函</w:t>
      </w:r>
      <w:r>
        <w:rPr>
          <w:rFonts w:hint="eastAsia" w:ascii="宋体" w:hAnsi="宋体" w:cs="宋体"/>
          <w:kern w:val="0"/>
        </w:rPr>
        <w:t>》中作出声明）。</w:t>
      </w:r>
    </w:p>
    <w:p>
      <w:pPr>
        <w:spacing w:line="360" w:lineRule="auto"/>
        <w:ind w:firstLine="420" w:firstLineChars="200"/>
        <w:rPr>
          <w:rFonts w:ascii="宋体" w:hAnsi="宋体" w:cs="宋体"/>
          <w:kern w:val="0"/>
        </w:rPr>
      </w:pPr>
      <w:r>
        <w:rPr>
          <w:rFonts w:ascii="宋体" w:hAnsi="宋体" w:cs="宋体"/>
          <w:kern w:val="0"/>
        </w:rPr>
        <w:t>6.</w:t>
      </w:r>
      <w:r>
        <w:rPr>
          <w:rFonts w:hint="eastAsia" w:ascii="宋体" w:hAnsi="宋体" w:cs="宋体"/>
          <w:kern w:val="0"/>
        </w:rPr>
        <w:t>参与本项目政府采购活动时不存在被有关部门禁止参与政府采购活动且在有效期内的情况（由供应商在《</w:t>
      </w:r>
      <w:r>
        <w:rPr>
          <w:rFonts w:hint="eastAsia"/>
        </w:rPr>
        <w:t>投标人资格声明函</w:t>
      </w:r>
      <w:r>
        <w:rPr>
          <w:rFonts w:hint="eastAsia" w:ascii="宋体" w:hAnsi="宋体" w:cs="宋体"/>
          <w:kern w:val="0"/>
        </w:rPr>
        <w:t>》中作出声明）。</w:t>
      </w:r>
    </w:p>
    <w:p>
      <w:pPr>
        <w:autoSpaceDE w:val="0"/>
        <w:autoSpaceDN w:val="0"/>
        <w:adjustRightInd w:val="0"/>
        <w:spacing w:line="360" w:lineRule="auto"/>
        <w:ind w:firstLine="420" w:firstLineChars="200"/>
        <w:jc w:val="left"/>
        <w:rPr>
          <w:rFonts w:ascii="宋体" w:hAnsi="宋体" w:cs="宋体"/>
          <w:kern w:val="0"/>
        </w:rPr>
      </w:pPr>
      <w:r>
        <w:rPr>
          <w:rFonts w:ascii="宋体" w:hAnsi="宋体" w:cs="宋体"/>
          <w:kern w:val="0"/>
        </w:rPr>
        <w:t>7.</w:t>
      </w:r>
      <w:r>
        <w:rPr>
          <w:rFonts w:hint="eastAsia" w:ascii="宋体" w:hAnsi="宋体"/>
        </w:rPr>
        <w:t>具备《中华人民共和国政府采购法》第二十二条第一款的条件</w:t>
      </w:r>
      <w:r>
        <w:rPr>
          <w:rFonts w:hint="eastAsia" w:ascii="宋体" w:hAnsi="宋体" w:cs="宋体"/>
          <w:kern w:val="0"/>
        </w:rPr>
        <w:t>（由供应商在《</w:t>
      </w:r>
      <w:r>
        <w:rPr>
          <w:rFonts w:hint="eastAsia"/>
        </w:rPr>
        <w:t>投标人资格声明函</w:t>
      </w:r>
      <w:r>
        <w:rPr>
          <w:rFonts w:hint="eastAsia" w:ascii="宋体" w:hAnsi="宋体" w:cs="宋体"/>
          <w:kern w:val="0"/>
        </w:rPr>
        <w:t>》中作出声明）。</w:t>
      </w:r>
    </w:p>
    <w:p>
      <w:pPr>
        <w:pStyle w:val="82"/>
        <w:adjustRightInd w:val="0"/>
        <w:snapToGrid w:val="0"/>
        <w:spacing w:line="360" w:lineRule="auto"/>
        <w:rPr>
          <w:rFonts w:ascii="宋体" w:hAnsi="宋体" w:cs="宋体"/>
          <w:kern w:val="0"/>
        </w:rPr>
      </w:pPr>
      <w:r>
        <w:rPr>
          <w:rFonts w:ascii="宋体" w:hAnsi="宋体" w:cs="宋体"/>
          <w:kern w:val="0"/>
        </w:rPr>
        <w:t>8.</w:t>
      </w:r>
      <w:r>
        <w:rPr>
          <w:rFonts w:hint="eastAsia" w:ascii="宋体" w:hAnsi="宋体" w:cs="宋体"/>
          <w:kern w:val="0"/>
        </w:rPr>
        <w:t>参与政府采购项目投标的供应商</w:t>
      </w:r>
      <w:r>
        <w:rPr>
          <w:rFonts w:hint="eastAsia"/>
        </w:rPr>
        <w:t>未被列入失信被执行人、重大税收违法案件当事人名单、政府采购严重违法失信行为记录名单（</w:t>
      </w:r>
      <w:r>
        <w:rPr>
          <w:rFonts w:hint="eastAsia" w:ascii="宋体" w:hAnsi="宋体" w:cs="宋体"/>
          <w:kern w:val="0"/>
        </w:rPr>
        <w:t>由供应商在《</w:t>
      </w:r>
      <w:r>
        <w:rPr>
          <w:rFonts w:hint="eastAsia"/>
        </w:rPr>
        <w:t>投标人资格声明函</w:t>
      </w:r>
      <w:r>
        <w:rPr>
          <w:rFonts w:hint="eastAsia" w:ascii="宋体" w:hAnsi="宋体" w:cs="宋体"/>
          <w:kern w:val="0"/>
        </w:rPr>
        <w:t>》中作出声明）。</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五、符合资格的供应商应当在2021年7月26日至2021年8月2日期间（不少于5个工作日），上午10：00-12：00，下午15：00-17：30，法定节假日除外，到深圳市南山区沙河街道办事处（详细地址：深圳市南山区深云路博达大厦一楼-城市建设办公室）提交报名文件，报名文件资料包括：营业执照复印件、资质证明复印件、法定代表人证明、法定代表人授权委托书、企业法人代表身份证复印件、委托人身份证复印件。</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六、接收投标文件时间：2021年7月26日至2021年8月2日上午10：00-12：00，下午15：00-17：30。</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七、提交投标文件地点：深圳市南山区深云路博达大厦一楼-城市建设办公室。</w:t>
      </w:r>
    </w:p>
    <w:p>
      <w:pPr>
        <w:tabs>
          <w:tab w:val="left" w:pos="425"/>
          <w:tab w:val="left" w:pos="567"/>
          <w:tab w:val="left" w:pos="728"/>
        </w:tabs>
        <w:adjustRightInd w:val="0"/>
        <w:snapToGrid w:val="0"/>
        <w:spacing w:line="360" w:lineRule="auto"/>
        <w:rPr>
          <w:rFonts w:ascii="宋体" w:hAnsi="宋体" w:cs="宋体"/>
          <w:bCs/>
          <w:szCs w:val="20"/>
        </w:rPr>
      </w:pPr>
      <w:r>
        <w:rPr>
          <w:rFonts w:hint="eastAsia" w:ascii="宋体" w:hAnsi="宋体" w:cs="宋体"/>
          <w:bCs/>
          <w:szCs w:val="20"/>
        </w:rPr>
        <w:t>八、投标截止时间：2021年8月2日下午17：30。</w:t>
      </w:r>
    </w:p>
    <w:p>
      <w:pPr>
        <w:tabs>
          <w:tab w:val="left" w:pos="425"/>
          <w:tab w:val="left" w:pos="567"/>
          <w:tab w:val="left" w:pos="728"/>
        </w:tabs>
        <w:adjustRightInd w:val="0"/>
        <w:snapToGrid w:val="0"/>
        <w:spacing w:line="360" w:lineRule="auto"/>
        <w:rPr>
          <w:rFonts w:ascii="宋体" w:hAnsi="宋体" w:cs="宋体"/>
          <w:bCs/>
          <w:szCs w:val="20"/>
        </w:rPr>
      </w:pPr>
      <w:r>
        <w:rPr>
          <w:rFonts w:hint="eastAsia" w:ascii="宋体" w:hAnsi="宋体" w:cs="宋体"/>
          <w:bCs/>
          <w:szCs w:val="20"/>
        </w:rPr>
        <w:t>评标、定标时间：投标截止后5个工作日内，我街道召开评标、定标会议。</w:t>
      </w:r>
    </w:p>
    <w:p>
      <w:pPr>
        <w:tabs>
          <w:tab w:val="left" w:pos="567"/>
          <w:tab w:val="left" w:pos="728"/>
        </w:tabs>
        <w:adjustRightInd w:val="0"/>
        <w:snapToGrid w:val="0"/>
        <w:spacing w:line="360" w:lineRule="auto"/>
        <w:rPr>
          <w:rFonts w:ascii="宋体" w:hAnsi="宋体" w:cs="宋体"/>
          <w:bCs/>
          <w:szCs w:val="20"/>
        </w:rPr>
      </w:pPr>
      <w:r>
        <w:rPr>
          <w:rFonts w:hint="eastAsia" w:ascii="宋体" w:hAnsi="宋体" w:cs="宋体"/>
          <w:bCs/>
          <w:szCs w:val="20"/>
        </w:rPr>
        <w:t>九、评标、定标地点：深圳市南山区沙河街道办事处。</w:t>
      </w:r>
    </w:p>
    <w:p>
      <w:pPr>
        <w:tabs>
          <w:tab w:val="left" w:pos="425"/>
          <w:tab w:val="left" w:pos="567"/>
          <w:tab w:val="left" w:pos="728"/>
        </w:tabs>
        <w:adjustRightInd w:val="0"/>
        <w:snapToGrid w:val="0"/>
        <w:spacing w:line="360" w:lineRule="auto"/>
        <w:rPr>
          <w:rFonts w:ascii="宋体" w:hAnsi="宋体" w:cs="宋体"/>
          <w:szCs w:val="21"/>
        </w:rPr>
      </w:pPr>
      <w:r>
        <w:rPr>
          <w:rFonts w:hint="eastAsia" w:ascii="宋体" w:hAnsi="宋体"/>
          <w:bCs/>
          <w:szCs w:val="21"/>
        </w:rPr>
        <w:t>十、本项目相关公告在以下媒体发布:</w:t>
      </w:r>
    </w:p>
    <w:p>
      <w:pPr>
        <w:tabs>
          <w:tab w:val="left" w:pos="567"/>
        </w:tabs>
        <w:adjustRightInd w:val="0"/>
        <w:snapToGrid w:val="0"/>
        <w:spacing w:line="360" w:lineRule="auto"/>
        <w:rPr>
          <w:rFonts w:ascii="宋体" w:hAnsi="宋体" w:cs="宋体"/>
          <w:bCs/>
          <w:szCs w:val="20"/>
        </w:rPr>
      </w:pPr>
      <w:r>
        <w:rPr>
          <w:rFonts w:hint="eastAsia" w:ascii="宋体" w:hAnsi="宋体" w:cs="宋体"/>
          <w:bCs/>
          <w:szCs w:val="20"/>
        </w:rPr>
        <w:t>深圳市南山区沙河街道办事处政府信息公开界面：</w:t>
      </w:r>
    </w:p>
    <w:p>
      <w:pPr>
        <w:tabs>
          <w:tab w:val="left" w:pos="567"/>
        </w:tabs>
        <w:adjustRightInd w:val="0"/>
        <w:snapToGrid w:val="0"/>
        <w:spacing w:line="360" w:lineRule="auto"/>
        <w:rPr>
          <w:rFonts w:ascii="宋体" w:hAnsi="宋体" w:cs="宋体"/>
          <w:bCs/>
          <w:szCs w:val="21"/>
        </w:rPr>
      </w:pPr>
      <w:r>
        <w:rPr>
          <w:rFonts w:hint="eastAsia" w:ascii="宋体" w:hAnsi="宋体" w:cs="宋体"/>
          <w:bCs/>
          <w:szCs w:val="20"/>
        </w:rPr>
        <w:t>http://www.szns.gov.cn/nsshjdb/gkmlpt/index。</w:t>
      </w:r>
      <w:r>
        <w:rPr>
          <w:rFonts w:hint="eastAsia" w:ascii="宋体" w:hAnsi="宋体"/>
          <w:szCs w:val="21"/>
        </w:rPr>
        <w:t>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szCs w:val="20"/>
        </w:rPr>
      </w:pPr>
      <w:r>
        <w:rPr>
          <w:rFonts w:hint="eastAsia" w:ascii="宋体" w:hAnsi="宋体" w:cs="宋体"/>
          <w:bCs/>
          <w:szCs w:val="20"/>
        </w:rPr>
        <w:t>十一、本公告期限（5个工作日）自2021年7月2</w:t>
      </w:r>
      <w:r>
        <w:rPr>
          <w:rFonts w:ascii="宋体" w:hAnsi="宋体" w:cs="宋体"/>
          <w:bCs/>
          <w:szCs w:val="20"/>
        </w:rPr>
        <w:t>7</w:t>
      </w:r>
      <w:r>
        <w:rPr>
          <w:rFonts w:hint="eastAsia" w:ascii="宋体" w:hAnsi="宋体" w:cs="宋体"/>
          <w:bCs/>
          <w:szCs w:val="20"/>
        </w:rPr>
        <w:t>日至2021年8月2日止。</w:t>
      </w:r>
    </w:p>
    <w:p>
      <w:pPr>
        <w:tabs>
          <w:tab w:val="left" w:pos="425"/>
          <w:tab w:val="left" w:pos="567"/>
          <w:tab w:val="left" w:pos="728"/>
        </w:tabs>
        <w:spacing w:line="360" w:lineRule="auto"/>
        <w:rPr>
          <w:rFonts w:ascii="宋体" w:hAnsi="宋体" w:cs="宋体"/>
          <w:bCs/>
          <w:szCs w:val="21"/>
        </w:rPr>
      </w:pPr>
      <w:r>
        <w:rPr>
          <w:rFonts w:hint="eastAsia" w:ascii="宋体" w:hAnsi="宋体" w:cs="宋体"/>
          <w:szCs w:val="21"/>
        </w:rPr>
        <w:t>十二、联系事项：</w:t>
      </w:r>
    </w:p>
    <w:p>
      <w:pPr>
        <w:pStyle w:val="68"/>
        <w:spacing w:line="360" w:lineRule="auto"/>
        <w:ind w:left="720" w:firstLine="0"/>
        <w:rPr>
          <w:rFonts w:ascii="宋体" w:hAnsi="宋体" w:cs="宋体"/>
          <w:szCs w:val="21"/>
        </w:rPr>
      </w:pPr>
      <w:r>
        <w:rPr>
          <w:rFonts w:hint="eastAsia" w:ascii="宋体" w:hAnsi="宋体" w:cs="宋体"/>
          <w:szCs w:val="21"/>
        </w:rPr>
        <w:t>采购人：深圳市南山区沙河街道办事处</w:t>
      </w:r>
    </w:p>
    <w:p>
      <w:pPr>
        <w:pStyle w:val="68"/>
        <w:spacing w:line="360" w:lineRule="auto"/>
        <w:ind w:left="720" w:firstLine="0"/>
        <w:rPr>
          <w:rFonts w:ascii="宋体" w:hAnsi="宋体" w:cs="宋体"/>
          <w:szCs w:val="21"/>
        </w:rPr>
      </w:pPr>
      <w:r>
        <w:rPr>
          <w:rFonts w:hint="eastAsia" w:ascii="宋体" w:hAnsi="宋体" w:cs="宋体"/>
          <w:szCs w:val="21"/>
        </w:rPr>
        <w:t>地址：深圳市南山区深云路6号博达大厦一楼城市建设办公室</w:t>
      </w:r>
    </w:p>
    <w:p>
      <w:pPr>
        <w:pStyle w:val="68"/>
        <w:spacing w:line="360" w:lineRule="auto"/>
        <w:ind w:left="720" w:firstLine="0"/>
        <w:rPr>
          <w:rFonts w:ascii="宋体" w:hAnsi="宋体" w:cs="宋体"/>
          <w:szCs w:val="21"/>
        </w:rPr>
      </w:pPr>
      <w:r>
        <w:rPr>
          <w:rFonts w:hint="eastAsia" w:ascii="宋体" w:hAnsi="宋体" w:cs="宋体"/>
          <w:szCs w:val="21"/>
        </w:rPr>
        <w:t>联系人：周工</w:t>
      </w:r>
    </w:p>
    <w:p>
      <w:pPr>
        <w:pStyle w:val="68"/>
        <w:spacing w:line="360" w:lineRule="auto"/>
        <w:ind w:left="720" w:firstLine="0"/>
        <w:rPr>
          <w:rFonts w:ascii="宋体" w:hAnsi="宋体"/>
          <w:szCs w:val="21"/>
        </w:rPr>
      </w:pPr>
      <w:r>
        <w:rPr>
          <w:rFonts w:hint="eastAsia" w:ascii="宋体" w:hAnsi="宋体"/>
          <w:szCs w:val="21"/>
        </w:rPr>
        <w:t>联系电话：0755-26905311</w:t>
      </w:r>
    </w:p>
    <w:p>
      <w:pPr>
        <w:pStyle w:val="68"/>
        <w:spacing w:line="360" w:lineRule="auto"/>
        <w:ind w:left="720" w:firstLine="0"/>
        <w:rPr>
          <w:rFonts w:ascii="宋体" w:hAnsi="宋体" w:cs="宋体"/>
          <w:color w:val="000000"/>
          <w:szCs w:val="21"/>
        </w:rPr>
      </w:pPr>
    </w:p>
    <w:p>
      <w:pPr>
        <w:tabs>
          <w:tab w:val="right" w:pos="9180"/>
        </w:tabs>
        <w:adjustRightInd w:val="0"/>
        <w:snapToGrid w:val="0"/>
        <w:spacing w:line="360" w:lineRule="auto"/>
        <w:ind w:firstLine="435"/>
        <w:jc w:val="right"/>
        <w:rPr>
          <w:b/>
        </w:rPr>
      </w:pPr>
      <w:r>
        <w:rPr>
          <w:b/>
        </w:rPr>
        <w:tab/>
      </w:r>
      <w:r>
        <w:rPr>
          <w:rFonts w:hint="eastAsia"/>
          <w:b/>
        </w:rPr>
        <w:t>发布人：</w:t>
      </w:r>
      <w:r>
        <w:rPr>
          <w:b/>
        </w:rPr>
        <w:t xml:space="preserve"> </w:t>
      </w:r>
      <w:r>
        <w:rPr>
          <w:rFonts w:hint="eastAsia"/>
          <w:b/>
        </w:rPr>
        <w:t>深圳市南山区沙河街道办事处</w:t>
      </w:r>
    </w:p>
    <w:p>
      <w:pPr>
        <w:adjustRightInd w:val="0"/>
        <w:snapToGrid w:val="0"/>
        <w:spacing w:line="360" w:lineRule="auto"/>
        <w:ind w:firstLine="435"/>
        <w:jc w:val="right"/>
        <w:rPr>
          <w:rFonts w:ascii="宋体" w:hAnsi="宋体"/>
          <w:b/>
        </w:rPr>
      </w:pPr>
      <w:r>
        <w:rPr>
          <w:rFonts w:hint="eastAsia" w:ascii="宋体" w:hAnsi="宋体"/>
          <w:b/>
        </w:rPr>
        <w:t>发布时间：2021年7月26日</w:t>
      </w:r>
    </w:p>
    <w:p>
      <w:pPr>
        <w:widowControl/>
        <w:jc w:val="left"/>
        <w:rPr>
          <w:b/>
          <w:bCs/>
          <w:sz w:val="28"/>
          <w:szCs w:val="28"/>
        </w:rPr>
      </w:pPr>
      <w:r>
        <w:rPr>
          <w:b/>
          <w:bCs/>
          <w:sz w:val="28"/>
          <w:szCs w:val="28"/>
        </w:rPr>
        <w:br w:type="page"/>
      </w:r>
    </w:p>
    <w:p>
      <w:pPr>
        <w:pStyle w:val="2"/>
        <w:jc w:val="center"/>
        <w:rPr>
          <w:rFonts w:asciiTheme="majorEastAsia" w:hAnsiTheme="majorEastAsia" w:eastAsiaTheme="majorEastAsia" w:cstheme="majorEastAsia"/>
          <w:sz w:val="32"/>
          <w:szCs w:val="32"/>
        </w:rPr>
      </w:pPr>
      <w:bookmarkStart w:id="8" w:name="_Toc12489_WPSOffice_Level1"/>
      <w:bookmarkStart w:id="9" w:name="_Toc9213"/>
      <w:bookmarkStart w:id="10" w:name="_Toc8307300"/>
      <w:bookmarkStart w:id="11" w:name="_Toc2045"/>
      <w:bookmarkStart w:id="12" w:name="_Toc77947871"/>
      <w:r>
        <w:rPr>
          <w:rFonts w:hint="eastAsia" w:asciiTheme="majorEastAsia" w:hAnsiTheme="majorEastAsia" w:eastAsiaTheme="majorEastAsia" w:cstheme="majorEastAsia"/>
          <w:sz w:val="32"/>
          <w:szCs w:val="32"/>
        </w:rPr>
        <w:t>第二章 投标资料表</w:t>
      </w:r>
      <w:bookmarkEnd w:id="6"/>
      <w:bookmarkEnd w:id="7"/>
      <w:bookmarkEnd w:id="8"/>
      <w:bookmarkEnd w:id="9"/>
      <w:bookmarkEnd w:id="10"/>
      <w:bookmarkEnd w:id="11"/>
      <w:bookmarkEnd w:id="12"/>
    </w:p>
    <w:p>
      <w:pPr>
        <w:spacing w:line="360" w:lineRule="auto"/>
        <w:ind w:right="-174" w:rightChars="-83" w:firstLine="424" w:firstLineChars="202"/>
      </w:pPr>
      <w:r>
        <w:rPr>
          <w:rFonts w:hint="eastAsia"/>
        </w:rPr>
        <w:t>说明：该资料表的条款项号是与《投标人须知》条款项号对应的条款，是对《投标人须知》补充、修改和完善，如果有矛盾的话，应以本资料表为准。</w:t>
      </w:r>
    </w:p>
    <w:tbl>
      <w:tblPr>
        <w:tblStyle w:val="36"/>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vAlign w:val="center"/>
          </w:tcPr>
          <w:p>
            <w:pPr>
              <w:jc w:val="center"/>
              <w:rPr>
                <w:rFonts w:ascii="宋体" w:hAnsi="宋体"/>
                <w:szCs w:val="21"/>
              </w:rPr>
            </w:pPr>
            <w:r>
              <w:rPr>
                <w:rFonts w:ascii="宋体" w:hAnsi="宋体"/>
                <w:szCs w:val="21"/>
              </w:rPr>
              <w:t>条款</w:t>
            </w:r>
            <w:r>
              <w:rPr>
                <w:rFonts w:hint="eastAsia" w:ascii="宋体" w:hAnsi="宋体"/>
                <w:szCs w:val="21"/>
              </w:rPr>
              <w:t>项</w:t>
            </w:r>
            <w:r>
              <w:rPr>
                <w:rFonts w:ascii="宋体" w:hAnsi="宋体"/>
                <w:szCs w:val="21"/>
              </w:rPr>
              <w:t>号</w:t>
            </w:r>
          </w:p>
        </w:tc>
        <w:tc>
          <w:tcPr>
            <w:tcW w:w="8000" w:type="dxa"/>
            <w:vAlign w:val="center"/>
          </w:tcPr>
          <w:p>
            <w:pPr>
              <w:jc w:val="center"/>
              <w:rPr>
                <w:rFonts w:ascii="宋体" w:hAnsi="宋体"/>
                <w:b/>
                <w:szCs w:val="21"/>
              </w:rPr>
            </w:pPr>
            <w:r>
              <w:rPr>
                <w:rFonts w:ascii="宋体" w:hAnsi="宋体"/>
                <w:b/>
                <w:szCs w:val="21"/>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8" w:type="dxa"/>
            <w:vAlign w:val="center"/>
          </w:tcPr>
          <w:p>
            <w:pPr>
              <w:jc w:val="center"/>
              <w:rPr>
                <w:rFonts w:ascii="宋体" w:hAnsi="宋体"/>
                <w:szCs w:val="21"/>
              </w:rPr>
            </w:pPr>
            <w:r>
              <w:rPr>
                <w:rFonts w:hint="eastAsia" w:ascii="宋体" w:hAnsi="宋体"/>
                <w:szCs w:val="21"/>
              </w:rPr>
              <w:t>2.</w:t>
            </w:r>
            <w:r>
              <w:rPr>
                <w:rFonts w:ascii="宋体" w:hAnsi="宋体"/>
                <w:szCs w:val="21"/>
              </w:rPr>
              <w:t>1</w:t>
            </w:r>
          </w:p>
        </w:tc>
        <w:tc>
          <w:tcPr>
            <w:tcW w:w="8000" w:type="dxa"/>
            <w:vAlign w:val="center"/>
          </w:tcPr>
          <w:p>
            <w:pPr>
              <w:rPr>
                <w:rFonts w:ascii="宋体" w:hAnsi="宋体" w:cs="宋体"/>
                <w:szCs w:val="21"/>
              </w:rPr>
            </w:pPr>
            <w:r>
              <w:rPr>
                <w:rFonts w:hint="eastAsia" w:ascii="宋体" w:hAnsi="宋体" w:cs="宋体"/>
                <w:szCs w:val="21"/>
              </w:rPr>
              <w:t>资金来源</w:t>
            </w:r>
            <w:r>
              <w:rPr>
                <w:rFonts w:hint="eastAsia" w:ascii="宋体" w:hAnsi="宋体"/>
                <w:szCs w:val="21"/>
              </w:rPr>
              <w:t>：</w:t>
            </w: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宋体" w:hAnsi="宋体"/>
                <w:szCs w:val="21"/>
              </w:rPr>
            </w:pPr>
            <w:r>
              <w:rPr>
                <w:rFonts w:hint="eastAsia" w:ascii="宋体" w:hAnsi="宋体"/>
                <w:szCs w:val="21"/>
              </w:rPr>
              <w:t>8.1</w:t>
            </w:r>
          </w:p>
        </w:tc>
        <w:tc>
          <w:tcPr>
            <w:tcW w:w="8000" w:type="dxa"/>
            <w:vAlign w:val="center"/>
          </w:tcPr>
          <w:p>
            <w:pPr>
              <w:adjustRightInd w:val="0"/>
              <w:snapToGrid w:val="0"/>
              <w:rPr>
                <w:rFonts w:ascii="宋体" w:hAnsi="宋体"/>
                <w:szCs w:val="21"/>
              </w:rPr>
            </w:pPr>
            <w:r>
              <w:rPr>
                <w:rFonts w:hint="eastAsia" w:ascii="宋体" w:hAnsi="宋体"/>
                <w:b/>
                <w:bCs/>
                <w:szCs w:val="21"/>
              </w:rPr>
              <w:t>现场考察或者召开开标前答疑会</w:t>
            </w:r>
            <w:r>
              <w:rPr>
                <w:rFonts w:hint="eastAsia" w:ascii="宋体" w:hAnsi="宋体"/>
                <w:szCs w:val="21"/>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8" w:type="dxa"/>
            <w:vAlign w:val="center"/>
          </w:tcPr>
          <w:p>
            <w:pPr>
              <w:jc w:val="center"/>
              <w:rPr>
                <w:rFonts w:ascii="宋体" w:hAnsi="宋体"/>
                <w:dstrike/>
                <w:szCs w:val="21"/>
                <w:em w:val="dot"/>
              </w:rPr>
            </w:pPr>
            <w:r>
              <w:rPr>
                <w:rFonts w:hint="eastAsia" w:ascii="宋体" w:hAnsi="宋体"/>
                <w:szCs w:val="21"/>
              </w:rPr>
              <w:t>12.2.1</w:t>
            </w:r>
          </w:p>
        </w:tc>
        <w:tc>
          <w:tcPr>
            <w:tcW w:w="8000" w:type="dxa"/>
            <w:vAlign w:val="center"/>
          </w:tcPr>
          <w:p>
            <w:pPr>
              <w:adjustRightInd w:val="0"/>
              <w:snapToGrid w:val="0"/>
              <w:ind w:left="210" w:hanging="210"/>
              <w:rPr>
                <w:rFonts w:ascii="宋体" w:hAnsi="宋体"/>
                <w:szCs w:val="21"/>
              </w:rPr>
            </w:pPr>
            <w:r>
              <w:rPr>
                <w:rFonts w:hint="eastAsia" w:ascii="宋体" w:hAnsi="宋体"/>
                <w:szCs w:val="21"/>
              </w:rPr>
              <w:t>（境外货物）</w:t>
            </w:r>
            <w:r>
              <w:rPr>
                <w:rFonts w:hint="eastAsia" w:ascii="宋体" w:hAnsi="宋体" w:cs="宋体"/>
                <w:szCs w:val="21"/>
                <w:lang w:val="zh-CN"/>
              </w:rPr>
              <w:t>进口环节关税和增值税：无。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宋体" w:hAnsi="宋体"/>
                <w:szCs w:val="21"/>
              </w:rPr>
            </w:pPr>
            <w:r>
              <w:rPr>
                <w:rFonts w:hint="eastAsia" w:ascii="宋体" w:hAnsi="宋体"/>
                <w:szCs w:val="21"/>
              </w:rPr>
              <w:t>18</w:t>
            </w:r>
            <w:r>
              <w:rPr>
                <w:rFonts w:ascii="宋体" w:hAnsi="宋体"/>
                <w:szCs w:val="21"/>
              </w:rPr>
              <w:t>.1</w:t>
            </w:r>
          </w:p>
        </w:tc>
        <w:tc>
          <w:tcPr>
            <w:tcW w:w="8000" w:type="dxa"/>
            <w:vAlign w:val="center"/>
          </w:tcPr>
          <w:p>
            <w:pPr>
              <w:rPr>
                <w:rFonts w:ascii="宋体" w:hAnsi="宋体"/>
                <w:szCs w:val="21"/>
              </w:rPr>
            </w:pPr>
            <w:r>
              <w:rPr>
                <w:rFonts w:ascii="宋体" w:hAnsi="宋体"/>
                <w:szCs w:val="21"/>
              </w:rPr>
              <w:t>投标有效期：90天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szCs w:val="21"/>
              </w:rPr>
            </w:pPr>
            <w:r>
              <w:rPr>
                <w:rFonts w:hint="eastAsia" w:ascii="宋体" w:hAnsi="宋体"/>
                <w:szCs w:val="21"/>
              </w:rPr>
              <w:t>19</w:t>
            </w:r>
            <w:r>
              <w:rPr>
                <w:rFonts w:ascii="宋体" w:hAnsi="宋体"/>
                <w:szCs w:val="21"/>
              </w:rPr>
              <w:t>.1</w:t>
            </w:r>
          </w:p>
        </w:tc>
        <w:tc>
          <w:tcPr>
            <w:tcW w:w="8000" w:type="dxa"/>
            <w:vAlign w:val="center"/>
          </w:tcPr>
          <w:p>
            <w:pPr>
              <w:rPr>
                <w:rFonts w:ascii="宋体" w:hAnsi="宋体"/>
                <w:szCs w:val="21"/>
              </w:rPr>
            </w:pPr>
            <w:r>
              <w:rPr>
                <w:rFonts w:ascii="宋体" w:hAnsi="宋体"/>
                <w:szCs w:val="21"/>
              </w:rPr>
              <w:t>投标文件份数：正本一份，副本</w:t>
            </w:r>
            <w:r>
              <w:rPr>
                <w:rFonts w:hint="eastAsia" w:ascii="宋体" w:hAnsi="宋体"/>
                <w:szCs w:val="21"/>
              </w:rPr>
              <w:t>四</w:t>
            </w:r>
            <w:r>
              <w:rPr>
                <w:rFonts w:ascii="宋体" w:hAnsi="宋体"/>
                <w:szCs w:val="21"/>
              </w:rPr>
              <w:t>份，电子文件</w:t>
            </w:r>
            <w:r>
              <w:rPr>
                <w:rFonts w:hint="eastAsia" w:ascii="宋体" w:hAnsi="宋体"/>
                <w:szCs w:val="21"/>
              </w:rPr>
              <w:t>一</w:t>
            </w:r>
            <w:r>
              <w:rPr>
                <w:rFonts w:ascii="宋体" w:hAnsi="宋体"/>
                <w:szCs w:val="21"/>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宋体" w:hAnsi="宋体"/>
                <w:szCs w:val="21"/>
              </w:rPr>
            </w:pPr>
            <w:r>
              <w:rPr>
                <w:rFonts w:hint="eastAsia" w:ascii="宋体" w:hAnsi="宋体"/>
                <w:szCs w:val="21"/>
              </w:rPr>
              <w:t>2</w:t>
            </w:r>
            <w:r>
              <w:rPr>
                <w:rFonts w:ascii="宋体" w:hAnsi="宋体"/>
                <w:szCs w:val="21"/>
              </w:rPr>
              <w:t>2.1.3</w:t>
            </w:r>
          </w:p>
        </w:tc>
        <w:tc>
          <w:tcPr>
            <w:tcW w:w="8000" w:type="dxa"/>
            <w:vAlign w:val="center"/>
          </w:tcPr>
          <w:p>
            <w:pPr>
              <w:rPr>
                <w:rFonts w:ascii="宋体" w:hAnsi="宋体" w:cs="宋体"/>
                <w:szCs w:val="21"/>
              </w:rPr>
            </w:pPr>
            <w:r>
              <w:rPr>
                <w:rFonts w:hint="eastAsia" w:ascii="宋体" w:hAnsi="宋体" w:cs="宋体"/>
                <w:szCs w:val="21"/>
              </w:rPr>
              <w:t>质疑函接受的方式：</w:t>
            </w:r>
          </w:p>
          <w:p>
            <w:pPr>
              <w:rPr>
                <w:rFonts w:ascii="宋体" w:hAnsi="宋体"/>
                <w:szCs w:val="21"/>
              </w:rPr>
            </w:pPr>
            <w:r>
              <w:rPr>
                <w:rFonts w:hint="eastAsia" w:ascii="宋体" w:hAnsi="宋体"/>
                <w:szCs w:val="21"/>
              </w:rPr>
              <w:t>2021年7月28日上午12:00前，凡对招标文件的疑问（包括认为招标文件的技术指标或参数存在排他性或歧视性条款），投标人须以书面形式加盖单位公章送达我街道办，逾期不予受理。我街道将通过官网公告的形式发布答疑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宋体" w:hAnsi="宋体"/>
                <w:szCs w:val="21"/>
              </w:rPr>
            </w:pPr>
            <w:r>
              <w:rPr>
                <w:rFonts w:hint="eastAsia" w:ascii="宋体" w:hAnsi="宋体"/>
                <w:b/>
                <w:szCs w:val="21"/>
              </w:rPr>
              <w:t>五</w:t>
            </w:r>
            <w:r>
              <w:rPr>
                <w:rFonts w:ascii="宋体" w:hAnsi="宋体"/>
                <w:b/>
                <w:szCs w:val="21"/>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宋体" w:hAnsi="宋体"/>
                <w:szCs w:val="21"/>
              </w:rPr>
            </w:pPr>
            <w:r>
              <w:rPr>
                <w:rFonts w:hint="eastAsia" w:ascii="宋体" w:hAnsi="宋体"/>
                <w:szCs w:val="21"/>
              </w:rPr>
              <w:t>26.1</w:t>
            </w:r>
          </w:p>
        </w:tc>
        <w:tc>
          <w:tcPr>
            <w:tcW w:w="8000" w:type="dxa"/>
            <w:vAlign w:val="center"/>
          </w:tcPr>
          <w:p>
            <w:pPr>
              <w:adjustRightInd w:val="0"/>
              <w:snapToGrid w:val="0"/>
              <w:rPr>
                <w:rFonts w:ascii="宋体" w:hAnsi="宋体"/>
                <w:color w:val="FF0000"/>
                <w:szCs w:val="21"/>
              </w:rPr>
            </w:pPr>
            <w:r>
              <w:rPr>
                <w:rFonts w:hint="eastAsia" w:ascii="宋体" w:hAnsi="宋体"/>
                <w:szCs w:val="21"/>
              </w:rPr>
              <w:t>履约保证金：无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宋体" w:hAnsi="宋体"/>
                <w:b/>
                <w:szCs w:val="21"/>
              </w:rPr>
            </w:pPr>
            <w:r>
              <w:rPr>
                <w:rFonts w:hint="eastAsia" w:ascii="宋体" w:hAnsi="宋体"/>
                <w:b/>
                <w:szCs w:val="21"/>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宋体" w:hAnsi="宋体"/>
                <w:szCs w:val="21"/>
              </w:rPr>
            </w:pPr>
            <w:r>
              <w:rPr>
                <w:rFonts w:hint="eastAsia" w:ascii="宋体" w:hAnsi="宋体"/>
                <w:szCs w:val="21"/>
              </w:rPr>
              <w:t>/</w:t>
            </w:r>
          </w:p>
        </w:tc>
        <w:tc>
          <w:tcPr>
            <w:tcW w:w="8000" w:type="dxa"/>
            <w:vAlign w:val="center"/>
          </w:tcPr>
          <w:p>
            <w:pPr>
              <w:rPr>
                <w:rFonts w:ascii="宋体" w:hAnsi="宋体"/>
                <w:szCs w:val="21"/>
              </w:rPr>
            </w:pPr>
            <w:r>
              <w:rPr>
                <w:rFonts w:hint="eastAsia" w:ascii="宋体" w:hAnsi="宋体"/>
                <w:bCs/>
              </w:rPr>
              <w:t>评标方法：采用综合评分法。</w:t>
            </w:r>
          </w:p>
        </w:tc>
      </w:tr>
    </w:tbl>
    <w:p>
      <w:pPr>
        <w:rPr>
          <w:rStyle w:val="44"/>
          <w:rFonts w:asciiTheme="minorHAnsi" w:hAnsiTheme="minorHAnsi" w:eastAsiaTheme="minorEastAsia" w:cstheme="minorBidi"/>
        </w:rPr>
      </w:pPr>
      <w:r>
        <w:br w:type="page"/>
      </w:r>
      <w:bookmarkStart w:id="13" w:name="_Toc435514849"/>
      <w:bookmarkStart w:id="14" w:name="_Toc435115054"/>
      <w:bookmarkStart w:id="15" w:name="_Toc8307303"/>
      <w:bookmarkStart w:id="16" w:name="_Toc8307302"/>
    </w:p>
    <w:p>
      <w:pPr>
        <w:rPr>
          <w:rStyle w:val="44"/>
          <w:rFonts w:asciiTheme="minorHAnsi" w:hAnsiTheme="minorHAnsi" w:eastAsiaTheme="minorEastAsia" w:cstheme="minorBidi"/>
        </w:rPr>
      </w:pPr>
    </w:p>
    <w:p>
      <w:pPr>
        <w:pStyle w:val="2"/>
        <w:jc w:val="center"/>
        <w:rPr>
          <w:rFonts w:asciiTheme="majorEastAsia" w:hAnsiTheme="majorEastAsia" w:eastAsiaTheme="majorEastAsia" w:cstheme="majorEastAsia"/>
          <w:sz w:val="32"/>
          <w:szCs w:val="32"/>
        </w:rPr>
      </w:pPr>
      <w:bookmarkStart w:id="17" w:name="_Toc22038"/>
      <w:bookmarkStart w:id="18" w:name="_Toc13175"/>
      <w:bookmarkStart w:id="19" w:name="_Toc24913_WPSOffice_Level1"/>
      <w:bookmarkStart w:id="20" w:name="_Toc77947872"/>
      <w:r>
        <w:rPr>
          <w:rFonts w:hint="eastAsia" w:asciiTheme="majorEastAsia" w:hAnsiTheme="majorEastAsia" w:eastAsiaTheme="majorEastAsia" w:cstheme="majorEastAsia"/>
          <w:sz w:val="32"/>
          <w:szCs w:val="32"/>
        </w:rPr>
        <w:t>第三章 用户需求书</w:t>
      </w:r>
      <w:bookmarkEnd w:id="13"/>
      <w:bookmarkEnd w:id="14"/>
      <w:bookmarkEnd w:id="15"/>
      <w:bookmarkEnd w:id="17"/>
      <w:bookmarkEnd w:id="18"/>
      <w:bookmarkEnd w:id="19"/>
      <w:bookmarkEnd w:id="20"/>
    </w:p>
    <w:p>
      <w:pPr>
        <w:snapToGrid w:val="0"/>
        <w:spacing w:line="360" w:lineRule="auto"/>
        <w:rPr>
          <w:rFonts w:ascii="宋体"/>
          <w:b/>
          <w:bCs/>
          <w:szCs w:val="20"/>
        </w:rPr>
      </w:pPr>
      <w:r>
        <w:rPr>
          <w:rFonts w:hint="eastAsia" w:ascii="宋体"/>
          <w:b/>
          <w:bCs/>
          <w:szCs w:val="20"/>
        </w:rPr>
        <w:t>说明：</w:t>
      </w:r>
    </w:p>
    <w:p>
      <w:pPr>
        <w:numPr>
          <w:ilvl w:val="0"/>
          <w:numId w:val="1"/>
        </w:numPr>
        <w:snapToGrid w:val="0"/>
        <w:spacing w:line="360" w:lineRule="auto"/>
        <w:ind w:left="422" w:hanging="422" w:hangingChars="200"/>
        <w:rPr>
          <w:rFonts w:ascii="宋体"/>
          <w:b/>
          <w:bCs/>
          <w:szCs w:val="20"/>
        </w:rPr>
      </w:pPr>
      <w:r>
        <w:rPr>
          <w:rFonts w:hint="eastAsia" w:ascii="宋体"/>
          <w:b/>
          <w:bCs/>
          <w:szCs w:val="20"/>
        </w:rPr>
        <w:t>投标人须对本项目的</w:t>
      </w:r>
      <w:r>
        <w:rPr>
          <w:rFonts w:hint="eastAsia" w:asciiTheme="minorEastAsia" w:hAnsiTheme="minorEastAsia" w:eastAsiaTheme="minorEastAsia"/>
          <w:b/>
          <w:bCs/>
          <w:szCs w:val="21"/>
        </w:rPr>
        <w:t>采购标的或服务内容</w:t>
      </w:r>
      <w:r>
        <w:rPr>
          <w:rFonts w:hint="eastAsia" w:ascii="宋体"/>
          <w:b/>
          <w:bCs/>
          <w:szCs w:val="20"/>
        </w:rPr>
        <w:t>进行整体响应，任何只对</w:t>
      </w:r>
      <w:r>
        <w:rPr>
          <w:rFonts w:hint="eastAsia" w:asciiTheme="minorEastAsia" w:hAnsiTheme="minorEastAsia" w:eastAsiaTheme="minorEastAsia"/>
          <w:b/>
          <w:bCs/>
          <w:szCs w:val="21"/>
        </w:rPr>
        <w:t>采购标的或服务内容</w:t>
      </w:r>
      <w:r>
        <w:rPr>
          <w:rFonts w:hint="eastAsia" w:ascii="宋体"/>
          <w:b/>
          <w:bCs/>
          <w:szCs w:val="20"/>
        </w:rPr>
        <w:t>其中一部分内容进行的响应都被视为无效投标。</w:t>
      </w:r>
    </w:p>
    <w:p>
      <w:pPr>
        <w:numPr>
          <w:ilvl w:val="0"/>
          <w:numId w:val="1"/>
        </w:numPr>
        <w:snapToGrid w:val="0"/>
        <w:spacing w:line="360" w:lineRule="auto"/>
        <w:ind w:left="422" w:hanging="422" w:hangingChars="200"/>
        <w:rPr>
          <w:rFonts w:asciiTheme="minorEastAsia" w:hAnsiTheme="minorEastAsia" w:eastAsiaTheme="minorEastAsia"/>
          <w:b/>
          <w:bCs/>
          <w:szCs w:val="21"/>
        </w:rPr>
      </w:pPr>
      <w:r>
        <w:rPr>
          <w:rFonts w:hint="eastAsia" w:asciiTheme="minorEastAsia" w:hAnsiTheme="minorEastAsia" w:eastAsiaTheme="minorEastAsia"/>
          <w:b/>
          <w:bCs/>
          <w:szCs w:val="21"/>
        </w:rPr>
        <w:t>用户需求书中打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号条款为实质性条款，有任何一条负偏离则导致无效投标。（如有）</w:t>
      </w:r>
    </w:p>
    <w:p>
      <w:pPr>
        <w:numPr>
          <w:ilvl w:val="0"/>
          <w:numId w:val="1"/>
        </w:numPr>
        <w:snapToGrid w:val="0"/>
        <w:spacing w:line="360" w:lineRule="auto"/>
        <w:ind w:left="422" w:hanging="422" w:hangingChars="200"/>
        <w:rPr>
          <w:rFonts w:ascii="宋体"/>
          <w:b/>
          <w:bCs/>
          <w:szCs w:val="20"/>
        </w:rPr>
      </w:pPr>
      <w:r>
        <w:rPr>
          <w:rFonts w:hint="eastAsia" w:ascii="宋体"/>
          <w:b/>
          <w:bCs/>
          <w:szCs w:val="20"/>
        </w:rPr>
        <w:t>用户需求书中打</w:t>
      </w:r>
      <w:r>
        <w:rPr>
          <w:rFonts w:ascii="宋体"/>
          <w:b/>
          <w:bCs/>
          <w:szCs w:val="20"/>
        </w:rPr>
        <w:t>“</w:t>
      </w:r>
      <w:r>
        <w:rPr>
          <w:rFonts w:hint="eastAsia" w:ascii="宋体"/>
          <w:b/>
          <w:bCs/>
          <w:szCs w:val="20"/>
        </w:rPr>
        <w:t>▲</w:t>
      </w:r>
      <w:r>
        <w:rPr>
          <w:rFonts w:ascii="宋体"/>
          <w:b/>
          <w:bCs/>
          <w:szCs w:val="20"/>
        </w:rPr>
        <w:t>”</w:t>
      </w:r>
      <w:r>
        <w:rPr>
          <w:rFonts w:hint="eastAsia" w:ascii="宋体"/>
          <w:b/>
          <w:bCs/>
          <w:szCs w:val="20"/>
        </w:rPr>
        <w:t>号条款为重要技术参数，但不作为无效投标条款。</w:t>
      </w:r>
      <w:r>
        <w:rPr>
          <w:rFonts w:hint="eastAsia" w:asciiTheme="minorEastAsia" w:hAnsiTheme="minorEastAsia" w:eastAsiaTheme="minorEastAsia"/>
          <w:b/>
          <w:bCs/>
          <w:szCs w:val="21"/>
        </w:rPr>
        <w:t>（如有）</w:t>
      </w:r>
    </w:p>
    <w:p>
      <w:pPr>
        <w:pStyle w:val="112"/>
        <w:numPr>
          <w:ilvl w:val="0"/>
          <w:numId w:val="1"/>
        </w:numPr>
        <w:spacing w:line="400" w:lineRule="exact"/>
        <w:ind w:firstLineChars="0"/>
        <w:rPr>
          <w:b/>
          <w:szCs w:val="21"/>
        </w:rPr>
      </w:pPr>
      <w:r>
        <w:rPr>
          <w:rFonts w:hint="eastAsia"/>
          <w:b/>
        </w:rPr>
        <w:t>招标技术要求中，用红色字体标注的条款为要求提供证明资料的条款，其余为未要求提供证明资料的条款，无需提供相关证明资料。</w:t>
      </w:r>
      <w:r>
        <w:rPr>
          <w:rFonts w:hint="eastAsia" w:asciiTheme="minorEastAsia" w:hAnsiTheme="minorEastAsia" w:eastAsiaTheme="minorEastAsia"/>
          <w:b/>
          <w:bCs/>
          <w:szCs w:val="21"/>
        </w:rPr>
        <w:t>（如有）</w:t>
      </w:r>
    </w:p>
    <w:p>
      <w:pPr>
        <w:pStyle w:val="112"/>
        <w:numPr>
          <w:ilvl w:val="0"/>
          <w:numId w:val="1"/>
        </w:numPr>
        <w:spacing w:line="400" w:lineRule="exact"/>
        <w:ind w:firstLineChars="0"/>
      </w:pPr>
      <w:r>
        <w:rPr>
          <w:rFonts w:hint="eastAsia"/>
          <w:b/>
        </w:rPr>
        <w:t>说明：投标人须如实填写《技术规格偏离表》，并按招标文件的要求提供相关证明资料。提供的证明资料与投标响应情况不相符的，视为《技术规格偏离表》填写不实，按负偏离扣分处理。</w:t>
      </w:r>
      <w:r>
        <w:rPr>
          <w:rFonts w:hint="eastAsia" w:asciiTheme="minorEastAsia" w:hAnsiTheme="minorEastAsia" w:eastAsiaTheme="minorEastAsia"/>
          <w:b/>
          <w:bCs/>
          <w:szCs w:val="21"/>
        </w:rPr>
        <w:t>（如有）</w:t>
      </w:r>
    </w:p>
    <w:p>
      <w:pPr>
        <w:pStyle w:val="20"/>
        <w:tabs>
          <w:tab w:val="left" w:pos="540"/>
        </w:tabs>
        <w:adjustRightInd w:val="0"/>
        <w:snapToGrid w:val="0"/>
        <w:spacing w:line="360" w:lineRule="auto"/>
        <w:rPr>
          <w:rFonts w:hAnsi="宋体"/>
          <w:b/>
        </w:rPr>
      </w:pPr>
    </w:p>
    <w:p>
      <w:pPr>
        <w:pStyle w:val="20"/>
        <w:numPr>
          <w:ilvl w:val="0"/>
          <w:numId w:val="2"/>
        </w:numPr>
        <w:tabs>
          <w:tab w:val="left" w:pos="540"/>
        </w:tabs>
        <w:adjustRightInd w:val="0"/>
        <w:snapToGrid w:val="0"/>
        <w:spacing w:line="360" w:lineRule="auto"/>
        <w:rPr>
          <w:rFonts w:hAnsi="宋体"/>
          <w:b/>
        </w:rPr>
      </w:pPr>
      <w:r>
        <w:rPr>
          <w:rFonts w:hint="eastAsia"/>
          <w:b/>
          <w:szCs w:val="20"/>
        </w:rPr>
        <w:t>项目背景：</w:t>
      </w:r>
    </w:p>
    <w:p>
      <w:pPr>
        <w:pStyle w:val="20"/>
        <w:adjustRightInd w:val="0"/>
        <w:snapToGrid w:val="0"/>
        <w:spacing w:line="360" w:lineRule="auto"/>
        <w:ind w:firstLine="420" w:firstLineChars="200"/>
        <w:rPr>
          <w:rFonts w:hAnsi="宋体"/>
          <w:b/>
        </w:rPr>
      </w:pPr>
      <w:r>
        <w:rPr>
          <w:rFonts w:hint="eastAsia" w:hAnsi="宋体" w:cs="宋体"/>
          <w:kern w:val="0"/>
        </w:rPr>
        <w:t>沙河街道中新街社区西组团小区为80年代建设的老旧小区，其中中新街8栋、海棠阁外墙有裂缝，楼道墙面掉落等现象。为提升社区环境品质，对这2栋楼的外墙和楼道进行翻新、规整线路和更换照明灯，提高社区居民的安全感。</w:t>
      </w:r>
    </w:p>
    <w:p>
      <w:pPr>
        <w:pStyle w:val="20"/>
        <w:numPr>
          <w:ilvl w:val="0"/>
          <w:numId w:val="2"/>
        </w:numPr>
        <w:tabs>
          <w:tab w:val="left" w:pos="540"/>
        </w:tabs>
        <w:adjustRightInd w:val="0"/>
        <w:snapToGrid w:val="0"/>
        <w:spacing w:line="360" w:lineRule="auto"/>
        <w:rPr>
          <w:rFonts w:hAnsi="宋体"/>
          <w:b/>
          <w:bCs/>
        </w:rPr>
      </w:pPr>
      <w:r>
        <w:rPr>
          <w:rFonts w:hint="eastAsia" w:cs="宋体" w:asciiTheme="minorEastAsia" w:hAnsiTheme="minorEastAsia"/>
          <w:b/>
          <w:bCs/>
          <w:color w:val="000000"/>
        </w:rPr>
        <w:t>项目概况</w:t>
      </w:r>
    </w:p>
    <w:p>
      <w:pPr>
        <w:spacing w:line="360" w:lineRule="auto"/>
        <w:ind w:left="420"/>
        <w:rPr>
          <w:rFonts w:cs="宋体" w:asciiTheme="minorEastAsia" w:hAnsiTheme="minorEastAsia" w:eastAsiaTheme="minorEastAsia"/>
          <w:color w:val="auto"/>
          <w:szCs w:val="21"/>
        </w:rPr>
      </w:pPr>
      <w:r>
        <w:rPr>
          <w:rFonts w:hint="eastAsia" w:cs="宋体" w:asciiTheme="minorEastAsia" w:hAnsiTheme="minorEastAsia" w:eastAsiaTheme="minorEastAsia"/>
          <w:color w:val="000000"/>
          <w:szCs w:val="21"/>
        </w:rPr>
        <w:t>本工程位于深圳市南山区沙河街道中新街社区西组团小区内</w:t>
      </w:r>
      <w:r>
        <w:rPr>
          <w:rFonts w:hint="eastAsia" w:cs="宋体" w:asciiTheme="minorEastAsia" w:hAnsiTheme="minorEastAsia" w:eastAsiaTheme="minorEastAsia"/>
          <w:color w:val="auto"/>
          <w:szCs w:val="21"/>
        </w:rPr>
        <w:t>，预算金额88.40万元（为下浮后的金额），下浮率为8.42%，投标人无需进行投标报价。</w:t>
      </w:r>
    </w:p>
    <w:p>
      <w:pPr>
        <w:pStyle w:val="20"/>
        <w:numPr>
          <w:ilvl w:val="0"/>
          <w:numId w:val="2"/>
        </w:numPr>
        <w:tabs>
          <w:tab w:val="left" w:pos="540"/>
        </w:tabs>
        <w:adjustRightInd w:val="0"/>
        <w:snapToGrid w:val="0"/>
        <w:spacing w:line="360" w:lineRule="auto"/>
        <w:rPr>
          <w:rFonts w:cs="宋体" w:asciiTheme="minorEastAsia" w:hAnsiTheme="minorEastAsia"/>
          <w:color w:val="000000"/>
        </w:rPr>
      </w:pPr>
      <w:bookmarkStart w:id="21" w:name="_Toc28953520"/>
      <w:r>
        <w:rPr>
          <w:rFonts w:hint="eastAsia" w:cs="宋体" w:asciiTheme="minorEastAsia" w:hAnsiTheme="minorEastAsia"/>
          <w:b/>
          <w:bCs/>
          <w:color w:val="000000"/>
        </w:rPr>
        <w:t>项目主要内容及要求</w:t>
      </w:r>
      <w:bookmarkEnd w:id="21"/>
      <w:r>
        <w:rPr>
          <w:rFonts w:hint="eastAsia" w:cs="宋体" w:asciiTheme="minorEastAsia" w:hAnsiTheme="minorEastAsia"/>
          <w:b/>
          <w:bCs/>
          <w:color w:val="000000"/>
        </w:rPr>
        <w:t>（含工期、实施地点、合同结算方式）</w:t>
      </w:r>
    </w:p>
    <w:p>
      <w:pPr>
        <w:spacing w:line="360" w:lineRule="auto"/>
        <w:ind w:firstLine="480"/>
        <w:rPr>
          <w:rFonts w:cs="宋体" w:asciiTheme="minorEastAsia" w:hAnsiTheme="minorEastAsia"/>
          <w:b/>
          <w:bCs/>
          <w:color w:val="000000"/>
        </w:rPr>
      </w:pPr>
      <w:r>
        <w:rPr>
          <w:rFonts w:hint="eastAsia" w:cs="宋体" w:asciiTheme="minorEastAsia" w:hAnsiTheme="minorEastAsia" w:eastAsiaTheme="minorEastAsia"/>
          <w:color w:val="000000"/>
          <w:szCs w:val="21"/>
        </w:rPr>
        <w:t>主要内容</w:t>
      </w:r>
      <w:r>
        <w:rPr>
          <w:rFonts w:hint="eastAsia" w:asciiTheme="minorEastAsia" w:hAnsiTheme="minorEastAsia" w:eastAsiaTheme="minorEastAsia"/>
          <w:kern w:val="0"/>
          <w:szCs w:val="21"/>
        </w:rPr>
        <w:t>：外墙防水、油漆，内墙楼梯间翻新，线路规整等。建设工期为60天。本工程竣工结算工程量以实际发生的工程量为准，结算价以政府部门确认的造价部门审定的决算价为准，但决算价超过合同价时，以合同价作为最终决算价。</w:t>
      </w:r>
      <w:bookmarkStart w:id="22" w:name="_Toc28953521"/>
    </w:p>
    <w:p>
      <w:pPr>
        <w:pStyle w:val="20"/>
        <w:numPr>
          <w:ilvl w:val="0"/>
          <w:numId w:val="2"/>
        </w:numPr>
        <w:tabs>
          <w:tab w:val="left" w:pos="540"/>
        </w:tabs>
        <w:adjustRightInd w:val="0"/>
        <w:snapToGrid w:val="0"/>
        <w:spacing w:line="360" w:lineRule="auto"/>
        <w:rPr>
          <w:rFonts w:hAnsi="宋体"/>
          <w:b/>
        </w:rPr>
      </w:pPr>
      <w:r>
        <w:rPr>
          <w:rFonts w:hint="eastAsia" w:hAnsi="宋体"/>
          <w:b/>
        </w:rPr>
        <w:t>项目管理要求</w:t>
      </w:r>
    </w:p>
    <w:p>
      <w:pPr>
        <w:numPr>
          <w:ilvl w:val="255"/>
          <w:numId w:val="0"/>
        </w:numPr>
        <w:spacing w:line="360" w:lineRule="auto"/>
        <w:ind w:left="420"/>
        <w:rPr>
          <w:rFonts w:ascii="宋体" w:hAnsi="宋体" w:cs="宋体"/>
          <w:bCs/>
          <w:color w:val="000000"/>
        </w:rPr>
      </w:pPr>
      <w:r>
        <w:rPr>
          <w:rFonts w:hint="eastAsia" w:ascii="宋体" w:hAnsi="宋体" w:cs="宋体"/>
          <w:bCs/>
        </w:rPr>
        <w:t>1、</w:t>
      </w:r>
      <w:r>
        <w:rPr>
          <w:rFonts w:hint="eastAsia" w:ascii="宋体" w:hAnsi="宋体" w:cs="宋体"/>
          <w:bCs/>
          <w:color w:val="000000"/>
        </w:rPr>
        <w:t>至少安排1名项目经理驻场施工管理。</w:t>
      </w:r>
    </w:p>
    <w:p>
      <w:pPr>
        <w:pStyle w:val="112"/>
        <w:adjustRightInd w:val="0"/>
        <w:snapToGrid w:val="0"/>
        <w:spacing w:line="360" w:lineRule="auto"/>
        <w:rPr>
          <w:rFonts w:ascii="宋体" w:hAnsi="宋体" w:cs="宋体"/>
          <w:bCs/>
        </w:rPr>
      </w:pPr>
      <w:r>
        <w:rPr>
          <w:rFonts w:hint="eastAsia" w:ascii="宋体" w:hAnsi="宋体" w:cs="宋体"/>
          <w:bCs/>
        </w:rPr>
        <w:t>2、中标人必须作好施工记录、隐蔽工程记录、施工资料的整理、竣工资料的编制等工作。</w:t>
      </w:r>
    </w:p>
    <w:p>
      <w:pPr>
        <w:pStyle w:val="112"/>
        <w:adjustRightInd w:val="0"/>
        <w:snapToGrid w:val="0"/>
        <w:spacing w:line="360" w:lineRule="auto"/>
        <w:rPr>
          <w:rFonts w:ascii="宋体" w:hAnsi="宋体" w:cs="宋体"/>
          <w:bCs/>
        </w:rPr>
      </w:pPr>
      <w:r>
        <w:rPr>
          <w:rFonts w:hint="eastAsia" w:ascii="宋体" w:hAnsi="宋体" w:cs="宋体"/>
          <w:bCs/>
        </w:rPr>
        <w:t>3、中标人必须在施工现场显眼位置设置正规施工警示牌、工程概况牌，标注“温馨提示”语言。靠近人行通道边（或中标人以为有必要的其他周边）必须用整齐美观的板材围护密封施工。</w:t>
      </w:r>
    </w:p>
    <w:p>
      <w:pPr>
        <w:pStyle w:val="112"/>
        <w:adjustRightInd w:val="0"/>
        <w:snapToGrid w:val="0"/>
        <w:spacing w:line="360" w:lineRule="auto"/>
        <w:rPr>
          <w:rFonts w:ascii="宋体" w:hAnsi="宋体" w:cs="宋体"/>
          <w:bCs/>
        </w:rPr>
      </w:pPr>
      <w:r>
        <w:rPr>
          <w:rFonts w:hint="eastAsia" w:ascii="宋体" w:hAnsi="宋体" w:cs="宋体"/>
          <w:bCs/>
        </w:rPr>
        <w:t>4、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pPr>
        <w:pStyle w:val="112"/>
        <w:adjustRightInd w:val="0"/>
        <w:snapToGrid w:val="0"/>
        <w:spacing w:line="360" w:lineRule="auto"/>
        <w:rPr>
          <w:rFonts w:ascii="宋体" w:hAnsi="宋体" w:cs="宋体"/>
          <w:bCs/>
        </w:rPr>
      </w:pPr>
      <w:r>
        <w:rPr>
          <w:rFonts w:hint="eastAsia" w:ascii="宋体" w:hAnsi="宋体" w:cs="宋体"/>
          <w:bCs/>
        </w:rPr>
        <w:t>5、中标人必须在施工过程中注意自身及周边安全，做好现场及周边安全设施搭设，遵守有关安全保护规程，负责施工过程中的所有事故处理和费用。中标人必须服从采购人的监督、指导并积极主动配合上述管理机构的工作。</w:t>
      </w:r>
    </w:p>
    <w:p>
      <w:pPr>
        <w:pStyle w:val="112"/>
        <w:adjustRightInd w:val="0"/>
        <w:snapToGrid w:val="0"/>
        <w:spacing w:line="360" w:lineRule="auto"/>
        <w:rPr>
          <w:rFonts w:ascii="宋体" w:hAnsi="宋体" w:cs="宋体"/>
          <w:bCs/>
        </w:rPr>
      </w:pPr>
      <w:r>
        <w:rPr>
          <w:rFonts w:hint="eastAsia" w:ascii="宋体" w:hAnsi="宋体" w:cs="宋体"/>
          <w:bCs/>
        </w:rPr>
        <w:t>6、中标人施工时须提供材料样板，经采购人最终确认后，方可进场使用，中标人所提供的样板或厂家应符合设计图纸要求及采购人确认要求。</w:t>
      </w:r>
    </w:p>
    <w:p>
      <w:pPr>
        <w:pStyle w:val="112"/>
        <w:adjustRightInd w:val="0"/>
        <w:snapToGrid w:val="0"/>
        <w:spacing w:line="360" w:lineRule="auto"/>
        <w:rPr>
          <w:rFonts w:ascii="宋体" w:hAnsi="宋体" w:cs="宋体"/>
          <w:bCs/>
        </w:rPr>
      </w:pPr>
      <w:r>
        <w:rPr>
          <w:rFonts w:hint="eastAsia" w:ascii="宋体" w:hAnsi="宋体" w:cs="宋体"/>
          <w:bCs/>
        </w:rPr>
        <w:t>7、用在本工程的任何材料在使用前必须得到采购人的批准，样品须在大批订货前送审。获准的样品存放在工地，作为以后验收材料的标准。样品和其包装，由中标人无偿提供。</w:t>
      </w:r>
    </w:p>
    <w:p>
      <w:pPr>
        <w:pStyle w:val="112"/>
        <w:adjustRightInd w:val="0"/>
        <w:snapToGrid w:val="0"/>
        <w:spacing w:line="360" w:lineRule="auto"/>
        <w:rPr>
          <w:rFonts w:ascii="宋体" w:hAnsi="宋体" w:cs="宋体"/>
          <w:bCs/>
        </w:rPr>
      </w:pPr>
      <w:r>
        <w:rPr>
          <w:rFonts w:hint="eastAsia" w:ascii="宋体" w:hAnsi="宋体" w:cs="宋体"/>
          <w:bCs/>
        </w:rPr>
        <w:t>8、中标人在工程施工前，须全面检查工地情况，若发现错误须立刻通知工程师。若未能遵从此规定，使本工程的任何项目因此等错误或缺陷而错误地建造，则中标人须自费予以拆除及重建。</w:t>
      </w:r>
    </w:p>
    <w:p>
      <w:pPr>
        <w:pStyle w:val="112"/>
        <w:adjustRightInd w:val="0"/>
        <w:snapToGrid w:val="0"/>
        <w:spacing w:line="360" w:lineRule="auto"/>
        <w:rPr>
          <w:rFonts w:ascii="宋体" w:hAnsi="宋体" w:cs="宋体"/>
          <w:bCs/>
        </w:rPr>
      </w:pPr>
      <w:r>
        <w:rPr>
          <w:rFonts w:hint="eastAsia" w:ascii="宋体" w:hAnsi="宋体" w:cs="宋体"/>
          <w:bCs/>
        </w:rPr>
        <w:t>9、中标人须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pPr>
        <w:pStyle w:val="112"/>
        <w:adjustRightInd w:val="0"/>
        <w:snapToGrid w:val="0"/>
        <w:spacing w:line="360" w:lineRule="auto"/>
        <w:rPr>
          <w:rFonts w:ascii="宋体" w:hAnsi="宋体" w:cs="宋体"/>
          <w:bCs/>
        </w:rPr>
      </w:pPr>
      <w:r>
        <w:rPr>
          <w:rFonts w:hint="eastAsia" w:ascii="宋体" w:hAnsi="宋体" w:cs="宋体"/>
          <w:bCs/>
        </w:rPr>
        <w:t>10、实行项目经理负责制，并按投标文件配备项目管理班子。如未经采购人同意更换项目班子成员，采购人有权取消中标人的中标资格或单方面终止合同，由此造成的违约责任由中标人承担。</w:t>
      </w:r>
    </w:p>
    <w:p>
      <w:pPr>
        <w:pStyle w:val="112"/>
        <w:adjustRightInd w:val="0"/>
        <w:snapToGrid w:val="0"/>
        <w:spacing w:line="360" w:lineRule="auto"/>
        <w:rPr>
          <w:rFonts w:ascii="宋体" w:hAnsi="宋体" w:cs="宋体"/>
          <w:bCs/>
        </w:rPr>
      </w:pPr>
      <w:r>
        <w:rPr>
          <w:rFonts w:hint="eastAsia" w:ascii="宋体" w:hAnsi="宋体" w:cs="宋体"/>
          <w:bCs/>
        </w:rPr>
        <w:t>11、采购人有权监督中标人关于本项目工程进度组织、工程技术实施、高空作业规范等相关法律法规及技术规范落实，如有不符合技术要求的，有权依据相关法规及规范要求中标人返工直至达到要求。</w:t>
      </w:r>
    </w:p>
    <w:p>
      <w:pPr>
        <w:pStyle w:val="112"/>
        <w:adjustRightInd w:val="0"/>
        <w:snapToGrid w:val="0"/>
        <w:spacing w:line="360" w:lineRule="auto"/>
        <w:rPr>
          <w:rFonts w:ascii="宋体" w:hAnsi="宋体" w:cs="宋体"/>
          <w:bCs/>
        </w:rPr>
      </w:pPr>
      <w:r>
        <w:rPr>
          <w:rFonts w:hint="eastAsia" w:ascii="宋体" w:hAnsi="宋体" w:cs="宋体"/>
          <w:bCs/>
        </w:rPr>
        <w:t>12、中标人实施本项目施工过程中，需保证所有隐蔽工程在采购人验收并确认后实施。</w:t>
      </w:r>
    </w:p>
    <w:p>
      <w:pPr>
        <w:pStyle w:val="112"/>
        <w:adjustRightInd w:val="0"/>
        <w:snapToGrid w:val="0"/>
        <w:spacing w:line="360" w:lineRule="auto"/>
        <w:rPr>
          <w:rFonts w:ascii="宋体" w:hAnsi="宋体" w:cs="宋体"/>
          <w:bCs/>
        </w:rPr>
      </w:pPr>
      <w:r>
        <w:rPr>
          <w:rFonts w:hint="eastAsia" w:ascii="宋体" w:hAnsi="宋体" w:cs="宋体"/>
          <w:bCs/>
        </w:rPr>
        <w:t>13、中标人应严格遵守国家、深圳市有关施工管理方面的法律、法规，服从监理单位的监理和发包方的监督、指导。如由违约，按相关条约从重处罚。在施工过程中发现中标人有违反施工管理方面的法律、法规及规章制度时，将视其情节轻重给于中标人通报批评、警告、责令停工等违约责任，并有权处于中标人1万元至5万元的罚款。</w:t>
      </w:r>
    </w:p>
    <w:p>
      <w:pPr>
        <w:pStyle w:val="112"/>
        <w:adjustRightInd w:val="0"/>
        <w:snapToGrid w:val="0"/>
        <w:spacing w:line="360" w:lineRule="auto"/>
        <w:rPr>
          <w:rFonts w:ascii="宋体" w:hAnsi="宋体" w:cs="宋体"/>
          <w:bCs/>
        </w:rPr>
      </w:pPr>
      <w:r>
        <w:rPr>
          <w:rFonts w:hint="eastAsia" w:ascii="宋体" w:hAnsi="宋体" w:cs="宋体"/>
          <w:bCs/>
        </w:rPr>
        <w:t>14、中标人在工程施工前，须全面检查工地情况，若发现错误须立刻通知监理或采购人代表。若未能遵从此规定，使本工程的任何项目因此等错误或缺陷而错误的建造，则中标人须自费予以拆除及重建。</w:t>
      </w:r>
    </w:p>
    <w:p>
      <w:pPr>
        <w:pStyle w:val="112"/>
        <w:adjustRightInd w:val="0"/>
        <w:snapToGrid w:val="0"/>
        <w:spacing w:line="360" w:lineRule="auto"/>
        <w:rPr>
          <w:rFonts w:ascii="宋体" w:hAnsi="宋体" w:cs="宋体"/>
          <w:bCs/>
        </w:rPr>
      </w:pPr>
      <w:r>
        <w:rPr>
          <w:rFonts w:hint="eastAsia" w:ascii="宋体" w:hAnsi="宋体" w:cs="宋体"/>
          <w:bCs/>
        </w:rPr>
        <w:t>15、施工现场定位要求</w:t>
      </w:r>
    </w:p>
    <w:p>
      <w:pPr>
        <w:pStyle w:val="112"/>
        <w:adjustRightInd w:val="0"/>
        <w:snapToGrid w:val="0"/>
        <w:spacing w:line="360" w:lineRule="auto"/>
        <w:rPr>
          <w:rFonts w:ascii="宋体" w:hAnsi="宋体" w:cs="宋体"/>
          <w:bCs/>
        </w:rPr>
      </w:pPr>
      <w:r>
        <w:rPr>
          <w:rFonts w:hint="eastAsia" w:ascii="宋体" w:hAnsi="宋体" w:cs="宋体"/>
          <w:bCs/>
        </w:rPr>
        <w:t>中标人必须按照设计图纸施工，工程实施过程中不得随意更换施工工艺，若现场实际情况确实需改变原工艺的，须报采购人批准后方可实施。</w:t>
      </w:r>
    </w:p>
    <w:p>
      <w:pPr>
        <w:pStyle w:val="112"/>
        <w:adjustRightInd w:val="0"/>
        <w:snapToGrid w:val="0"/>
        <w:spacing w:line="360" w:lineRule="auto"/>
        <w:rPr>
          <w:rFonts w:ascii="宋体" w:hAnsi="宋体" w:cs="宋体"/>
          <w:bCs/>
        </w:rPr>
      </w:pPr>
      <w:r>
        <w:rPr>
          <w:rFonts w:hint="eastAsia" w:ascii="宋体" w:hAnsi="宋体" w:cs="宋体"/>
          <w:bCs/>
        </w:rPr>
        <w:t>16、重要工序签证要求</w:t>
      </w:r>
    </w:p>
    <w:p>
      <w:pPr>
        <w:pStyle w:val="112"/>
        <w:adjustRightInd w:val="0"/>
        <w:snapToGrid w:val="0"/>
        <w:spacing w:line="360" w:lineRule="auto"/>
        <w:rPr>
          <w:rFonts w:ascii="宋体" w:hAnsi="宋体" w:cs="宋体"/>
          <w:bCs/>
        </w:rPr>
      </w:pPr>
      <w:r>
        <w:rPr>
          <w:rFonts w:hint="eastAsia" w:ascii="宋体" w:hAnsi="宋体" w:cs="宋体"/>
          <w:bCs/>
        </w:rPr>
        <w:t>对于主要工序作业和隐蔽作业，如焊接、切割等，中标人必须按有关规范要求，否则采购人有权要求以各种可行方法重新检验，所发生的一切损失及费用由中标人承担。</w:t>
      </w:r>
    </w:p>
    <w:p>
      <w:pPr>
        <w:pStyle w:val="112"/>
        <w:adjustRightInd w:val="0"/>
        <w:snapToGrid w:val="0"/>
        <w:spacing w:line="360" w:lineRule="auto"/>
        <w:rPr>
          <w:rFonts w:ascii="宋体" w:hAnsi="宋体" w:cs="宋体"/>
          <w:bCs/>
        </w:rPr>
      </w:pPr>
      <w:r>
        <w:rPr>
          <w:rFonts w:hint="eastAsia" w:ascii="宋体" w:hAnsi="宋体" w:cs="宋体"/>
          <w:bCs/>
        </w:rPr>
        <w:t>17、停工规定</w:t>
      </w:r>
    </w:p>
    <w:p>
      <w:pPr>
        <w:pStyle w:val="112"/>
        <w:adjustRightInd w:val="0"/>
        <w:snapToGrid w:val="0"/>
        <w:spacing w:line="360" w:lineRule="auto"/>
        <w:rPr>
          <w:rFonts w:ascii="宋体" w:hAnsi="宋体" w:cs="宋体"/>
          <w:bCs/>
        </w:rPr>
      </w:pPr>
      <w:r>
        <w:rPr>
          <w:rFonts w:hint="eastAsia" w:ascii="宋体" w:hAnsi="宋体" w:cs="宋体"/>
          <w:bCs/>
        </w:rPr>
        <w:t>在出现下列情况下，采购人有权下达停工令：</w:t>
      </w:r>
    </w:p>
    <w:p>
      <w:pPr>
        <w:pStyle w:val="112"/>
        <w:adjustRightInd w:val="0"/>
        <w:snapToGrid w:val="0"/>
        <w:spacing w:line="360" w:lineRule="auto"/>
        <w:rPr>
          <w:rFonts w:ascii="宋体" w:hAnsi="宋体" w:cs="宋体"/>
          <w:bCs/>
        </w:rPr>
      </w:pPr>
      <w:r>
        <w:rPr>
          <w:rFonts w:hint="eastAsia" w:ascii="宋体" w:hAnsi="宋体" w:cs="宋体"/>
          <w:bCs/>
        </w:rPr>
        <w:t>1）施工中出现质量异常情况，经提出后，中标人未采取有效措施，或措施不力未能扭转这种情况；</w:t>
      </w:r>
    </w:p>
    <w:p>
      <w:pPr>
        <w:pStyle w:val="112"/>
        <w:adjustRightInd w:val="0"/>
        <w:snapToGrid w:val="0"/>
        <w:spacing w:line="360" w:lineRule="auto"/>
        <w:rPr>
          <w:rFonts w:ascii="宋体" w:hAnsi="宋体" w:cs="宋体"/>
          <w:bCs/>
        </w:rPr>
      </w:pPr>
      <w:r>
        <w:rPr>
          <w:rFonts w:hint="eastAsia" w:ascii="宋体" w:hAnsi="宋体" w:cs="宋体"/>
          <w:bCs/>
        </w:rPr>
        <w:t>2）隐蔽作业未经查验确认合格，而擅自封闭；</w:t>
      </w:r>
    </w:p>
    <w:p>
      <w:pPr>
        <w:pStyle w:val="112"/>
        <w:adjustRightInd w:val="0"/>
        <w:snapToGrid w:val="0"/>
        <w:spacing w:line="360" w:lineRule="auto"/>
        <w:rPr>
          <w:rFonts w:ascii="宋体" w:hAnsi="宋体" w:cs="宋体"/>
          <w:bCs/>
        </w:rPr>
      </w:pPr>
      <w:r>
        <w:rPr>
          <w:rFonts w:hint="eastAsia" w:ascii="宋体" w:hAnsi="宋体" w:cs="宋体"/>
          <w:bCs/>
        </w:rPr>
        <w:t>3）已发生质量事故迟迟未按采购人要求进行处理，或者是已发生质量缺陷或事故，如不停工则质量缺陷或事故将继续发展的情况下；</w:t>
      </w:r>
    </w:p>
    <w:p>
      <w:pPr>
        <w:pStyle w:val="112"/>
        <w:adjustRightInd w:val="0"/>
        <w:snapToGrid w:val="0"/>
        <w:spacing w:line="360" w:lineRule="auto"/>
        <w:rPr>
          <w:rFonts w:ascii="宋体" w:hAnsi="宋体" w:cs="宋体"/>
          <w:bCs/>
        </w:rPr>
      </w:pPr>
      <w:r>
        <w:rPr>
          <w:rFonts w:hint="eastAsia" w:ascii="宋体" w:hAnsi="宋体" w:cs="宋体"/>
          <w:bCs/>
        </w:rPr>
        <w:t>4）未经采购人审查同意，而擅自变更设计或修改图纸进行施工；</w:t>
      </w:r>
    </w:p>
    <w:p>
      <w:pPr>
        <w:pStyle w:val="112"/>
        <w:adjustRightInd w:val="0"/>
        <w:snapToGrid w:val="0"/>
        <w:spacing w:line="360" w:lineRule="auto"/>
        <w:rPr>
          <w:rFonts w:ascii="宋体" w:hAnsi="宋体" w:cs="宋体"/>
          <w:bCs/>
        </w:rPr>
      </w:pPr>
      <w:r>
        <w:rPr>
          <w:rFonts w:hint="eastAsia" w:ascii="宋体" w:hAnsi="宋体" w:cs="宋体"/>
          <w:bCs/>
        </w:rPr>
        <w:t>5）未经技术资质审查的人员或不合格人员进入现场施工；</w:t>
      </w:r>
    </w:p>
    <w:p>
      <w:pPr>
        <w:pStyle w:val="112"/>
        <w:adjustRightInd w:val="0"/>
        <w:snapToGrid w:val="0"/>
        <w:spacing w:line="360" w:lineRule="auto"/>
        <w:rPr>
          <w:rFonts w:ascii="宋体" w:hAnsi="宋体" w:cs="宋体"/>
          <w:bCs/>
        </w:rPr>
      </w:pPr>
      <w:r>
        <w:rPr>
          <w:rFonts w:hint="eastAsia" w:ascii="宋体" w:hAnsi="宋体" w:cs="宋体"/>
          <w:bCs/>
        </w:rPr>
        <w:t>6）使用的原材料、构配件不合格或未经检查确认者；或擅自采用未经审查认可的代用材料。</w:t>
      </w:r>
    </w:p>
    <w:p>
      <w:pPr>
        <w:pStyle w:val="112"/>
        <w:adjustRightInd w:val="0"/>
        <w:snapToGrid w:val="0"/>
        <w:spacing w:line="360" w:lineRule="auto"/>
        <w:rPr>
          <w:rFonts w:ascii="宋体" w:hAnsi="宋体" w:cs="宋体"/>
          <w:bCs/>
        </w:rPr>
      </w:pPr>
      <w:r>
        <w:rPr>
          <w:rFonts w:hint="eastAsia" w:ascii="宋体" w:hAnsi="宋体" w:cs="宋体"/>
          <w:bCs/>
        </w:rPr>
        <w:t>停工所造成的工期延迟及一切损失由中标人承担。</w:t>
      </w:r>
    </w:p>
    <w:p>
      <w:pPr>
        <w:pStyle w:val="112"/>
        <w:adjustRightInd w:val="0"/>
        <w:snapToGrid w:val="0"/>
        <w:spacing w:line="360" w:lineRule="auto"/>
        <w:rPr>
          <w:rFonts w:ascii="宋体" w:hAnsi="宋体" w:cs="宋体"/>
          <w:bCs/>
        </w:rPr>
      </w:pPr>
      <w:r>
        <w:rPr>
          <w:rFonts w:hint="eastAsia" w:ascii="宋体" w:hAnsi="宋体" w:cs="宋体"/>
          <w:bCs/>
        </w:rPr>
        <w:t>18、文明施工保证措施</w:t>
      </w:r>
    </w:p>
    <w:p>
      <w:pPr>
        <w:pStyle w:val="112"/>
        <w:adjustRightInd w:val="0"/>
        <w:snapToGrid w:val="0"/>
        <w:spacing w:line="360" w:lineRule="auto"/>
        <w:rPr>
          <w:rFonts w:ascii="宋体" w:hAnsi="宋体" w:cs="宋体"/>
          <w:bCs/>
        </w:rPr>
      </w:pPr>
      <w:r>
        <w:rPr>
          <w:rFonts w:hint="eastAsia" w:ascii="宋体" w:hAnsi="宋体" w:cs="宋体"/>
          <w:bCs/>
        </w:rPr>
        <w:t>（1）中标人施工人员进入施工现场，必须依法依规落实各项法定安全文明施工法定要求，以及遵守采购人各项安全管理规定。</w:t>
      </w:r>
    </w:p>
    <w:p>
      <w:pPr>
        <w:pStyle w:val="112"/>
        <w:adjustRightInd w:val="0"/>
        <w:snapToGrid w:val="0"/>
        <w:spacing w:line="360" w:lineRule="auto"/>
        <w:rPr>
          <w:rFonts w:ascii="宋体" w:hAnsi="宋体" w:cs="宋体"/>
          <w:bCs/>
        </w:rPr>
      </w:pPr>
      <w:r>
        <w:rPr>
          <w:rFonts w:hint="eastAsia" w:ascii="宋体" w:hAnsi="宋体" w:cs="宋体"/>
          <w:bCs/>
        </w:rPr>
        <w:t>（2）施工人员着装整齐，并佩带工作卡，严格按照相关操作规程正确使用劳动保护用品，不得赤膊，不得穿短裤、裙子、拖鞋、凉鞋、高跟鞋等。</w:t>
      </w:r>
    </w:p>
    <w:p>
      <w:pPr>
        <w:pStyle w:val="112"/>
        <w:adjustRightInd w:val="0"/>
        <w:snapToGrid w:val="0"/>
        <w:spacing w:line="360" w:lineRule="auto"/>
        <w:rPr>
          <w:rFonts w:ascii="宋体" w:hAnsi="宋体" w:cs="宋体"/>
          <w:bCs/>
        </w:rPr>
      </w:pPr>
      <w:r>
        <w:rPr>
          <w:rFonts w:hint="eastAsia" w:ascii="宋体" w:hAnsi="宋体" w:cs="宋体"/>
          <w:bCs/>
        </w:rPr>
        <w:t>（3）施工现场明确划分文明施工管理责任区，坚持“谁施工谁负责”的安全管理原则。</w:t>
      </w:r>
    </w:p>
    <w:p>
      <w:pPr>
        <w:pStyle w:val="112"/>
        <w:adjustRightInd w:val="0"/>
        <w:snapToGrid w:val="0"/>
        <w:spacing w:line="360" w:lineRule="auto"/>
        <w:rPr>
          <w:rFonts w:ascii="宋体" w:hAnsi="宋体" w:cs="宋体"/>
          <w:bCs/>
        </w:rPr>
      </w:pPr>
      <w:r>
        <w:rPr>
          <w:rFonts w:hint="eastAsia" w:ascii="宋体" w:hAnsi="宋体" w:cs="宋体"/>
          <w:bCs/>
        </w:rPr>
        <w:t>（4）在施工过程中，做到“工完、料净、场地清”，保障施工区域不留安全隐患，施工现场设置垃圾池或垃圾桶，施工结束清理现场建筑垃圾，保障区域环境卫生。</w:t>
      </w:r>
    </w:p>
    <w:p>
      <w:pPr>
        <w:pStyle w:val="112"/>
        <w:adjustRightInd w:val="0"/>
        <w:snapToGrid w:val="0"/>
        <w:spacing w:line="360" w:lineRule="auto"/>
        <w:rPr>
          <w:rFonts w:ascii="宋体" w:hAnsi="宋体" w:cs="宋体"/>
          <w:bCs/>
        </w:rPr>
      </w:pPr>
      <w:r>
        <w:rPr>
          <w:rFonts w:hint="eastAsia" w:ascii="宋体" w:hAnsi="宋体" w:cs="宋体"/>
          <w:bCs/>
        </w:rPr>
        <w:t>（5）施工期间采取必要措施保障消防及交通安全，确保园区道路畅通，禁止在消防通道内堆垛设备或材料及其它物品，禁止堵塞安全通道。</w:t>
      </w:r>
    </w:p>
    <w:p>
      <w:pPr>
        <w:pStyle w:val="112"/>
        <w:adjustRightInd w:val="0"/>
        <w:snapToGrid w:val="0"/>
        <w:spacing w:line="360" w:lineRule="auto"/>
        <w:rPr>
          <w:rFonts w:ascii="宋体" w:hAnsi="宋体" w:cs="宋体"/>
          <w:bCs/>
        </w:rPr>
      </w:pPr>
      <w:r>
        <w:rPr>
          <w:rFonts w:hint="eastAsia" w:ascii="宋体" w:hAnsi="宋体" w:cs="宋体"/>
          <w:bCs/>
        </w:rPr>
        <w:t>（6）施工现场所需的工程设备及材料按相关施工规范要求堆放整齐，确保材料堆场牢固，不超宽、超高。</w:t>
      </w:r>
    </w:p>
    <w:p>
      <w:pPr>
        <w:pStyle w:val="112"/>
        <w:adjustRightInd w:val="0"/>
        <w:snapToGrid w:val="0"/>
        <w:spacing w:line="360" w:lineRule="auto"/>
        <w:rPr>
          <w:rFonts w:ascii="宋体" w:hAnsi="宋体" w:cs="宋体"/>
          <w:bCs/>
        </w:rPr>
      </w:pPr>
      <w:r>
        <w:rPr>
          <w:rFonts w:hint="eastAsia" w:ascii="宋体" w:hAnsi="宋体" w:cs="宋体"/>
          <w:bCs/>
        </w:rPr>
        <w:t>（7）设置在施工现场的临时电源（包括总电源箱、配电箱、开关箱、插座箱、电线电缆等）布置与管理，由中标人负责，依法依规执行统一规划，禁止随意摆放。</w:t>
      </w:r>
    </w:p>
    <w:p>
      <w:pPr>
        <w:pStyle w:val="112"/>
        <w:adjustRightInd w:val="0"/>
        <w:snapToGrid w:val="0"/>
        <w:spacing w:line="360" w:lineRule="auto"/>
        <w:rPr>
          <w:rFonts w:ascii="宋体" w:hAnsi="宋体" w:cs="宋体"/>
          <w:bCs/>
        </w:rPr>
      </w:pPr>
      <w:r>
        <w:rPr>
          <w:rFonts w:hint="eastAsia" w:ascii="宋体" w:hAnsi="宋体" w:cs="宋体"/>
          <w:bCs/>
        </w:rPr>
        <w:t>（8）中标人采取相应措施加强对施工现场待安装或已安装的设备进行成品保护，防止二次污染和丢失、损坏，加强现场施工区域的安全保卫工作。</w:t>
      </w:r>
    </w:p>
    <w:p>
      <w:pPr>
        <w:pStyle w:val="112"/>
        <w:adjustRightInd w:val="0"/>
        <w:snapToGrid w:val="0"/>
        <w:spacing w:line="360" w:lineRule="auto"/>
        <w:rPr>
          <w:rFonts w:ascii="宋体" w:hAnsi="宋体" w:cs="宋体"/>
          <w:bCs/>
        </w:rPr>
      </w:pPr>
      <w:r>
        <w:rPr>
          <w:rFonts w:hint="eastAsia" w:ascii="宋体" w:hAnsi="宋体" w:cs="宋体"/>
          <w:bCs/>
        </w:rPr>
        <w:t>（9）严禁在施工现场（包括临时材料仓库）进餐，防止鼠、虫害造成影响。</w:t>
      </w:r>
    </w:p>
    <w:p>
      <w:pPr>
        <w:pStyle w:val="112"/>
        <w:adjustRightInd w:val="0"/>
        <w:snapToGrid w:val="0"/>
        <w:spacing w:line="360" w:lineRule="auto"/>
        <w:rPr>
          <w:rFonts w:ascii="宋体" w:hAnsi="宋体" w:cs="宋体"/>
          <w:bCs/>
        </w:rPr>
      </w:pPr>
      <w:r>
        <w:rPr>
          <w:rFonts w:hint="eastAsia" w:ascii="宋体" w:hAnsi="宋体" w:cs="宋体"/>
          <w:bCs/>
        </w:rPr>
        <w:t>（10）噪音控制措施：</w:t>
      </w:r>
    </w:p>
    <w:p>
      <w:pPr>
        <w:pStyle w:val="112"/>
        <w:adjustRightInd w:val="0"/>
        <w:snapToGrid w:val="0"/>
        <w:spacing w:line="360" w:lineRule="auto"/>
        <w:rPr>
          <w:rFonts w:ascii="宋体" w:hAnsi="宋体" w:cs="宋体"/>
          <w:bCs/>
        </w:rPr>
      </w:pPr>
      <w:r>
        <w:rPr>
          <w:rFonts w:hint="eastAsia" w:ascii="宋体" w:hAnsi="宋体" w:cs="宋体"/>
          <w:bCs/>
        </w:rPr>
        <w:t>1)</w:t>
      </w:r>
      <w:r>
        <w:rPr>
          <w:rFonts w:hint="eastAsia" w:ascii="宋体" w:hAnsi="宋体" w:cs="宋体"/>
          <w:bCs/>
        </w:rPr>
        <w:tab/>
      </w:r>
      <w:r>
        <w:rPr>
          <w:rFonts w:hint="eastAsia" w:ascii="宋体" w:hAnsi="宋体" w:cs="宋体"/>
          <w:bCs/>
        </w:rPr>
        <w:t>中标人落实施工过程中采取相应措施低噪音的工艺和施工方法；</w:t>
      </w:r>
      <w:r>
        <w:rPr>
          <w:rFonts w:hint="eastAsia" w:ascii="宋体" w:hAnsi="宋体" w:cs="宋体"/>
          <w:bCs/>
        </w:rPr>
        <w:tab/>
      </w:r>
    </w:p>
    <w:p>
      <w:pPr>
        <w:pStyle w:val="112"/>
        <w:adjustRightInd w:val="0"/>
        <w:snapToGrid w:val="0"/>
        <w:spacing w:line="360" w:lineRule="auto"/>
        <w:rPr>
          <w:rFonts w:ascii="宋体" w:hAnsi="宋体" w:cs="宋体"/>
          <w:bCs/>
        </w:rPr>
      </w:pPr>
      <w:r>
        <w:rPr>
          <w:rFonts w:hint="eastAsia" w:ascii="宋体" w:hAnsi="宋体" w:cs="宋体"/>
          <w:bCs/>
        </w:rPr>
        <w:t>2)</w:t>
      </w:r>
      <w:r>
        <w:rPr>
          <w:rFonts w:hint="eastAsia" w:ascii="宋体" w:hAnsi="宋体" w:cs="宋体"/>
          <w:bCs/>
        </w:rPr>
        <w:tab/>
      </w:r>
      <w:r>
        <w:rPr>
          <w:rFonts w:hint="eastAsia" w:ascii="宋体" w:hAnsi="宋体" w:cs="宋体"/>
          <w:bCs/>
        </w:rPr>
        <w:t>施工作业期间产生的噪音分贝超过建筑施工现场的噪音限值时，中标人需在开工前向建设行政主管部门及环保部门申报，取得相关核准文件后施工；</w:t>
      </w:r>
    </w:p>
    <w:p>
      <w:pPr>
        <w:pStyle w:val="112"/>
        <w:adjustRightInd w:val="0"/>
        <w:snapToGrid w:val="0"/>
        <w:spacing w:line="360" w:lineRule="auto"/>
        <w:rPr>
          <w:rFonts w:ascii="宋体" w:hAnsi="宋体" w:cs="宋体"/>
          <w:bCs/>
        </w:rPr>
      </w:pPr>
      <w:r>
        <w:rPr>
          <w:rFonts w:hint="eastAsia" w:ascii="宋体" w:hAnsi="宋体" w:cs="宋体"/>
          <w:bCs/>
        </w:rPr>
        <w:t>3)</w:t>
      </w:r>
      <w:r>
        <w:rPr>
          <w:rFonts w:hint="eastAsia" w:ascii="宋体" w:hAnsi="宋体" w:cs="宋体"/>
          <w:bCs/>
        </w:rPr>
        <w:tab/>
      </w:r>
      <w:r>
        <w:rPr>
          <w:rFonts w:hint="eastAsia" w:ascii="宋体" w:hAnsi="宋体" w:cs="宋体"/>
          <w:bCs/>
        </w:rPr>
        <w:t>中标人合理安排施工工序，尽量避免在中午和夜间进行产生噪音的施工作业。</w:t>
      </w:r>
    </w:p>
    <w:p>
      <w:pPr>
        <w:pStyle w:val="112"/>
        <w:adjustRightInd w:val="0"/>
        <w:snapToGrid w:val="0"/>
        <w:spacing w:line="360" w:lineRule="auto"/>
        <w:rPr>
          <w:rFonts w:ascii="宋体" w:hAnsi="宋体" w:cs="宋体"/>
          <w:bCs/>
        </w:rPr>
      </w:pPr>
      <w:r>
        <w:rPr>
          <w:rFonts w:hint="eastAsia" w:ascii="宋体" w:hAnsi="宋体" w:cs="宋体"/>
          <w:bCs/>
        </w:rPr>
        <w:t>（11）因中标人违反文明施工保证措施，而造成的任何采购人或任一第三方损失的，中标人应承担全部赔偿责任，情节严重的，采购人有权解除合同，并要求中标人支付合同总价款的20%作为违约金。</w:t>
      </w:r>
    </w:p>
    <w:p>
      <w:pPr>
        <w:pStyle w:val="112"/>
        <w:adjustRightInd w:val="0"/>
        <w:snapToGrid w:val="0"/>
        <w:spacing w:line="360" w:lineRule="auto"/>
        <w:rPr>
          <w:rFonts w:ascii="宋体" w:hAnsi="宋体" w:cs="宋体"/>
          <w:bCs/>
        </w:rPr>
      </w:pPr>
      <w:r>
        <w:rPr>
          <w:rFonts w:hint="eastAsia" w:ascii="宋体" w:hAnsi="宋体" w:cs="宋体"/>
          <w:bCs/>
        </w:rPr>
        <w:t>19、其他要求</w:t>
      </w:r>
    </w:p>
    <w:p>
      <w:pPr>
        <w:pStyle w:val="112"/>
        <w:adjustRightInd w:val="0"/>
        <w:snapToGrid w:val="0"/>
        <w:spacing w:line="360" w:lineRule="auto"/>
        <w:rPr>
          <w:rFonts w:ascii="宋体" w:hAnsi="宋体" w:cs="宋体"/>
          <w:bCs/>
        </w:rPr>
      </w:pPr>
      <w:r>
        <w:rPr>
          <w:rFonts w:hint="eastAsia" w:ascii="宋体" w:hAnsi="宋体" w:cs="宋体"/>
          <w:bCs/>
        </w:rPr>
        <w:t>（1）中标人在工程施工中，应严格遵守国家及地方对环境保护的有关规定，有责任采取各种有效措施以预防和消除任何因施工造成的环境污染，并应保证采购人免于承担由于这种污染而产生的一切索赔或罚款，本款发生的各种费用，全部由中标人负责支付。</w:t>
      </w:r>
    </w:p>
    <w:p>
      <w:pPr>
        <w:pStyle w:val="112"/>
        <w:adjustRightInd w:val="0"/>
        <w:snapToGrid w:val="0"/>
        <w:spacing w:line="360" w:lineRule="auto"/>
        <w:rPr>
          <w:rFonts w:ascii="宋体" w:hAnsi="宋体" w:cs="宋体"/>
          <w:bCs/>
        </w:rPr>
      </w:pPr>
      <w:r>
        <w:rPr>
          <w:rFonts w:hint="eastAsia" w:ascii="宋体" w:hAnsi="宋体" w:cs="宋体"/>
          <w:bCs/>
        </w:rPr>
        <w:t>（2）中标人应在工程现场周围配备、设置并维护一切必要而合适的标志（或标志牌），以为其雇员和公众提供安全和方便。</w:t>
      </w:r>
    </w:p>
    <w:p>
      <w:pPr>
        <w:pStyle w:val="112"/>
        <w:adjustRightInd w:val="0"/>
        <w:snapToGrid w:val="0"/>
        <w:spacing w:line="360" w:lineRule="auto"/>
        <w:rPr>
          <w:rFonts w:ascii="宋体" w:hAnsi="宋体" w:cs="宋体"/>
          <w:bCs/>
        </w:rPr>
      </w:pPr>
      <w:r>
        <w:rPr>
          <w:rFonts w:hint="eastAsia" w:ascii="宋体" w:hAnsi="宋体" w:cs="宋体"/>
          <w:bCs/>
        </w:rPr>
        <w:t>（3）中标人须作好施工人员的安全教育工作，对于工程项目开展过程中发生的一切安全事故，采购人将不承担任何责任；同时，采购人将根据事故性质，对中标人处以相应的处罚；如果由于安全事故造成采购人财产损失，中标人须进行赔偿，赔偿金额将从工程费用中扣除。</w:t>
      </w:r>
    </w:p>
    <w:p>
      <w:pPr>
        <w:pStyle w:val="112"/>
        <w:adjustRightInd w:val="0"/>
        <w:snapToGrid w:val="0"/>
        <w:spacing w:line="360" w:lineRule="auto"/>
        <w:rPr>
          <w:rFonts w:ascii="宋体" w:hAnsi="宋体" w:cs="宋体"/>
          <w:bCs/>
        </w:rPr>
      </w:pPr>
      <w:r>
        <w:rPr>
          <w:rFonts w:hint="eastAsia" w:ascii="宋体" w:hAnsi="宋体" w:cs="宋体"/>
          <w:bCs/>
        </w:rPr>
        <w:t>（4）中标人在进行临时工程的设计和施工时应遵照相关规范及专门要求和规定；除非另有协议，永久性工程完工后，中标人应移除和处理全部临时工程并把所有临时工程时占用的区域清理好。</w:t>
      </w:r>
    </w:p>
    <w:p>
      <w:pPr>
        <w:pStyle w:val="112"/>
        <w:adjustRightInd w:val="0"/>
        <w:snapToGrid w:val="0"/>
        <w:spacing w:line="360" w:lineRule="auto"/>
        <w:rPr>
          <w:rFonts w:ascii="宋体" w:hAnsi="宋体" w:cs="宋体"/>
          <w:bCs/>
        </w:rPr>
      </w:pPr>
      <w:r>
        <w:rPr>
          <w:rFonts w:hint="eastAsia" w:ascii="宋体" w:hAnsi="宋体" w:cs="宋体"/>
          <w:bCs/>
        </w:rPr>
        <w:t>（5）对于受本工程影响的一切公用设施与结构物，中标人应在本工程施工期间采取一切正当措施加以保护，由于中标人自己的原因造成一些公共设施和公用设施的破坏，须自行负责修复或赔偿，其间所发生的费用，采购人将不作任何补偿。</w:t>
      </w:r>
    </w:p>
    <w:p>
      <w:pPr>
        <w:pStyle w:val="112"/>
        <w:adjustRightInd w:val="0"/>
        <w:snapToGrid w:val="0"/>
        <w:spacing w:line="360" w:lineRule="auto"/>
        <w:rPr>
          <w:rFonts w:hAnsi="宋体"/>
          <w:b/>
        </w:rPr>
      </w:pPr>
      <w:r>
        <w:rPr>
          <w:rFonts w:hint="eastAsia" w:ascii="宋体" w:hAnsi="宋体" w:cs="宋体"/>
          <w:bCs/>
        </w:rPr>
        <w:t>（6）中标人在施工过程中应对施工地沿线、交叉或靠近的所有地下各种管线予以保护；在施工范围内如果发现地下不明管线，应及时向采购人报告，向该管线的所有者查清有关位置和现状，并商议是否拆迁或加以保护等。</w:t>
      </w:r>
    </w:p>
    <w:p>
      <w:pPr>
        <w:pStyle w:val="20"/>
        <w:numPr>
          <w:ilvl w:val="0"/>
          <w:numId w:val="2"/>
        </w:numPr>
        <w:tabs>
          <w:tab w:val="left" w:pos="540"/>
        </w:tabs>
        <w:adjustRightInd w:val="0"/>
        <w:snapToGrid w:val="0"/>
        <w:spacing w:line="360" w:lineRule="auto"/>
        <w:rPr>
          <w:rFonts w:hAnsi="宋体"/>
          <w:b/>
        </w:rPr>
      </w:pPr>
      <w:r>
        <w:rPr>
          <w:rFonts w:hint="eastAsia" w:hAnsi="宋体"/>
          <w:b/>
        </w:rPr>
        <w:t>项目技术要求：</w:t>
      </w:r>
    </w:p>
    <w:p>
      <w:pPr>
        <w:pStyle w:val="112"/>
        <w:adjustRightInd w:val="0"/>
        <w:snapToGrid w:val="0"/>
        <w:spacing w:line="360" w:lineRule="auto"/>
        <w:rPr>
          <w:rFonts w:ascii="宋体" w:hAnsi="宋体" w:cs="宋体"/>
          <w:bCs/>
        </w:rPr>
      </w:pPr>
      <w:r>
        <w:rPr>
          <w:rFonts w:hint="eastAsia" w:ascii="宋体" w:hAnsi="宋体" w:cs="宋体"/>
          <w:bCs/>
        </w:rPr>
        <w:t>1．中标人应勘察现场，出具施工预算（含工程量清单），工程联系单（如有）、工程签证（如有），竣工验收报告，编制结算书，提交施工全过程资料（含图片、录像）等。中标单位不能拒绝执行为完成本项目而需执行的可能遗漏的工作。并根据技术要求与设计图纸（如有）一起使用，如技术要求与相关图纸（如有）不符合时应以两者中较高要求为准。</w:t>
      </w:r>
    </w:p>
    <w:p>
      <w:pPr>
        <w:pStyle w:val="112"/>
        <w:adjustRightInd w:val="0"/>
        <w:snapToGrid w:val="0"/>
        <w:spacing w:line="360" w:lineRule="auto"/>
        <w:rPr>
          <w:rFonts w:ascii="宋体" w:hAnsi="宋体" w:cs="宋体"/>
          <w:bCs/>
        </w:rPr>
      </w:pPr>
      <w:r>
        <w:rPr>
          <w:rFonts w:hint="eastAsia" w:ascii="宋体" w:hAnsi="宋体" w:cs="宋体"/>
          <w:bCs/>
        </w:rPr>
        <w:t>2.</w:t>
      </w:r>
      <w:r>
        <w:rPr>
          <w:rFonts w:hint="eastAsia" w:ascii="宋体" w:hAnsi="宋体" w:cs="宋体"/>
          <w:bCs/>
        </w:rPr>
        <w:tab/>
      </w:r>
      <w:r>
        <w:rPr>
          <w:rFonts w:hint="eastAsia" w:ascii="宋体" w:hAnsi="宋体" w:cs="宋体"/>
          <w:bCs/>
        </w:rPr>
        <w:t>在符合本工程技术要求外，中标人更应符合国家与地方的法律、法规、规范、规程的要求。</w:t>
      </w:r>
    </w:p>
    <w:p>
      <w:pPr>
        <w:pStyle w:val="112"/>
        <w:adjustRightInd w:val="0"/>
        <w:snapToGrid w:val="0"/>
        <w:spacing w:line="360" w:lineRule="auto"/>
        <w:rPr>
          <w:rFonts w:ascii="宋体" w:hAnsi="宋体" w:cs="宋体"/>
          <w:bCs/>
        </w:rPr>
      </w:pPr>
      <w:r>
        <w:rPr>
          <w:rFonts w:hint="eastAsia" w:ascii="宋体" w:hAnsi="宋体" w:cs="宋体"/>
          <w:bCs/>
        </w:rPr>
        <w:t>3.</w:t>
      </w:r>
      <w:r>
        <w:rPr>
          <w:rFonts w:hint="eastAsia" w:ascii="宋体" w:hAnsi="宋体" w:cs="宋体"/>
          <w:bCs/>
        </w:rPr>
        <w:tab/>
      </w:r>
      <w:r>
        <w:rPr>
          <w:rFonts w:hint="eastAsia" w:ascii="宋体" w:hAnsi="宋体" w:cs="宋体"/>
          <w:bCs/>
        </w:rPr>
        <w:t>所用材料的品种、规格和质量须符合设计要求和国家现行标准的规定。严禁使用国家明令淘汰的建筑材料、建筑设备、耗能高的产品及民用建筑挥发性有害物质含量释放量超过国家规定的产品。</w:t>
      </w:r>
    </w:p>
    <w:p>
      <w:pPr>
        <w:pStyle w:val="112"/>
        <w:adjustRightInd w:val="0"/>
        <w:snapToGrid w:val="0"/>
        <w:spacing w:line="360" w:lineRule="auto"/>
        <w:rPr>
          <w:rFonts w:ascii="宋体" w:hAnsi="宋体" w:cs="宋体"/>
          <w:bCs/>
        </w:rPr>
      </w:pPr>
      <w:r>
        <w:rPr>
          <w:rFonts w:hint="eastAsia" w:ascii="宋体" w:hAnsi="宋体" w:cs="宋体"/>
          <w:bCs/>
        </w:rPr>
        <w:t>5.</w:t>
      </w:r>
      <w:r>
        <w:rPr>
          <w:rFonts w:hint="eastAsia" w:ascii="宋体" w:hAnsi="宋体" w:cs="宋体"/>
          <w:bCs/>
        </w:rPr>
        <w:tab/>
      </w:r>
      <w:r>
        <w:rPr>
          <w:rFonts w:hint="eastAsia" w:ascii="宋体" w:hAnsi="宋体" w:cs="宋体"/>
          <w:bCs/>
        </w:rPr>
        <w:t>当工程量清单项目或设计图纸与招标文件的“技术要求”不一致时，投标人以最高的技术要求为准。</w:t>
      </w:r>
    </w:p>
    <w:p>
      <w:pPr>
        <w:pStyle w:val="112"/>
        <w:adjustRightInd w:val="0"/>
        <w:snapToGrid w:val="0"/>
        <w:spacing w:line="360" w:lineRule="auto"/>
        <w:rPr>
          <w:rFonts w:ascii="宋体" w:hAnsi="宋体" w:cs="宋体"/>
          <w:bCs/>
        </w:rPr>
      </w:pPr>
      <w:r>
        <w:rPr>
          <w:rFonts w:hint="eastAsia" w:ascii="宋体" w:hAnsi="宋体" w:cs="宋体"/>
          <w:bCs/>
        </w:rPr>
        <w:t>6.</w:t>
      </w:r>
      <w:r>
        <w:rPr>
          <w:rFonts w:hint="eastAsia" w:ascii="宋体" w:hAnsi="宋体" w:cs="宋体"/>
          <w:bCs/>
        </w:rPr>
        <w:tab/>
      </w:r>
      <w:r>
        <w:rPr>
          <w:rFonts w:hint="eastAsia" w:ascii="宋体" w:hAnsi="宋体" w:cs="宋体"/>
          <w:bCs/>
        </w:rPr>
        <w:t>中标人应编制《安全文明施工组织设计》专项方案，该方案应满足国家、地方现行法律法规及合同有关条款的规定并经监理工程师批准后实施。</w:t>
      </w:r>
    </w:p>
    <w:p>
      <w:pPr>
        <w:pStyle w:val="112"/>
        <w:adjustRightInd w:val="0"/>
        <w:snapToGrid w:val="0"/>
        <w:spacing w:line="360" w:lineRule="auto"/>
        <w:rPr>
          <w:rFonts w:ascii="宋体" w:hAnsi="宋体" w:cs="宋体"/>
          <w:bCs/>
        </w:rPr>
      </w:pPr>
      <w:r>
        <w:rPr>
          <w:rFonts w:hint="eastAsia" w:ascii="宋体" w:hAnsi="宋体" w:cs="宋体"/>
          <w:bCs/>
        </w:rPr>
        <w:t>7.</w:t>
      </w:r>
      <w:r>
        <w:rPr>
          <w:rFonts w:hint="eastAsia" w:ascii="宋体" w:hAnsi="宋体" w:cs="宋体"/>
          <w:bCs/>
        </w:rPr>
        <w:tab/>
      </w:r>
      <w:r>
        <w:rPr>
          <w:rFonts w:hint="eastAsia" w:ascii="宋体" w:hAnsi="宋体" w:cs="宋体"/>
          <w:bCs/>
        </w:rPr>
        <w:t>所有用于本工程的材料的防火等级必须满足设计及防火规范要求。</w:t>
      </w:r>
    </w:p>
    <w:p>
      <w:pPr>
        <w:pStyle w:val="112"/>
        <w:adjustRightInd w:val="0"/>
        <w:snapToGrid w:val="0"/>
        <w:spacing w:line="360" w:lineRule="auto"/>
        <w:rPr>
          <w:rFonts w:ascii="宋体" w:hAnsi="宋体" w:cs="宋体"/>
          <w:bCs/>
        </w:rPr>
      </w:pPr>
      <w:r>
        <w:rPr>
          <w:rFonts w:hint="eastAsia" w:ascii="宋体" w:hAnsi="宋体" w:cs="宋体"/>
          <w:bCs/>
        </w:rPr>
        <w:t>8.</w:t>
      </w:r>
      <w:r>
        <w:rPr>
          <w:rFonts w:hint="eastAsia" w:ascii="宋体" w:hAnsi="宋体" w:cs="宋体"/>
          <w:bCs/>
        </w:rPr>
        <w:tab/>
      </w:r>
      <w:r>
        <w:rPr>
          <w:rFonts w:hint="eastAsia" w:ascii="宋体" w:hAnsi="宋体" w:cs="宋体"/>
          <w:bCs/>
        </w:rPr>
        <w:t>所需用的脚手架、满堂架搭设、支架搭设应符合有关规定要求。</w:t>
      </w:r>
    </w:p>
    <w:p>
      <w:pPr>
        <w:pStyle w:val="112"/>
        <w:adjustRightInd w:val="0"/>
        <w:snapToGrid w:val="0"/>
        <w:spacing w:line="360" w:lineRule="auto"/>
        <w:rPr>
          <w:rFonts w:hAnsi="宋体"/>
          <w:b/>
        </w:rPr>
      </w:pPr>
      <w:r>
        <w:rPr>
          <w:rFonts w:hint="eastAsia" w:ascii="宋体" w:hAnsi="宋体" w:cs="宋体"/>
          <w:bCs/>
        </w:rPr>
        <w:t>9.</w:t>
      </w:r>
      <w:r>
        <w:rPr>
          <w:rFonts w:hint="eastAsia" w:ascii="宋体" w:hAnsi="宋体" w:cs="宋体"/>
          <w:bCs/>
        </w:rPr>
        <w:tab/>
      </w:r>
      <w:r>
        <w:rPr>
          <w:rFonts w:hint="eastAsia" w:ascii="宋体" w:hAnsi="宋体" w:cs="宋体"/>
          <w:bCs/>
        </w:rPr>
        <w:t>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工程要求达到绿色建筑标准，技术上、施工上必须严格执行相关标准、规范。</w:t>
      </w:r>
    </w:p>
    <w:p>
      <w:pPr>
        <w:pStyle w:val="20"/>
        <w:numPr>
          <w:ilvl w:val="0"/>
          <w:numId w:val="2"/>
        </w:numPr>
        <w:tabs>
          <w:tab w:val="left" w:pos="540"/>
        </w:tabs>
        <w:adjustRightInd w:val="0"/>
        <w:snapToGrid w:val="0"/>
        <w:spacing w:line="360" w:lineRule="auto"/>
        <w:rPr>
          <w:rFonts w:hAnsi="宋体"/>
          <w:b/>
        </w:rPr>
      </w:pPr>
      <w:r>
        <w:rPr>
          <w:rFonts w:hint="eastAsia" w:hAnsi="宋体"/>
          <w:b/>
        </w:rPr>
        <w:t>具体技术要求</w:t>
      </w:r>
    </w:p>
    <w:p>
      <w:pPr>
        <w:pStyle w:val="112"/>
        <w:adjustRightInd w:val="0"/>
        <w:snapToGrid w:val="0"/>
        <w:spacing w:line="360" w:lineRule="auto"/>
        <w:rPr>
          <w:rFonts w:ascii="宋体" w:hAnsi="宋体" w:cs="宋体"/>
          <w:bCs/>
        </w:rPr>
      </w:pPr>
      <w:r>
        <w:rPr>
          <w:rFonts w:hint="eastAsia" w:ascii="宋体" w:hAnsi="宋体" w:cs="宋体"/>
          <w:bCs/>
        </w:rPr>
        <w:t>1、施工时间：工作日早9:00-12:00；下午14:30-18:00；为避免对小区环境造成影响，噪音较大的工作及运送垃圾时间应安排至下午14:30-18:00实施。</w:t>
      </w:r>
    </w:p>
    <w:p>
      <w:pPr>
        <w:pStyle w:val="112"/>
        <w:adjustRightInd w:val="0"/>
        <w:snapToGrid w:val="0"/>
        <w:spacing w:line="360" w:lineRule="auto"/>
        <w:rPr>
          <w:rFonts w:ascii="宋体" w:hAnsi="宋体" w:cs="宋体"/>
          <w:bCs/>
        </w:rPr>
      </w:pPr>
      <w:r>
        <w:rPr>
          <w:rFonts w:hint="eastAsia" w:ascii="宋体" w:hAnsi="宋体" w:cs="宋体"/>
          <w:bCs/>
        </w:rPr>
        <w:t>2、不提供人员住宿和餐食，且施工现场不能留有人员住宿。</w:t>
      </w:r>
    </w:p>
    <w:p>
      <w:pPr>
        <w:pStyle w:val="112"/>
        <w:adjustRightInd w:val="0"/>
        <w:snapToGrid w:val="0"/>
        <w:spacing w:line="360" w:lineRule="auto"/>
        <w:rPr>
          <w:rFonts w:ascii="宋体" w:hAnsi="宋体" w:cs="宋体"/>
          <w:bCs/>
        </w:rPr>
      </w:pPr>
      <w:r>
        <w:rPr>
          <w:rFonts w:hint="eastAsia" w:ascii="宋体" w:hAnsi="宋体" w:cs="宋体"/>
          <w:bCs/>
        </w:rPr>
        <w:t>3、产生的建筑垃圾需及时清理（日清日洁），小区范围内不提供建筑垃圾堆放和暂存点。</w:t>
      </w:r>
    </w:p>
    <w:p>
      <w:pPr>
        <w:pStyle w:val="112"/>
        <w:adjustRightInd w:val="0"/>
        <w:snapToGrid w:val="0"/>
        <w:spacing w:line="360" w:lineRule="auto"/>
        <w:rPr>
          <w:rFonts w:ascii="宋体" w:hAnsi="宋体" w:cs="宋体"/>
          <w:bCs/>
        </w:rPr>
      </w:pPr>
      <w:r>
        <w:rPr>
          <w:rFonts w:hint="eastAsia" w:ascii="宋体" w:hAnsi="宋体" w:cs="宋体"/>
          <w:bCs/>
        </w:rPr>
        <w:t>4、现场施工，中标人务必自行做好有关疫情及其他转染疾病的防护工作，包括但不限于每日体温测量和登记、佩戴医用口罩等。</w:t>
      </w:r>
    </w:p>
    <w:p>
      <w:pPr>
        <w:pStyle w:val="112"/>
        <w:adjustRightInd w:val="0"/>
        <w:snapToGrid w:val="0"/>
        <w:spacing w:line="360" w:lineRule="auto"/>
        <w:rPr>
          <w:rFonts w:ascii="宋体" w:hAnsi="宋体" w:cs="宋体"/>
          <w:bCs/>
        </w:rPr>
      </w:pPr>
      <w:r>
        <w:rPr>
          <w:rFonts w:hint="eastAsia" w:ascii="宋体" w:hAnsi="宋体" w:cs="宋体"/>
          <w:bCs/>
        </w:rPr>
        <w:t>5、进场施工前完成小区内相关备案手续，提供进场施工前所有入场施工人员的有效且正常的核酸检测结果，核酸检测结果有效期为7天。</w:t>
      </w:r>
    </w:p>
    <w:p>
      <w:pPr>
        <w:pStyle w:val="112"/>
        <w:adjustRightInd w:val="0"/>
        <w:snapToGrid w:val="0"/>
        <w:spacing w:line="360" w:lineRule="auto"/>
        <w:rPr>
          <w:rFonts w:hAnsi="宋体"/>
          <w:b/>
        </w:rPr>
      </w:pPr>
      <w:r>
        <w:rPr>
          <w:rFonts w:hint="eastAsia" w:ascii="宋体" w:hAnsi="宋体" w:cs="宋体"/>
          <w:bCs/>
        </w:rPr>
        <w:t>6、因工作需要需涉及楼上、楼下施工或勘查的工作，必须进行事前沟通，按沟通后的确定时间和内容进行施工。尽量避免和减少对小区日常工作的影响。</w:t>
      </w:r>
    </w:p>
    <w:p>
      <w:pPr>
        <w:pStyle w:val="20"/>
        <w:numPr>
          <w:ilvl w:val="0"/>
          <w:numId w:val="2"/>
        </w:numPr>
        <w:tabs>
          <w:tab w:val="left" w:pos="540"/>
        </w:tabs>
        <w:adjustRightInd w:val="0"/>
        <w:snapToGrid w:val="0"/>
        <w:spacing w:line="360" w:lineRule="auto"/>
        <w:rPr>
          <w:rFonts w:hAnsi="宋体"/>
          <w:b/>
        </w:rPr>
      </w:pPr>
      <w:r>
        <w:rPr>
          <w:rFonts w:hint="eastAsia" w:hAnsi="宋体"/>
          <w:b/>
        </w:rPr>
        <w:t>商务要求：</w:t>
      </w:r>
    </w:p>
    <w:p>
      <w:pPr>
        <w:pStyle w:val="112"/>
        <w:adjustRightInd w:val="0"/>
        <w:snapToGrid w:val="0"/>
        <w:spacing w:line="360" w:lineRule="auto"/>
        <w:rPr>
          <w:rFonts w:ascii="宋体" w:hAnsi="宋体" w:cs="宋体"/>
          <w:bCs/>
        </w:rPr>
      </w:pPr>
      <w:r>
        <w:rPr>
          <w:rFonts w:hint="eastAsia" w:ascii="宋体" w:hAnsi="宋体" w:cs="宋体"/>
          <w:bCs/>
        </w:rPr>
        <w:t>1、免费保修期：</w:t>
      </w:r>
      <w:r>
        <w:rPr>
          <w:rFonts w:hint="eastAsia" w:ascii="宋体" w:hAnsi="宋体" w:cs="宋体"/>
          <w:b/>
        </w:rPr>
        <w:t>本项目免费保修期 贰 年，时间自最终验收合格并交付使用之日起计算。在保修期内，一旦发生质量问题，中标人保证在接到通知24小时内赶到现场进行修理或更换。</w:t>
      </w:r>
    </w:p>
    <w:p>
      <w:pPr>
        <w:pStyle w:val="112"/>
        <w:adjustRightInd w:val="0"/>
        <w:snapToGrid w:val="0"/>
        <w:spacing w:line="360" w:lineRule="auto"/>
        <w:rPr>
          <w:rFonts w:ascii="宋体" w:hAnsi="宋体" w:cs="宋体"/>
          <w:bCs/>
        </w:rPr>
      </w:pPr>
      <w:r>
        <w:rPr>
          <w:rFonts w:hint="eastAsia" w:ascii="宋体" w:hAnsi="宋体" w:cs="宋体"/>
          <w:bCs/>
        </w:rPr>
        <w:t>2、响应时间：中标人承诺保修期内接到采购人通知（电话或书面）30分钟内响应，8小时内到达指定现场，24小时内排除故障。</w:t>
      </w:r>
    </w:p>
    <w:p>
      <w:pPr>
        <w:pStyle w:val="112"/>
        <w:adjustRightInd w:val="0"/>
        <w:snapToGrid w:val="0"/>
        <w:spacing w:line="360" w:lineRule="auto"/>
        <w:rPr>
          <w:rFonts w:ascii="宋体" w:hAnsi="宋体" w:cs="宋体"/>
          <w:bCs/>
        </w:rPr>
      </w:pPr>
      <w:r>
        <w:rPr>
          <w:rFonts w:hint="eastAsia" w:ascii="宋体" w:hAnsi="宋体" w:cs="宋体"/>
          <w:bCs/>
        </w:rPr>
        <w:t>3、关于验收：中标人已按照合同规定完成项目的全部工程量。中标人经过双方检验认可后，签署验收报告，产品保修期自验收合格之日起算，由投标人提供产品保修文件。采购人有权要求第三方对质量进行全程质量监控，服务内容包括生产过程监督抽样及检测工作、出具质量验收报告（CMA）等2项内容，抽样或监测不合格的，费用由中标人承担。因检测导致设备不能再使用的，由中标人免费增补。</w:t>
      </w:r>
    </w:p>
    <w:p>
      <w:pPr>
        <w:pStyle w:val="112"/>
        <w:adjustRightInd w:val="0"/>
        <w:snapToGrid w:val="0"/>
        <w:spacing w:line="360" w:lineRule="auto"/>
        <w:rPr>
          <w:rFonts w:ascii="宋体" w:hAnsi="宋体" w:cs="宋体"/>
          <w:bCs/>
        </w:rPr>
      </w:pPr>
      <w:r>
        <w:rPr>
          <w:rFonts w:hint="eastAsia" w:ascii="宋体" w:hAnsi="宋体" w:cs="宋体"/>
          <w:bCs/>
        </w:rPr>
        <w:t>4、质量保障：项目履约期间，采购人有权邀请第三方检测机构，并要求中标人提供的本项目全部或部分设备，依据招标文件逐一测试验证。检测结果如与投标文件不符，则按照深圳市相关政策条例，上报财政局严肃处理。</w:t>
      </w:r>
    </w:p>
    <w:p>
      <w:pPr>
        <w:pStyle w:val="112"/>
        <w:adjustRightInd w:val="0"/>
        <w:snapToGrid w:val="0"/>
        <w:spacing w:line="360" w:lineRule="auto"/>
        <w:rPr>
          <w:rFonts w:ascii="宋体" w:hAnsi="宋体" w:cs="宋体"/>
          <w:bCs/>
        </w:rPr>
      </w:pPr>
      <w:r>
        <w:rPr>
          <w:rFonts w:hint="eastAsia" w:ascii="宋体" w:hAnsi="宋体" w:cs="宋体"/>
          <w:bCs/>
        </w:rPr>
        <w:t>5、违约责任：逾期不能完成项目，从合同约定交货期结束日的次日起，中标人每日按照合同签订总价的1‰向采购人支付违约金。</w:t>
      </w:r>
    </w:p>
    <w:p>
      <w:pPr>
        <w:pStyle w:val="112"/>
        <w:adjustRightInd w:val="0"/>
        <w:snapToGrid w:val="0"/>
        <w:spacing w:line="360" w:lineRule="auto"/>
        <w:ind w:firstLine="422"/>
        <w:rPr>
          <w:rFonts w:ascii="宋体" w:hAnsi="宋体" w:cs="宋体"/>
          <w:b/>
        </w:rPr>
      </w:pPr>
      <w:r>
        <w:rPr>
          <w:rFonts w:hint="eastAsia" w:ascii="宋体" w:hAnsi="宋体" w:cs="宋体"/>
          <w:b/>
        </w:rPr>
        <w:t>6.项目工期：自合同签订之日起60天；</w:t>
      </w:r>
    </w:p>
    <w:p>
      <w:pPr>
        <w:pStyle w:val="112"/>
        <w:adjustRightInd w:val="0"/>
        <w:snapToGrid w:val="0"/>
        <w:spacing w:line="360" w:lineRule="auto"/>
        <w:ind w:firstLine="422"/>
        <w:rPr>
          <w:rFonts w:ascii="宋体" w:hAnsi="宋体" w:cs="宋体"/>
          <w:b/>
        </w:rPr>
      </w:pPr>
      <w:r>
        <w:rPr>
          <w:rFonts w:hint="eastAsia" w:ascii="宋体" w:hAnsi="宋体" w:cs="宋体"/>
          <w:b/>
        </w:rPr>
        <w:t>7.实施地点：采购人指定地点。</w:t>
      </w:r>
    </w:p>
    <w:p>
      <w:pPr>
        <w:pStyle w:val="112"/>
        <w:adjustRightInd w:val="0"/>
        <w:snapToGrid w:val="0"/>
        <w:spacing w:line="360" w:lineRule="auto"/>
        <w:rPr>
          <w:rFonts w:ascii="宋体" w:hAnsi="宋体" w:cs="宋体"/>
          <w:b/>
        </w:rPr>
      </w:pPr>
      <w:r>
        <w:rPr>
          <w:rFonts w:hint="eastAsia" w:ascii="宋体" w:hAnsi="宋体" w:cs="宋体"/>
          <w:bCs/>
        </w:rPr>
        <w:t>8、</w:t>
      </w:r>
      <w:r>
        <w:rPr>
          <w:rFonts w:hint="eastAsia" w:ascii="宋体" w:hAnsi="宋体" w:cs="宋体"/>
          <w:b/>
        </w:rPr>
        <w:t>付款方式：合同结算方式：合同签订后10个工作日内预付30%，工程量完成预算书（或预算审核书）的100%时，支付至合同价的70%；竣工验收合格后支付到合同价的80%，经政府部门确认的造价部门审定或决算审计后支付到审定结算价的97%，保修期满后按相关规定支付余额。</w:t>
      </w:r>
    </w:p>
    <w:p>
      <w:pPr>
        <w:pStyle w:val="112"/>
        <w:adjustRightInd w:val="0"/>
        <w:snapToGrid w:val="0"/>
        <w:spacing w:line="360" w:lineRule="auto"/>
        <w:ind w:firstLine="422"/>
        <w:rPr>
          <w:rFonts w:ascii="宋体" w:hAnsi="宋体" w:cs="宋体"/>
          <w:b/>
        </w:rPr>
      </w:pPr>
      <w:r>
        <w:rPr>
          <w:rFonts w:hint="eastAsia" w:ascii="宋体" w:hAnsi="宋体" w:cs="宋体"/>
          <w:b/>
        </w:rPr>
        <w:t>9、因甲方使用的是政府财政资金，甲方在前款规定的结算期限内应向政府采购支付部门提出办理财政支付申请手续（不含政府财政支付部门审核的时间），财政申请后实际到账时间出现延误的，应视为甲方依约履行，但不能规避甲方付款义务直至上述款项到达乙方指定账户。</w:t>
      </w:r>
    </w:p>
    <w:p>
      <w:pPr>
        <w:pStyle w:val="20"/>
        <w:numPr>
          <w:ilvl w:val="0"/>
          <w:numId w:val="2"/>
        </w:numPr>
        <w:tabs>
          <w:tab w:val="left" w:pos="540"/>
        </w:tabs>
        <w:adjustRightInd w:val="0"/>
        <w:snapToGrid w:val="0"/>
        <w:spacing w:line="360" w:lineRule="auto"/>
        <w:rPr>
          <w:rFonts w:hAnsi="宋体"/>
          <w:b/>
        </w:rPr>
      </w:pPr>
      <w:r>
        <w:rPr>
          <w:rFonts w:hint="eastAsia" w:hAnsi="宋体"/>
          <w:b/>
        </w:rPr>
        <w:t>其他</w:t>
      </w:r>
    </w:p>
    <w:p>
      <w:pPr>
        <w:spacing w:line="360" w:lineRule="auto"/>
        <w:ind w:firstLine="480"/>
        <w:rPr>
          <w:rFonts w:ascii="宋体" w:hAnsi="宋体" w:cs="宋体"/>
          <w:szCs w:val="21"/>
          <w:lang w:val="zh-CN"/>
        </w:rPr>
      </w:pPr>
      <w:r>
        <w:rPr>
          <w:rFonts w:ascii="宋体" w:hAnsi="宋体" w:cs="宋体"/>
          <w:szCs w:val="21"/>
          <w:lang w:val="zh-CN"/>
        </w:rPr>
        <w:t>1</w:t>
      </w:r>
      <w:r>
        <w:rPr>
          <w:rFonts w:hint="eastAsia" w:ascii="宋体" w:hAnsi="宋体" w:cs="宋体"/>
          <w:szCs w:val="21"/>
          <w:lang w:val="zh-CN"/>
        </w:rPr>
        <w:t>、采购人委托中标人办理的保险事项：建设工程一切险和第三者责任险，所需的保险费应包含在投标价中，施工中若发生安全事故，一切责任及费用由中标人负责。</w:t>
      </w:r>
    </w:p>
    <w:p>
      <w:pPr>
        <w:spacing w:line="360" w:lineRule="auto"/>
        <w:ind w:firstLine="480"/>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、工程完工后，中标人应恢复修建前的原有状态（工程量按实计算），并使监理工程师和采购人满意，满足政府管理部门的规定和要求。</w:t>
      </w:r>
    </w:p>
    <w:p>
      <w:pPr>
        <w:spacing w:line="360" w:lineRule="auto"/>
        <w:ind w:firstLine="480"/>
        <w:rPr>
          <w:rFonts w:ascii="宋体" w:hAnsi="宋体" w:cs="宋体"/>
          <w:szCs w:val="21"/>
          <w:lang w:val="zh-CN"/>
        </w:rPr>
      </w:pPr>
      <w:r>
        <w:rPr>
          <w:rFonts w:ascii="宋体" w:hAnsi="宋体" w:cs="宋体"/>
          <w:szCs w:val="21"/>
          <w:lang w:val="zh-CN"/>
        </w:rPr>
        <w:t>3</w:t>
      </w:r>
      <w:r>
        <w:rPr>
          <w:rFonts w:hint="eastAsia" w:ascii="宋体" w:hAnsi="宋体" w:cs="宋体"/>
          <w:szCs w:val="21"/>
          <w:lang w:val="zh-CN"/>
        </w:rPr>
        <w:t>、如本工程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工程量清单不同而作调整。土方回填料必须满足国家技术规范之要求，绿化填土面层必须选用适宜种植的填土。</w:t>
      </w:r>
    </w:p>
    <w:p>
      <w:pPr>
        <w:pStyle w:val="20"/>
        <w:tabs>
          <w:tab w:val="left" w:pos="540"/>
        </w:tabs>
        <w:adjustRightInd w:val="0"/>
        <w:snapToGrid w:val="0"/>
        <w:spacing w:line="360" w:lineRule="auto"/>
        <w:ind w:firstLine="420" w:firstLineChars="200"/>
        <w:rPr>
          <w:rFonts w:hAnsi="宋体" w:eastAsia="宋体" w:cs="宋体"/>
          <w:b/>
        </w:rPr>
      </w:pPr>
      <w:r>
        <w:rPr>
          <w:rFonts w:hAnsi="宋体" w:eastAsia="宋体" w:cs="宋体"/>
          <w:lang w:val="zh-CN"/>
        </w:rPr>
        <w:t>4</w:t>
      </w:r>
      <w:r>
        <w:rPr>
          <w:rFonts w:hint="eastAsia" w:hAnsi="宋体" w:eastAsia="宋体" w:cs="宋体"/>
          <w:lang w:val="zh-CN"/>
        </w:rPr>
        <w:t>、一切与施工相关的检验实验费（政府有关部门规定由建设单位支付的检验实验费除外）已含在投标价中。</w:t>
      </w:r>
    </w:p>
    <w:p>
      <w:pPr>
        <w:spacing w:line="360" w:lineRule="auto"/>
        <w:ind w:left="420"/>
        <w:rPr>
          <w:rFonts w:cs="宋体" w:asciiTheme="minorEastAsia" w:hAnsiTheme="minorEastAsia" w:eastAsiaTheme="minorEastAsia"/>
          <w:color w:val="000000"/>
          <w:szCs w:val="21"/>
        </w:rPr>
      </w:pPr>
    </w:p>
    <w:bookmarkEnd w:id="22"/>
    <w:p>
      <w:pPr>
        <w:rPr>
          <w:b/>
          <w:bCs/>
          <w:sz w:val="28"/>
          <w:szCs w:val="28"/>
        </w:rPr>
      </w:pPr>
      <w:r>
        <w:rPr>
          <w:rFonts w:hint="eastAsia"/>
          <w:b/>
          <w:bCs/>
          <w:sz w:val="28"/>
          <w:szCs w:val="28"/>
        </w:rPr>
        <w:br w:type="page"/>
      </w:r>
    </w:p>
    <w:p>
      <w:pPr>
        <w:pStyle w:val="2"/>
        <w:jc w:val="center"/>
        <w:rPr>
          <w:rFonts w:asciiTheme="majorEastAsia" w:hAnsiTheme="majorEastAsia" w:eastAsiaTheme="majorEastAsia" w:cstheme="majorEastAsia"/>
          <w:sz w:val="32"/>
          <w:szCs w:val="32"/>
        </w:rPr>
      </w:pPr>
      <w:bookmarkStart w:id="23" w:name="_Toc77947873"/>
      <w:bookmarkStart w:id="24" w:name="_Toc5667_WPSOffice_Level1"/>
      <w:bookmarkStart w:id="25" w:name="_Toc7253"/>
      <w:bookmarkStart w:id="26" w:name="_Toc4019"/>
      <w:r>
        <w:rPr>
          <w:rFonts w:hint="eastAsia" w:asciiTheme="majorEastAsia" w:hAnsiTheme="majorEastAsia" w:eastAsiaTheme="majorEastAsia" w:cstheme="majorEastAsia"/>
          <w:sz w:val="32"/>
          <w:szCs w:val="32"/>
        </w:rPr>
        <w:t>第四章 评标、定标</w:t>
      </w:r>
      <w:bookmarkEnd w:id="16"/>
      <w:bookmarkEnd w:id="23"/>
      <w:bookmarkEnd w:id="24"/>
      <w:bookmarkEnd w:id="25"/>
      <w:bookmarkEnd w:id="26"/>
      <w:bookmarkStart w:id="27" w:name="_Toc435514846"/>
    </w:p>
    <w:p>
      <w:pPr>
        <w:pStyle w:val="3"/>
        <w:numPr>
          <w:ilvl w:val="0"/>
          <w:numId w:val="3"/>
        </w:numPr>
        <w:spacing w:line="240" w:lineRule="auto"/>
        <w:jc w:val="center"/>
        <w:rPr>
          <w:rFonts w:asciiTheme="majorEastAsia" w:hAnsiTheme="majorEastAsia" w:eastAsiaTheme="majorEastAsia"/>
          <w:sz w:val="30"/>
          <w:szCs w:val="30"/>
        </w:rPr>
      </w:pPr>
      <w:bookmarkStart w:id="28" w:name="_Toc77947874"/>
      <w:bookmarkStart w:id="29" w:name="_Toc15209"/>
      <w:r>
        <w:rPr>
          <w:rFonts w:hint="eastAsia" w:asciiTheme="majorEastAsia" w:hAnsiTheme="majorEastAsia" w:eastAsiaTheme="majorEastAsia"/>
          <w:sz w:val="30"/>
          <w:szCs w:val="30"/>
        </w:rPr>
        <w:t>资格性审查表</w:t>
      </w:r>
      <w:bookmarkEnd w:id="28"/>
      <w:bookmarkEnd w:id="29"/>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7499"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rPr>
            </w:pPr>
          </w:p>
        </w:tc>
        <w:tc>
          <w:tcPr>
            <w:tcW w:w="7499" w:type="dxa"/>
            <w:vAlign w:val="center"/>
          </w:tcPr>
          <w:p>
            <w:pPr>
              <w:tabs>
                <w:tab w:val="left" w:pos="612"/>
              </w:tabs>
              <w:rPr>
                <w:rFonts w:ascii="宋体" w:hAnsi="宋体" w:cs="宋体"/>
              </w:rPr>
            </w:pPr>
            <w:r>
              <w:rPr>
                <w:rFonts w:hint="eastAsia" w:ascii="宋体" w:hAnsi="宋体" w:cs="宋体"/>
              </w:rPr>
              <w:t>具备招标文件中规定资格要求的及资格证明文件齐全；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4"/>
              </w:numPr>
              <w:tabs>
                <w:tab w:val="left" w:pos="176"/>
                <w:tab w:val="left" w:pos="612"/>
              </w:tabs>
              <w:jc w:val="center"/>
              <w:rPr>
                <w:rFonts w:ascii="宋体" w:hAnsi="宋体" w:cs="宋体"/>
              </w:rPr>
            </w:pPr>
          </w:p>
        </w:tc>
        <w:tc>
          <w:tcPr>
            <w:tcW w:w="7499" w:type="dxa"/>
            <w:vAlign w:val="center"/>
          </w:tcPr>
          <w:p>
            <w:pPr>
              <w:tabs>
                <w:tab w:val="left" w:pos="612"/>
              </w:tabs>
              <w:rPr>
                <w:rFonts w:ascii="宋体" w:hAnsi="宋体" w:cs="宋体"/>
              </w:rPr>
            </w:pPr>
            <w:r>
              <w:rPr>
                <w:rFonts w:hint="eastAsia" w:ascii="宋体" w:hAnsi="宋体" w:cs="宋体"/>
              </w:rPr>
              <w:t>投标人资格声明函已提交并符合招标文件要求的；</w:t>
            </w:r>
          </w:p>
        </w:tc>
      </w:tr>
    </w:tbl>
    <w:p>
      <w:pPr>
        <w:adjustRightInd w:val="0"/>
        <w:snapToGrid w:val="0"/>
        <w:spacing w:line="360" w:lineRule="auto"/>
        <w:jc w:val="left"/>
        <w:outlineLvl w:val="2"/>
        <w:rPr>
          <w:rFonts w:ascii="宋体" w:hAnsi="宋体"/>
        </w:rPr>
      </w:pPr>
      <w:bookmarkStart w:id="30"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bookmarkEnd w:id="30"/>
    </w:p>
    <w:p/>
    <w:p>
      <w:pPr>
        <w:pStyle w:val="3"/>
        <w:numPr>
          <w:ilvl w:val="0"/>
          <w:numId w:val="3"/>
        </w:numPr>
        <w:spacing w:line="240" w:lineRule="auto"/>
        <w:jc w:val="center"/>
        <w:rPr>
          <w:rFonts w:asciiTheme="majorEastAsia" w:hAnsiTheme="majorEastAsia" w:eastAsiaTheme="majorEastAsia"/>
          <w:color w:val="FF0000"/>
          <w:sz w:val="30"/>
          <w:szCs w:val="30"/>
        </w:rPr>
      </w:pPr>
      <w:bookmarkStart w:id="31" w:name="_Toc77947875"/>
      <w:bookmarkStart w:id="32" w:name="_Toc13229"/>
      <w:r>
        <w:rPr>
          <w:rFonts w:hint="eastAsia" w:asciiTheme="majorEastAsia" w:hAnsiTheme="majorEastAsia" w:eastAsiaTheme="majorEastAsia"/>
          <w:sz w:val="30"/>
          <w:szCs w:val="30"/>
        </w:rPr>
        <w:t>符合性审查表</w:t>
      </w:r>
      <w:bookmarkEnd w:id="31"/>
      <w:bookmarkEnd w:id="32"/>
    </w:p>
    <w:tbl>
      <w:tblPr>
        <w:tblStyle w:val="36"/>
        <w:tblW w:w="8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jc w:val="center"/>
              <w:rPr>
                <w:rFonts w:ascii="宋体" w:cs="宋体"/>
                <w:b/>
              </w:rPr>
            </w:pPr>
            <w:r>
              <w:rPr>
                <w:rFonts w:hint="eastAsia" w:ascii="宋体" w:cs="宋体"/>
                <w:b/>
              </w:rPr>
              <w:t>序号</w:t>
            </w:r>
          </w:p>
        </w:tc>
        <w:tc>
          <w:tcPr>
            <w:tcW w:w="7499"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rPr>
            </w:pPr>
          </w:p>
        </w:tc>
        <w:tc>
          <w:tcPr>
            <w:tcW w:w="7499" w:type="dxa"/>
            <w:vAlign w:val="center"/>
          </w:tcPr>
          <w:p>
            <w:pPr>
              <w:tabs>
                <w:tab w:val="left" w:pos="612"/>
              </w:tabs>
              <w:rPr>
                <w:rFonts w:ascii="宋体" w:hAnsi="宋体" w:cs="宋体"/>
                <w:color w:val="000000" w:themeColor="text1"/>
                <w14:textFill>
                  <w14:solidFill>
                    <w14:schemeClr w14:val="tx1"/>
                  </w14:solidFill>
                </w14:textFill>
              </w:rPr>
            </w:pPr>
            <w:r>
              <w:rPr>
                <w:rFonts w:hint="eastAsia" w:ascii="宋体" w:hAnsi="宋体" w:cs="宋体"/>
              </w:rPr>
              <w:t>按照招标文件规定要求签署、盖章且投标文件有法定代表</w:t>
            </w:r>
            <w:r>
              <w:rPr>
                <w:rFonts w:hint="eastAsia" w:ascii="宋体" w:hAnsi="宋体" w:cs="宋体"/>
                <w:color w:val="000000" w:themeColor="text1"/>
                <w14:textFill>
                  <w14:solidFill>
                    <w14:schemeClr w14:val="tx1"/>
                  </w14:solidFill>
                </w14:textFill>
              </w:rPr>
              <w:t>人签字或盖章（或签字人有法定代表人有效授权书）的；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rPr>
            </w:pPr>
          </w:p>
        </w:tc>
        <w:tc>
          <w:tcPr>
            <w:tcW w:w="7499" w:type="dxa"/>
            <w:vAlign w:val="center"/>
          </w:tcPr>
          <w:p>
            <w:pPr>
              <w:tabs>
                <w:tab w:val="left" w:pos="612"/>
              </w:tabs>
              <w:rPr>
                <w:rFonts w:ascii="宋体" w:hAnsi="宋体" w:cs="宋体"/>
                <w:szCs w:val="21"/>
              </w:rPr>
            </w:pPr>
            <w:r>
              <w:rPr>
                <w:rFonts w:hint="eastAsia" w:ascii="宋体" w:hAnsi="宋体" w:cs="宋体"/>
                <w:szCs w:val="21"/>
              </w:rPr>
              <w:t>投标函已提交并符合招标文件要求的，且</w:t>
            </w:r>
            <w:r>
              <w:rPr>
                <w:rFonts w:hint="eastAsia" w:ascii="宋体" w:hAnsi="宋体"/>
                <w:szCs w:val="21"/>
              </w:rPr>
              <w:t>投标有效期不少于招标文件中载明的投标有效期；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rPr>
            </w:pPr>
          </w:p>
        </w:tc>
        <w:tc>
          <w:tcPr>
            <w:tcW w:w="7499" w:type="dxa"/>
            <w:vAlign w:val="center"/>
          </w:tcPr>
          <w:p>
            <w:pPr>
              <w:rPr>
                <w:rFonts w:ascii="宋体" w:hAnsi="宋体" w:cs="宋体"/>
              </w:rPr>
            </w:pPr>
            <w:r>
              <w:rPr>
                <w:rFonts w:hint="eastAsia" w:ascii="宋体"/>
                <w:bCs/>
                <w:szCs w:val="20"/>
              </w:rPr>
              <w:t>投标人按招标文件要求提供本国产品\服务</w:t>
            </w:r>
            <w:r>
              <w:rPr>
                <w:rStyle w:val="44"/>
                <w:rFonts w:hint="eastAsia" w:asciiTheme="minorHAnsi" w:hAnsiTheme="minorHAnsi" w:eastAsiaTheme="minorEastAsia" w:cstheme="minorBid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rPr>
            </w:pPr>
          </w:p>
        </w:tc>
        <w:tc>
          <w:tcPr>
            <w:tcW w:w="7499" w:type="dxa"/>
            <w:vAlign w:val="center"/>
          </w:tcPr>
          <w:p>
            <w:pPr>
              <w:rPr>
                <w:rFonts w:ascii="宋体" w:hAnsi="宋体" w:cs="宋体"/>
              </w:rPr>
            </w:pPr>
            <w:r>
              <w:rPr>
                <w:rFonts w:hint="eastAsia" w:ascii="宋体" w:hAnsi="宋体" w:cs="宋体"/>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5"/>
              </w:numPr>
              <w:tabs>
                <w:tab w:val="left" w:pos="176"/>
                <w:tab w:val="left" w:pos="612"/>
              </w:tabs>
              <w:jc w:val="center"/>
              <w:rPr>
                <w:rFonts w:ascii="宋体" w:hAnsi="宋体" w:cs="宋体"/>
              </w:rPr>
            </w:pPr>
          </w:p>
        </w:tc>
        <w:tc>
          <w:tcPr>
            <w:tcW w:w="7499" w:type="dxa"/>
            <w:vAlign w:val="center"/>
          </w:tcPr>
          <w:p>
            <w:pPr>
              <w:rPr>
                <w:rFonts w:ascii="宋体" w:hAnsi="宋体" w:cs="宋体"/>
              </w:rPr>
            </w:pPr>
            <w:r>
              <w:rPr>
                <w:rFonts w:hint="eastAsia" w:ascii="宋体" w:hAnsi="宋体" w:cs="宋体"/>
              </w:rPr>
              <w:t>按有关法律、法规、规章不属于投标无效的。</w:t>
            </w:r>
          </w:p>
        </w:tc>
      </w:tr>
    </w:tbl>
    <w:p>
      <w:pPr>
        <w:tabs>
          <w:tab w:val="left" w:pos="420"/>
          <w:tab w:val="left" w:pos="630"/>
        </w:tabs>
        <w:autoSpaceDE w:val="0"/>
        <w:autoSpaceDN w:val="0"/>
        <w:adjustRightInd w:val="0"/>
        <w:spacing w:line="360" w:lineRule="auto"/>
        <w:rPr>
          <w:b/>
          <w:bCs/>
          <w:sz w:val="28"/>
          <w:szCs w:val="28"/>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pStyle w:val="3"/>
        <w:numPr>
          <w:ilvl w:val="0"/>
          <w:numId w:val="3"/>
        </w:numPr>
        <w:spacing w:line="240" w:lineRule="auto"/>
        <w:jc w:val="center"/>
        <w:rPr>
          <w:rFonts w:ascii="黑体" w:hAnsi="宋体" w:cs="宋体"/>
          <w:color w:val="FF0000"/>
          <w:sz w:val="28"/>
          <w:szCs w:val="28"/>
        </w:rPr>
      </w:pPr>
      <w:r>
        <w:rPr>
          <w:rFonts w:ascii="黑体" w:hAnsi="宋体" w:cs="宋体"/>
          <w:sz w:val="28"/>
          <w:szCs w:val="28"/>
        </w:rPr>
        <w:br w:type="page"/>
      </w:r>
      <w:bookmarkStart w:id="33" w:name="_Toc77947876"/>
      <w:r>
        <w:rPr>
          <w:rFonts w:hint="eastAsia" w:asciiTheme="majorEastAsia" w:hAnsiTheme="majorEastAsia" w:eastAsiaTheme="majorEastAsia"/>
          <w:sz w:val="30"/>
          <w:szCs w:val="30"/>
        </w:rPr>
        <w:t>综合评分表</w:t>
      </w:r>
      <w:bookmarkEnd w:id="33"/>
    </w:p>
    <w:tbl>
      <w:tblPr>
        <w:tblStyle w:val="36"/>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评审部分</w:t>
            </w:r>
          </w:p>
        </w:tc>
        <w:tc>
          <w:tcPr>
            <w:tcW w:w="1355" w:type="dxa"/>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评审因素</w:t>
            </w:r>
          </w:p>
        </w:tc>
        <w:tc>
          <w:tcPr>
            <w:tcW w:w="5635" w:type="dxa"/>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评分细则</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权重</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一</w:t>
            </w:r>
          </w:p>
        </w:tc>
        <w:tc>
          <w:tcPr>
            <w:tcW w:w="8467" w:type="dxa"/>
            <w:gridSpan w:val="4"/>
            <w:vAlign w:val="center"/>
          </w:tcPr>
          <w:p>
            <w:pPr>
              <w:ind w:left="-78" w:leftChars="-37" w:right="-73" w:rightChars="-35"/>
              <w:jc w:val="center"/>
              <w:rPr>
                <w:rFonts w:cs="宋体" w:asciiTheme="minorEastAsia" w:hAnsiTheme="minorEastAsia" w:eastAsiaTheme="minorEastAsia"/>
                <w:b/>
                <w:szCs w:val="21"/>
              </w:rPr>
            </w:pPr>
            <w:r>
              <w:rPr>
                <w:rFonts w:hint="eastAsia" w:asciiTheme="minorEastAsia" w:hAnsiTheme="minorEastAsia" w:eastAsiaTheme="minorEastAsia"/>
                <w:b/>
                <w:szCs w:val="21"/>
              </w:rPr>
              <w:t>技术部分（</w:t>
            </w:r>
            <w:r>
              <w:rPr>
                <w:rFonts w:asciiTheme="minorEastAsia" w:hAnsiTheme="minorEastAsia" w:eastAsiaTheme="minorEastAsia"/>
                <w:b/>
                <w:szCs w:val="21"/>
              </w:rPr>
              <w:t>75</w:t>
            </w:r>
            <w:r>
              <w:rPr>
                <w:rFonts w:hint="eastAsia"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6"/>
              </w:numPr>
              <w:ind w:firstLineChars="0"/>
              <w:jc w:val="right"/>
              <w:rPr>
                <w:rFonts w:asciiTheme="minorEastAsia" w:hAnsiTheme="minorEastAsia" w:eastAsiaTheme="minorEastAsia"/>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项目总体概述及理解</w:t>
            </w:r>
          </w:p>
        </w:tc>
        <w:tc>
          <w:tcPr>
            <w:tcW w:w="5635" w:type="dxa"/>
            <w:vAlign w:val="center"/>
          </w:tcPr>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评分标准：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（1）项目总体概述及理解内容全面；</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（2）项目总体概述及理解内容具体，表达清晰、完整、严谨；</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（3）项目总体概述及理解内容针对性强；</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（4）项目总体概述及理解内容先进，科学合理；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（5）项目总体概述及理解内容可操作性强；</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满足以上五项要求得</w:t>
            </w:r>
            <w:r>
              <w:rPr>
                <w:rFonts w:cs="宋体" w:asciiTheme="minorEastAsia" w:hAnsiTheme="minorEastAsia" w:eastAsiaTheme="minorEastAsia"/>
                <w:szCs w:val="21"/>
              </w:rPr>
              <w:t>15</w:t>
            </w:r>
            <w:r>
              <w:rPr>
                <w:rFonts w:hint="eastAsia" w:cs="宋体" w:asciiTheme="minorEastAsia" w:hAnsiTheme="minorEastAsia" w:eastAsiaTheme="minorEastAsia"/>
                <w:szCs w:val="21"/>
              </w:rPr>
              <w:t>分，满足以上四项要求得</w:t>
            </w:r>
            <w:r>
              <w:rPr>
                <w:rFonts w:cs="宋体" w:asciiTheme="minorEastAsia" w:hAnsiTheme="minorEastAsia" w:eastAsiaTheme="minorEastAsia"/>
                <w:szCs w:val="21"/>
              </w:rPr>
              <w:t>12</w:t>
            </w:r>
            <w:r>
              <w:rPr>
                <w:rFonts w:hint="eastAsia" w:cs="宋体" w:asciiTheme="minorEastAsia" w:hAnsiTheme="minorEastAsia" w:eastAsiaTheme="minorEastAsia"/>
                <w:szCs w:val="21"/>
              </w:rPr>
              <w:t>分，满足以上三项要求得</w:t>
            </w:r>
            <w:r>
              <w:rPr>
                <w:rFonts w:cs="宋体" w:asciiTheme="minorEastAsia" w:hAnsiTheme="minorEastAsia" w:eastAsiaTheme="minorEastAsia"/>
                <w:szCs w:val="21"/>
              </w:rPr>
              <w:t>9</w:t>
            </w:r>
            <w:r>
              <w:rPr>
                <w:rFonts w:hint="eastAsia" w:cs="宋体" w:asciiTheme="minorEastAsia" w:hAnsiTheme="minorEastAsia" w:eastAsiaTheme="minorEastAsia"/>
                <w:szCs w:val="21"/>
              </w:rPr>
              <w:t>分，满足以上两项要求</w:t>
            </w:r>
            <w:r>
              <w:rPr>
                <w:rFonts w:cs="宋体" w:asciiTheme="minorEastAsia" w:hAnsiTheme="minorEastAsia" w:eastAsiaTheme="minorEastAsia"/>
                <w:szCs w:val="21"/>
              </w:rPr>
              <w:t>6</w:t>
            </w:r>
            <w:r>
              <w:rPr>
                <w:rFonts w:hint="eastAsia" w:cs="宋体" w:asciiTheme="minorEastAsia" w:hAnsiTheme="minorEastAsia" w:eastAsiaTheme="minorEastAsia"/>
                <w:szCs w:val="21"/>
              </w:rPr>
              <w:t>分，满足以上一项要求得</w:t>
            </w:r>
            <w:r>
              <w:rPr>
                <w:rFonts w:cs="宋体" w:asciiTheme="minorEastAsia" w:hAnsiTheme="minorEastAsia" w:eastAsiaTheme="minorEastAsia"/>
                <w:szCs w:val="21"/>
              </w:rPr>
              <w:t>3</w:t>
            </w:r>
            <w:r>
              <w:rPr>
                <w:rFonts w:hint="eastAsia" w:cs="宋体" w:asciiTheme="minorEastAsia" w:hAnsiTheme="minorEastAsia" w:eastAsiaTheme="minorEastAsia"/>
                <w:szCs w:val="21"/>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r>
              <w:rPr>
                <w:rFonts w:hint="eastAsia"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6"/>
              </w:numPr>
              <w:ind w:firstLineChars="0"/>
              <w:jc w:val="right"/>
              <w:rPr>
                <w:rFonts w:asciiTheme="minorEastAsia" w:hAnsiTheme="minorEastAsia" w:eastAsiaTheme="minorEastAsia"/>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施工组织计划、施工技术、施工工艺及相关的合理化建议</w:t>
            </w:r>
          </w:p>
        </w:tc>
        <w:tc>
          <w:tcPr>
            <w:tcW w:w="5635" w:type="dxa"/>
            <w:vAlign w:val="center"/>
          </w:tcPr>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评分标准：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szCs w:val="21"/>
              </w:rPr>
              <w:t>施工组织计划、施工技术、施工工艺及相关的合理化建议</w:t>
            </w:r>
            <w:r>
              <w:rPr>
                <w:rFonts w:hint="eastAsia" w:cs="宋体" w:asciiTheme="minorEastAsia" w:hAnsiTheme="minorEastAsia" w:eastAsiaTheme="minorEastAsia"/>
                <w:szCs w:val="21"/>
              </w:rPr>
              <w:t>内容全面；</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施工组织计划、施工技术、施工工艺及相关的合理化建议</w:t>
            </w:r>
            <w:r>
              <w:rPr>
                <w:rFonts w:hint="eastAsia" w:cs="宋体" w:asciiTheme="minorEastAsia" w:hAnsiTheme="minorEastAsia" w:eastAsiaTheme="minorEastAsia"/>
                <w:szCs w:val="21"/>
              </w:rPr>
              <w:t>内容具体，表达清晰、完整、严谨；</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Theme="minorEastAsia" w:hAnsiTheme="minorEastAsia" w:eastAsiaTheme="minorEastAsia"/>
                <w:szCs w:val="21"/>
              </w:rPr>
              <w:t>施工组织计划、施工技术、施工工艺及相关的合理化建议</w:t>
            </w:r>
            <w:r>
              <w:rPr>
                <w:rFonts w:hint="eastAsia" w:cs="宋体" w:asciiTheme="minorEastAsia" w:hAnsiTheme="minorEastAsia" w:eastAsiaTheme="minorEastAsia"/>
                <w:szCs w:val="21"/>
              </w:rPr>
              <w:t>内容针对性强；</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施工组织计划、施工技术、施工工艺及相关的合理化建议</w:t>
            </w:r>
            <w:r>
              <w:rPr>
                <w:rFonts w:hint="eastAsia" w:cs="宋体" w:asciiTheme="minorEastAsia" w:hAnsiTheme="minorEastAsia" w:eastAsiaTheme="minorEastAsia"/>
                <w:szCs w:val="21"/>
              </w:rPr>
              <w:t>内容先进，科学合理；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szCs w:val="21"/>
              </w:rPr>
              <w:t>施工组织计划、施工技术、施工工艺及相关的合理化建议</w:t>
            </w:r>
            <w:r>
              <w:rPr>
                <w:rFonts w:hint="eastAsia" w:cs="宋体" w:asciiTheme="minorEastAsia" w:hAnsiTheme="minorEastAsia" w:eastAsiaTheme="minorEastAsia"/>
                <w:szCs w:val="21"/>
              </w:rPr>
              <w:t>内容可操作性强；</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满足以上五项要求得20分，满足以上四项要求得15分，满足以上三项要求得10分，满足以上两项要求5分，满足以上一项要求得2分，其它情况不得分。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20</w:t>
            </w:r>
            <w:r>
              <w:rPr>
                <w:rFonts w:cs="宋体" w:asciiTheme="minorEastAsia" w:hAnsiTheme="minorEastAsia" w:eastAsiaTheme="minorEastAsia"/>
                <w:szCs w:val="21"/>
              </w:rPr>
              <w:t>%</w:t>
            </w:r>
          </w:p>
        </w:tc>
        <w:tc>
          <w:tcPr>
            <w:tcW w:w="697" w:type="dxa"/>
            <w:tcBorders>
              <w:lef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680" w:type="dxa"/>
            <w:tcBorders>
              <w:top w:val="single" w:color="auto" w:sz="4" w:space="0"/>
              <w:bottom w:val="single" w:color="auto" w:sz="4" w:space="0"/>
            </w:tcBorders>
            <w:vAlign w:val="center"/>
          </w:tcPr>
          <w:p>
            <w:pPr>
              <w:pStyle w:val="82"/>
              <w:numPr>
                <w:ilvl w:val="0"/>
                <w:numId w:val="6"/>
              </w:numPr>
              <w:ind w:firstLineChars="0"/>
              <w:jc w:val="right"/>
              <w:rPr>
                <w:rFonts w:asciiTheme="minorEastAsia" w:hAnsiTheme="minorEastAsia" w:eastAsiaTheme="minorEastAsia"/>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项目实施关键施工技术（重点难点）分析及解决方案</w:t>
            </w:r>
          </w:p>
        </w:tc>
        <w:tc>
          <w:tcPr>
            <w:tcW w:w="5635" w:type="dxa"/>
            <w:vAlign w:val="center"/>
          </w:tcPr>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评分标准：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szCs w:val="21"/>
              </w:rPr>
              <w:t>项目实施关键施工技术（重点难点）分析及解决方案</w:t>
            </w:r>
            <w:r>
              <w:rPr>
                <w:rFonts w:hint="eastAsia" w:cs="宋体" w:asciiTheme="minorEastAsia" w:hAnsiTheme="minorEastAsia" w:eastAsiaTheme="minorEastAsia"/>
                <w:szCs w:val="21"/>
              </w:rPr>
              <w:t>内容全面；</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项目实施关键施工技术（重点难点）分析及解决方案</w:t>
            </w:r>
            <w:r>
              <w:rPr>
                <w:rFonts w:hint="eastAsia" w:cs="宋体" w:asciiTheme="minorEastAsia" w:hAnsiTheme="minorEastAsia" w:eastAsiaTheme="minorEastAsia"/>
                <w:szCs w:val="21"/>
              </w:rPr>
              <w:t>内容具体，表达清晰、完整、严谨；</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Theme="minorEastAsia" w:hAnsiTheme="minorEastAsia" w:eastAsiaTheme="minorEastAsia"/>
                <w:szCs w:val="21"/>
              </w:rPr>
              <w:t>项目实施关键施工技术（重点难点）分析及解决方案</w:t>
            </w:r>
            <w:r>
              <w:rPr>
                <w:rFonts w:hint="eastAsia" w:cs="宋体" w:asciiTheme="minorEastAsia" w:hAnsiTheme="minorEastAsia" w:eastAsiaTheme="minorEastAsia"/>
                <w:szCs w:val="21"/>
              </w:rPr>
              <w:t>内容针对性强；</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项目实施关键施工技术（重点难点）分析及解决方案</w:t>
            </w:r>
            <w:r>
              <w:rPr>
                <w:rFonts w:hint="eastAsia" w:cs="宋体" w:asciiTheme="minorEastAsia" w:hAnsiTheme="minorEastAsia" w:eastAsiaTheme="minorEastAsia"/>
                <w:szCs w:val="21"/>
              </w:rPr>
              <w:t>内容先进，科学合理；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szCs w:val="21"/>
              </w:rPr>
              <w:t>项目实施关键施工技术（重点难点）分析及解决方案</w:t>
            </w:r>
            <w:r>
              <w:rPr>
                <w:rFonts w:hint="eastAsia" w:cs="宋体" w:asciiTheme="minorEastAsia" w:hAnsiTheme="minorEastAsia" w:eastAsiaTheme="minorEastAsia"/>
                <w:szCs w:val="21"/>
              </w:rPr>
              <w:t>内容可操作性强；</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满足以上五项要求得25分，满足以上四项要求得20分，满足以上三项要求得15分，满足以上两项要求10分，满足以上一项要求得5分，其它情况不得分。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697" w:type="dxa"/>
            <w:tcBorders>
              <w:left w:val="single" w:color="auto" w:sz="4"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2"/>
              <w:numPr>
                <w:ilvl w:val="0"/>
                <w:numId w:val="6"/>
              </w:numPr>
              <w:ind w:firstLineChars="0"/>
              <w:jc w:val="right"/>
              <w:rPr>
                <w:rFonts w:asciiTheme="minorEastAsia" w:hAnsiTheme="minorEastAsia" w:eastAsiaTheme="minorEastAsia"/>
                <w:szCs w:val="21"/>
              </w:rPr>
            </w:pP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施工质量（安全、环保、工期、售后服务）保障措施及相关的违约承诺</w:t>
            </w:r>
          </w:p>
        </w:tc>
        <w:tc>
          <w:tcPr>
            <w:tcW w:w="5635" w:type="dxa"/>
            <w:vAlign w:val="center"/>
          </w:tcPr>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评分标准：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szCs w:val="21"/>
              </w:rPr>
              <w:t>施工质量（安全、环保、工期、售后服务）保障措施及相关的违约承诺</w:t>
            </w:r>
            <w:r>
              <w:rPr>
                <w:rFonts w:hint="eastAsia" w:cs="宋体" w:asciiTheme="minorEastAsia" w:hAnsiTheme="minorEastAsia" w:eastAsiaTheme="minorEastAsia"/>
                <w:szCs w:val="21"/>
              </w:rPr>
              <w:t>内容全面；</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施工质量（安全、环保、工期、售后服务）保障措施及相关的违约承诺</w:t>
            </w:r>
            <w:r>
              <w:rPr>
                <w:rFonts w:hint="eastAsia" w:cs="宋体" w:asciiTheme="minorEastAsia" w:hAnsiTheme="minorEastAsia" w:eastAsiaTheme="minorEastAsia"/>
                <w:szCs w:val="21"/>
              </w:rPr>
              <w:t>内容具体，表达清晰、完整、严谨；</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Theme="minorEastAsia" w:hAnsiTheme="minorEastAsia" w:eastAsiaTheme="minorEastAsia"/>
                <w:szCs w:val="21"/>
              </w:rPr>
              <w:t>施工质量（安全、环保、工期、售后服务）保障措施及相关的违约承诺</w:t>
            </w:r>
            <w:r>
              <w:rPr>
                <w:rFonts w:hint="eastAsia" w:cs="宋体" w:asciiTheme="minorEastAsia" w:hAnsiTheme="minorEastAsia" w:eastAsiaTheme="minorEastAsia"/>
                <w:szCs w:val="21"/>
              </w:rPr>
              <w:t>内容针对性强；</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施工质量（安全、环保、工期、售后服务）保障措施及相关的违约承诺</w:t>
            </w:r>
            <w:r>
              <w:rPr>
                <w:rFonts w:hint="eastAsia" w:cs="宋体" w:asciiTheme="minorEastAsia" w:hAnsiTheme="minorEastAsia" w:eastAsiaTheme="minorEastAsia"/>
                <w:szCs w:val="21"/>
              </w:rPr>
              <w:t>内容先进，科学合理；</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asciiTheme="minorEastAsia" w:hAnsiTheme="minorEastAsia" w:eastAsiaTheme="minorEastAsia"/>
                <w:szCs w:val="21"/>
              </w:rPr>
              <w:t>施工质量（安全、环保、工期、售后服务）保障措施及相关的违约承诺</w:t>
            </w:r>
            <w:r>
              <w:rPr>
                <w:rFonts w:hint="eastAsia" w:cs="宋体" w:asciiTheme="minorEastAsia" w:hAnsiTheme="minorEastAsia" w:eastAsiaTheme="minorEastAsia"/>
                <w:szCs w:val="21"/>
              </w:rPr>
              <w:t>内容可操作性强；</w:t>
            </w:r>
          </w:p>
          <w:p>
            <w:pPr>
              <w:ind w:left="-78" w:leftChars="-37" w:right="-73" w:rightChars="-35"/>
              <w:jc w:val="left"/>
              <w:rPr>
                <w:rFonts w:cs="宋体" w:asciiTheme="minorEastAsia" w:hAnsiTheme="minorEastAsia" w:eastAsiaTheme="minorEastAsia"/>
                <w:szCs w:val="21"/>
              </w:rPr>
            </w:pPr>
            <w:r>
              <w:rPr>
                <w:rFonts w:hint="eastAsia" w:cs="宋体" w:asciiTheme="minorEastAsia" w:hAnsiTheme="minorEastAsia" w:eastAsiaTheme="minorEastAsia"/>
                <w:szCs w:val="21"/>
              </w:rPr>
              <w:t>满足以上五项要求得</w:t>
            </w:r>
            <w:r>
              <w:rPr>
                <w:rFonts w:cs="宋体" w:asciiTheme="minorEastAsia" w:hAnsiTheme="minorEastAsia" w:eastAsiaTheme="minorEastAsia"/>
                <w:szCs w:val="21"/>
              </w:rPr>
              <w:t>15</w:t>
            </w:r>
            <w:r>
              <w:rPr>
                <w:rFonts w:hint="eastAsia" w:cs="宋体" w:asciiTheme="minorEastAsia" w:hAnsiTheme="minorEastAsia" w:eastAsiaTheme="minorEastAsia"/>
                <w:szCs w:val="21"/>
              </w:rPr>
              <w:t>分，满足以上四项要求得</w:t>
            </w:r>
            <w:r>
              <w:rPr>
                <w:rFonts w:cs="宋体" w:asciiTheme="minorEastAsia" w:hAnsiTheme="minorEastAsia" w:eastAsiaTheme="minorEastAsia"/>
                <w:szCs w:val="21"/>
              </w:rPr>
              <w:t>12</w:t>
            </w:r>
            <w:r>
              <w:rPr>
                <w:rFonts w:hint="eastAsia" w:cs="宋体" w:asciiTheme="minorEastAsia" w:hAnsiTheme="minorEastAsia" w:eastAsiaTheme="minorEastAsia"/>
                <w:szCs w:val="21"/>
              </w:rPr>
              <w:t>分，满足以上三项要求得</w:t>
            </w:r>
            <w:r>
              <w:rPr>
                <w:rFonts w:cs="宋体" w:asciiTheme="minorEastAsia" w:hAnsiTheme="minorEastAsia" w:eastAsiaTheme="minorEastAsia"/>
                <w:szCs w:val="21"/>
              </w:rPr>
              <w:t>9</w:t>
            </w:r>
            <w:r>
              <w:rPr>
                <w:rFonts w:hint="eastAsia" w:cs="宋体" w:asciiTheme="minorEastAsia" w:hAnsiTheme="minorEastAsia" w:eastAsiaTheme="minorEastAsia"/>
                <w:szCs w:val="21"/>
              </w:rPr>
              <w:t>分，满足以上两项要求</w:t>
            </w:r>
            <w:r>
              <w:rPr>
                <w:rFonts w:cs="宋体" w:asciiTheme="minorEastAsia" w:hAnsiTheme="minorEastAsia" w:eastAsiaTheme="minorEastAsia"/>
                <w:szCs w:val="21"/>
              </w:rPr>
              <w:t>6</w:t>
            </w:r>
            <w:r>
              <w:rPr>
                <w:rFonts w:hint="eastAsia" w:cs="宋体" w:asciiTheme="minorEastAsia" w:hAnsiTheme="minorEastAsia" w:eastAsiaTheme="minorEastAsia"/>
                <w:szCs w:val="21"/>
              </w:rPr>
              <w:t>分，满足以上一项要求得</w:t>
            </w:r>
            <w:r>
              <w:rPr>
                <w:rFonts w:cs="宋体" w:asciiTheme="minorEastAsia" w:hAnsiTheme="minorEastAsia" w:eastAsiaTheme="minorEastAsia"/>
                <w:szCs w:val="21"/>
              </w:rPr>
              <w:t>3</w:t>
            </w:r>
            <w:r>
              <w:rPr>
                <w:rFonts w:hint="eastAsia" w:cs="宋体" w:asciiTheme="minorEastAsia" w:hAnsiTheme="minorEastAsia" w:eastAsiaTheme="minorEastAsia"/>
                <w:szCs w:val="21"/>
              </w:rPr>
              <w:t>分，其它情况不得分。</w:t>
            </w:r>
          </w:p>
        </w:tc>
        <w:tc>
          <w:tcPr>
            <w:tcW w:w="780"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5</w:t>
            </w:r>
            <w:r>
              <w:rPr>
                <w:rFonts w:hint="eastAsia"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二</w:t>
            </w:r>
          </w:p>
        </w:tc>
        <w:tc>
          <w:tcPr>
            <w:tcW w:w="8467" w:type="dxa"/>
            <w:gridSpan w:val="4"/>
            <w:vAlign w:val="center"/>
          </w:tcPr>
          <w:p>
            <w:pPr>
              <w:ind w:left="-78" w:leftChars="-37" w:right="-73" w:rightChars="-35"/>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商务部分</w:t>
            </w:r>
            <w:r>
              <w:rPr>
                <w:rFonts w:hint="eastAsia" w:asciiTheme="minorEastAsia" w:hAnsiTheme="minorEastAsia" w:eastAsiaTheme="minorEastAsia"/>
                <w:b/>
                <w:szCs w:val="21"/>
              </w:rPr>
              <w:t>（</w:t>
            </w:r>
            <w:r>
              <w:rPr>
                <w:rFonts w:asciiTheme="minorEastAsia" w:hAnsiTheme="minorEastAsia" w:eastAsiaTheme="minorEastAsia"/>
                <w:b/>
                <w:szCs w:val="21"/>
              </w:rPr>
              <w:t>25</w:t>
            </w:r>
            <w:r>
              <w:rPr>
                <w:rFonts w:hint="eastAsia" w:asciiTheme="minorEastAsia" w:hAnsiTheme="minorEastAsia" w:eastAsiaTheme="minorEastAsia"/>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pStyle w:val="82"/>
              <w:numPr>
                <w:ilvl w:val="0"/>
                <w:numId w:val="7"/>
              </w:numPr>
              <w:ind w:firstLineChars="0"/>
              <w:jc w:val="center"/>
              <w:rPr>
                <w:rFonts w:asciiTheme="minorEastAsia" w:hAnsiTheme="minorEastAsia" w:eastAsiaTheme="minorEastAsia"/>
                <w:szCs w:val="21"/>
              </w:rPr>
            </w:pPr>
          </w:p>
        </w:tc>
        <w:tc>
          <w:tcPr>
            <w:tcW w:w="1355" w:type="dxa"/>
            <w:tcBorders>
              <w:top w:val="single" w:color="000000" w:sz="8" w:space="0"/>
              <w:left w:val="single" w:color="000000" w:sz="8" w:space="0"/>
              <w:bottom w:val="single" w:color="000000" w:sz="8" w:space="0"/>
              <w:right w:val="single" w:color="000000" w:sz="8" w:space="0"/>
            </w:tcBorders>
            <w:vAlign w:val="center"/>
          </w:tcPr>
          <w:p>
            <w:pPr>
              <w:ind w:left="-63" w:leftChars="-30" w:right="-88" w:rightChars="-42"/>
              <w:jc w:val="center"/>
              <w:rPr>
                <w:rFonts w:cs="宋体" w:asciiTheme="minorEastAsia" w:hAnsiTheme="minorEastAsia" w:eastAsiaTheme="minorEastAsia"/>
                <w:szCs w:val="21"/>
              </w:rPr>
            </w:pPr>
            <w:r>
              <w:rPr>
                <w:rFonts w:asciiTheme="minorEastAsia" w:hAnsiTheme="minorEastAsia" w:eastAsiaTheme="minorEastAsia"/>
                <w:szCs w:val="21"/>
              </w:rPr>
              <w:t>2018年至投标截止</w:t>
            </w:r>
            <w:r>
              <w:rPr>
                <w:rFonts w:hint="eastAsia" w:asciiTheme="minorEastAsia" w:hAnsiTheme="minorEastAsia" w:eastAsiaTheme="minorEastAsia"/>
                <w:szCs w:val="21"/>
                <w:lang w:val="en-US" w:eastAsia="zh-CN"/>
              </w:rPr>
              <w:t>到</w:t>
            </w:r>
            <w:r>
              <w:rPr>
                <w:rFonts w:asciiTheme="minorEastAsia" w:hAnsiTheme="minorEastAsia" w:eastAsiaTheme="minorEastAsia"/>
                <w:szCs w:val="21"/>
              </w:rPr>
              <w:t>日前项目业绩</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szCs w:val="21"/>
              </w:rPr>
            </w:pPr>
            <w:r>
              <w:rPr>
                <w:rFonts w:asciiTheme="minorEastAsia" w:hAnsiTheme="minorEastAsia" w:eastAsiaTheme="minorEastAsia"/>
                <w:szCs w:val="21"/>
              </w:rPr>
              <w:t>投标人在2018年至投标截止</w:t>
            </w:r>
            <w:r>
              <w:rPr>
                <w:rFonts w:hint="eastAsia" w:asciiTheme="minorEastAsia" w:hAnsiTheme="minorEastAsia" w:eastAsiaTheme="minorEastAsia"/>
                <w:szCs w:val="21"/>
                <w:lang w:val="en-US" w:eastAsia="zh-CN"/>
              </w:rPr>
              <w:t>到</w:t>
            </w:r>
            <w:r>
              <w:rPr>
                <w:rFonts w:asciiTheme="minorEastAsia" w:hAnsiTheme="minorEastAsia" w:eastAsiaTheme="minorEastAsia"/>
                <w:szCs w:val="21"/>
              </w:rPr>
              <w:t xml:space="preserve">日前（以合同签订时间为准）签订的同类项目：每有一个得2分，本项满分8分。 </w:t>
            </w:r>
          </w:p>
          <w:p>
            <w:pPr>
              <w:ind w:left="-63" w:leftChars="-30" w:right="-88" w:rightChars="-42"/>
              <w:jc w:val="left"/>
              <w:rPr>
                <w:rFonts w:asciiTheme="minorEastAsia" w:hAnsiTheme="minorEastAsia" w:eastAsiaTheme="minorEastAsia"/>
                <w:szCs w:val="21"/>
              </w:rPr>
            </w:pPr>
            <w:r>
              <w:rPr>
                <w:rFonts w:asciiTheme="minorEastAsia" w:hAnsiTheme="minorEastAsia" w:eastAsiaTheme="minorEastAsia"/>
                <w:szCs w:val="21"/>
              </w:rPr>
              <w:t>（提供合同或中标通知书等证明材料复印件，否则不计分）</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7"/>
              </w:numPr>
              <w:ind w:firstLineChars="0"/>
              <w:jc w:val="center"/>
              <w:rPr>
                <w:rFonts w:asciiTheme="minorEastAsia" w:hAnsiTheme="minorEastAsia" w:eastAsiaTheme="minorEastAsia"/>
                <w:szCs w:val="21"/>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企业基本情况</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szCs w:val="21"/>
              </w:rPr>
            </w:pPr>
            <w:r>
              <w:rPr>
                <w:rFonts w:asciiTheme="minorEastAsia" w:hAnsiTheme="minorEastAsia" w:eastAsiaTheme="minorEastAsia"/>
                <w:szCs w:val="21"/>
              </w:rPr>
              <w:t>质量管理体系认证、环境管理体系认证、职业健康安全管理体系认证，</w:t>
            </w:r>
            <w:r>
              <w:rPr>
                <w:rFonts w:hint="eastAsia" w:asciiTheme="minorEastAsia" w:hAnsiTheme="minorEastAsia" w:eastAsiaTheme="minorEastAsia"/>
                <w:szCs w:val="21"/>
              </w:rPr>
              <w:t>每提供1个得1分，满分3分</w:t>
            </w:r>
            <w:r>
              <w:rPr>
                <w:rFonts w:asciiTheme="minorEastAsia" w:hAnsiTheme="minorEastAsia" w:eastAsiaTheme="minorEastAsia"/>
                <w:szCs w:val="21"/>
              </w:rPr>
              <w:t xml:space="preserve">。 </w:t>
            </w:r>
          </w:p>
          <w:p>
            <w:pPr>
              <w:ind w:left="-78" w:leftChars="-37" w:right="-73" w:rightChars="-35"/>
              <w:jc w:val="left"/>
              <w:rPr>
                <w:rFonts w:cs="宋体" w:asciiTheme="minorEastAsia" w:hAnsiTheme="minorEastAsia" w:eastAsiaTheme="minorEastAsia"/>
                <w:szCs w:val="21"/>
              </w:rPr>
            </w:pPr>
            <w:r>
              <w:rPr>
                <w:rFonts w:asciiTheme="minorEastAsia" w:hAnsiTheme="minorEastAsia" w:eastAsiaTheme="minorEastAsia"/>
                <w:szCs w:val="21"/>
              </w:rPr>
              <w:t>注：投标文件提供有效并通过年审合格（如有）的相关证书及国家认证认可监督管理委员会官方网站（www.cnca.gov.cn）或相关网站查询截图复印件。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pStyle w:val="82"/>
              <w:numPr>
                <w:ilvl w:val="0"/>
                <w:numId w:val="7"/>
              </w:numPr>
              <w:ind w:firstLineChars="0"/>
              <w:jc w:val="center"/>
              <w:rPr>
                <w:rFonts w:asciiTheme="minorEastAsia" w:hAnsiTheme="minorEastAsia" w:eastAsiaTheme="minorEastAsia"/>
                <w:szCs w:val="21"/>
              </w:rPr>
            </w:pPr>
          </w:p>
        </w:tc>
        <w:tc>
          <w:tcPr>
            <w:tcW w:w="135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项目团队实力</w:t>
            </w:r>
          </w:p>
        </w:tc>
        <w:tc>
          <w:tcPr>
            <w:tcW w:w="5635" w:type="dxa"/>
            <w:tcBorders>
              <w:top w:val="single" w:color="000000" w:sz="8" w:space="0"/>
              <w:left w:val="single" w:color="000000" w:sz="8" w:space="0"/>
              <w:bottom w:val="single" w:color="000000" w:sz="8" w:space="0"/>
              <w:right w:val="single" w:color="000000" w:sz="8" w:space="0"/>
            </w:tcBorders>
          </w:tcPr>
          <w:p>
            <w:pPr>
              <w:wordWrap w:val="0"/>
              <w:jc w:val="left"/>
              <w:rPr>
                <w:rFonts w:asciiTheme="minorEastAsia" w:hAnsiTheme="minorEastAsia" w:eastAsiaTheme="minorEastAsia"/>
                <w:szCs w:val="21"/>
              </w:rPr>
            </w:pPr>
            <w:r>
              <w:rPr>
                <w:rFonts w:asciiTheme="minorEastAsia" w:hAnsiTheme="minorEastAsia" w:eastAsiaTheme="minorEastAsia"/>
                <w:szCs w:val="21"/>
              </w:rPr>
              <w:t xml:space="preserve">（1）项目负责人具有有效的二级或以上注册建造师资格证书及有效的安全生产考核合格证（B类）； </w:t>
            </w:r>
          </w:p>
          <w:p>
            <w:pPr>
              <w:wordWrap w:val="0"/>
              <w:rPr>
                <w:rFonts w:asciiTheme="minorEastAsia" w:hAnsiTheme="minorEastAsia" w:eastAsiaTheme="minorEastAsia"/>
                <w:szCs w:val="21"/>
              </w:rPr>
            </w:pPr>
            <w:r>
              <w:rPr>
                <w:rFonts w:asciiTheme="minorEastAsia" w:hAnsiTheme="minorEastAsia" w:eastAsiaTheme="minorEastAsia"/>
                <w:szCs w:val="21"/>
              </w:rPr>
              <w:t>（2）本项目需配备施工员</w:t>
            </w:r>
            <w:r>
              <w:rPr>
                <w:rFonts w:hint="eastAsia" w:asciiTheme="minorEastAsia" w:hAnsiTheme="minorEastAsia" w:eastAsiaTheme="minorEastAsia"/>
                <w:szCs w:val="21"/>
              </w:rPr>
              <w:t>，</w:t>
            </w:r>
            <w:r>
              <w:rPr>
                <w:rFonts w:asciiTheme="minorEastAsia" w:hAnsiTheme="minorEastAsia" w:eastAsiaTheme="minorEastAsia"/>
                <w:szCs w:val="21"/>
              </w:rPr>
              <w:t xml:space="preserve">安全员。 </w:t>
            </w:r>
          </w:p>
          <w:p>
            <w:pPr>
              <w:wordWrap w:val="0"/>
              <w:rPr>
                <w:rFonts w:asciiTheme="minorEastAsia" w:hAnsiTheme="minorEastAsia" w:eastAsiaTheme="minorEastAsia"/>
                <w:szCs w:val="21"/>
              </w:rPr>
            </w:pPr>
            <w:r>
              <w:rPr>
                <w:rFonts w:asciiTheme="minorEastAsia" w:hAnsiTheme="minorEastAsia" w:eastAsiaTheme="minorEastAsia"/>
                <w:szCs w:val="21"/>
              </w:rPr>
              <w:t>符合要求的项目负责人得3分，其他人员每个得1分，最</w:t>
            </w:r>
            <w:r>
              <w:rPr>
                <w:rFonts w:hint="eastAsia" w:asciiTheme="minorEastAsia" w:hAnsiTheme="minorEastAsia" w:eastAsiaTheme="minorEastAsia"/>
                <w:szCs w:val="21"/>
              </w:rPr>
              <w:t>高</w:t>
            </w:r>
            <w:r>
              <w:rPr>
                <w:rFonts w:asciiTheme="minorEastAsia" w:hAnsiTheme="minorEastAsia" w:eastAsiaTheme="minorEastAsia"/>
                <w:szCs w:val="21"/>
              </w:rPr>
              <w:t xml:space="preserve">6分。 </w:t>
            </w:r>
          </w:p>
          <w:p>
            <w:pPr>
              <w:ind w:left="-78" w:leftChars="-37" w:right="-73" w:rightChars="-35"/>
              <w:jc w:val="left"/>
              <w:rPr>
                <w:rFonts w:cs="宋体" w:asciiTheme="minorEastAsia" w:hAnsiTheme="minorEastAsia" w:eastAsiaTheme="minorEastAsia"/>
                <w:szCs w:val="21"/>
              </w:rPr>
            </w:pPr>
            <w:r>
              <w:rPr>
                <w:rFonts w:asciiTheme="minorEastAsia" w:hAnsiTheme="minorEastAsia" w:eastAsiaTheme="minorEastAsia"/>
                <w:szCs w:val="21"/>
              </w:rPr>
              <w:t>以上人员均必须提供相关职称/执业资格等证书的复印件及劳务合同复印件。</w:t>
            </w:r>
          </w:p>
        </w:tc>
        <w:tc>
          <w:tcPr>
            <w:tcW w:w="780"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asciiTheme="minorEastAsia" w:hAnsiTheme="minorEastAsia" w:eastAsiaTheme="minorEastAsia"/>
                <w:szCs w:val="21"/>
              </w:rPr>
              <w:t>%</w:t>
            </w:r>
          </w:p>
        </w:tc>
        <w:tc>
          <w:tcPr>
            <w:tcW w:w="697" w:type="dxa"/>
            <w:tcBorders>
              <w:left w:val="single" w:color="auto" w:sz="4" w:space="0"/>
            </w:tcBorders>
            <w:vAlign w:val="center"/>
          </w:tcPr>
          <w:p>
            <w:pPr>
              <w:ind w:left="-78" w:leftChars="-37" w:right="-73" w:rightChars="-35"/>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cs="宋体" w:asciiTheme="minorEastAsia" w:hAnsiTheme="minorEastAsia" w:eastAsiaTheme="minorEastAsia"/>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pStyle w:val="82"/>
              <w:numPr>
                <w:ilvl w:val="0"/>
                <w:numId w:val="7"/>
              </w:numPr>
              <w:ind w:firstLineChars="0"/>
              <w:jc w:val="center"/>
              <w:rPr>
                <w:rFonts w:asciiTheme="minorEastAsia" w:hAnsiTheme="minorEastAsia" w:eastAsiaTheme="minorEastAsia"/>
                <w:szCs w:val="21"/>
              </w:rPr>
            </w:pPr>
          </w:p>
        </w:tc>
        <w:tc>
          <w:tcPr>
            <w:tcW w:w="1355" w:type="dxa"/>
            <w:vAlign w:val="center"/>
          </w:tcPr>
          <w:p>
            <w:pPr>
              <w:jc w:val="center"/>
              <w:rPr>
                <w:rFonts w:asciiTheme="minorEastAsia" w:hAnsiTheme="minorEastAsia" w:eastAsiaTheme="minorEastAsia"/>
                <w:bCs/>
                <w:szCs w:val="21"/>
                <w:highlight w:val="green"/>
              </w:rPr>
            </w:pPr>
            <w:r>
              <w:rPr>
                <w:rFonts w:hint="eastAsia" w:cs="宋体" w:asciiTheme="minorEastAsia" w:hAnsiTheme="minorEastAsia" w:eastAsiaTheme="minorEastAsia"/>
                <w:szCs w:val="21"/>
              </w:rPr>
              <w:t>诚信</w:t>
            </w:r>
          </w:p>
        </w:tc>
        <w:tc>
          <w:tcPr>
            <w:tcW w:w="5635" w:type="dxa"/>
            <w:vAlign w:val="center"/>
          </w:tcPr>
          <w:p>
            <w:pPr>
              <w:spacing w:line="360" w:lineRule="exact"/>
              <w:jc w:val="left"/>
              <w:rPr>
                <w:rFonts w:asciiTheme="minorEastAsia" w:hAnsiTheme="minorEastAsia" w:eastAsiaTheme="minorEastAsia"/>
                <w:szCs w:val="21"/>
                <w:highlight w:val="yellow"/>
              </w:rPr>
            </w:pPr>
            <w:r>
              <w:rPr>
                <w:rFonts w:hint="eastAsia" w:asciiTheme="minorEastAsia" w:hAnsiTheme="minorEastAsia" w:eastAsiaTheme="minorEastAsia"/>
                <w:szCs w:val="21"/>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780" w:type="dxa"/>
            <w:tcBorders>
              <w:right w:val="single" w:color="auto" w:sz="4" w:space="0"/>
            </w:tcBorders>
            <w:vAlign w:val="center"/>
          </w:tcPr>
          <w:p>
            <w:pPr>
              <w:ind w:left="-78" w:leftChars="-37" w:right="-73" w:rightChars="-35"/>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cs="宋体" w:asciiTheme="minorEastAsia" w:hAnsiTheme="minorEastAsia" w:eastAsiaTheme="minorEastAsia"/>
                <w:szCs w:val="21"/>
              </w:rPr>
            </w:pPr>
            <w:r>
              <w:rPr>
                <w:rFonts w:hint="eastAsia" w:asciiTheme="minorEastAsia" w:hAnsiTheme="minorEastAsia" w:eastAsiaTheme="minorEastAsia"/>
                <w:szCs w:val="21"/>
              </w:rPr>
              <w:t>合计</w:t>
            </w:r>
          </w:p>
        </w:tc>
        <w:tc>
          <w:tcPr>
            <w:tcW w:w="780" w:type="dxa"/>
            <w:tcBorders>
              <w:righ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w:t>
            </w:r>
          </w:p>
        </w:tc>
        <w:tc>
          <w:tcPr>
            <w:tcW w:w="697" w:type="dxa"/>
            <w:tcBorders>
              <w:left w:val="single" w:color="auto" w:sz="4" w:space="0"/>
            </w:tcBorders>
            <w:vAlign w:val="center"/>
          </w:tcPr>
          <w:p>
            <w:pPr>
              <w:ind w:left="-78" w:leftChars="-37" w:right="-73" w:rightChars="-35"/>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100分</w:t>
            </w:r>
          </w:p>
        </w:tc>
      </w:tr>
    </w:tbl>
    <w:p>
      <w:pPr>
        <w:snapToGrid w:val="0"/>
        <w:spacing w:line="360" w:lineRule="auto"/>
        <w:rPr>
          <w:rFonts w:ascii="宋体" w:cs="宋体"/>
          <w:snapToGrid w:val="0"/>
          <w:kern w:val="0"/>
        </w:rPr>
      </w:pPr>
      <w:r>
        <w:rPr>
          <w:rFonts w:hint="eastAsia" w:ascii="宋体" w:cs="宋体"/>
          <w:snapToGrid w:val="0"/>
          <w:kern w:val="0"/>
        </w:rPr>
        <w:t>备注：</w:t>
      </w:r>
    </w:p>
    <w:p>
      <w:pPr>
        <w:tabs>
          <w:tab w:val="left" w:pos="420"/>
        </w:tabs>
        <w:snapToGrid w:val="0"/>
        <w:spacing w:line="360" w:lineRule="auto"/>
        <w:rPr>
          <w:rFonts w:ascii="宋体" w:hAnsi="宋体"/>
          <w:bCs/>
        </w:rPr>
      </w:pPr>
      <w:r>
        <w:rPr>
          <w:rFonts w:hint="eastAsia" w:ascii="宋体" w:hAnsi="宋体"/>
          <w:bCs/>
        </w:rPr>
        <w:t>招标文件要求提交的与评价指标体系相关的各类有效资料，投标人如未按要求提交的，该项评分为零分。</w:t>
      </w:r>
    </w:p>
    <w:bookmarkEnd w:id="27"/>
    <w:p>
      <w:pPr>
        <w:pStyle w:val="3"/>
        <w:numPr>
          <w:ilvl w:val="0"/>
          <w:numId w:val="3"/>
        </w:numPr>
        <w:spacing w:line="240" w:lineRule="auto"/>
        <w:jc w:val="center"/>
        <w:rPr>
          <w:rFonts w:asciiTheme="majorEastAsia" w:hAnsiTheme="majorEastAsia" w:eastAsiaTheme="majorEastAsia"/>
          <w:sz w:val="30"/>
          <w:szCs w:val="30"/>
        </w:rPr>
      </w:pPr>
      <w:bookmarkStart w:id="34" w:name="_Toc77947877"/>
      <w:r>
        <w:rPr>
          <w:rFonts w:hint="eastAsia" w:asciiTheme="majorEastAsia" w:hAnsiTheme="majorEastAsia" w:eastAsiaTheme="majorEastAsia"/>
          <w:sz w:val="30"/>
          <w:szCs w:val="30"/>
        </w:rPr>
        <w:t>评标</w:t>
      </w:r>
      <w:bookmarkEnd w:id="34"/>
      <w:r>
        <w:rPr>
          <w:rFonts w:hint="eastAsia" w:asciiTheme="majorEastAsia" w:hAnsiTheme="majorEastAsia" w:eastAsiaTheme="majorEastAsia"/>
          <w:sz w:val="30"/>
          <w:szCs w:val="30"/>
        </w:rPr>
        <w:t>、定标</w:t>
      </w:r>
    </w:p>
    <w:p>
      <w:pPr>
        <w:pStyle w:val="82"/>
        <w:widowControl/>
        <w:numPr>
          <w:ilvl w:val="0"/>
          <w:numId w:val="8"/>
        </w:numPr>
        <w:spacing w:line="360" w:lineRule="auto"/>
        <w:ind w:firstLineChars="0"/>
        <w:jc w:val="left"/>
        <w:rPr>
          <w:rFonts w:hAnsi="宋体"/>
        </w:rPr>
      </w:pPr>
      <w:r>
        <w:rPr>
          <w:rFonts w:hint="eastAsia" w:hAnsi="宋体"/>
        </w:rPr>
        <w:t>评标委员会的组成</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评标委员会依法组建，由5</w:t>
      </w:r>
      <w:r>
        <w:rPr>
          <w:rFonts w:hint="eastAsia" w:ascii="宋体" w:hAnsi="宋体" w:cs="宋体"/>
          <w:szCs w:val="21"/>
        </w:rPr>
        <w:t>人</w:t>
      </w:r>
      <w:r>
        <w:rPr>
          <w:rFonts w:hint="eastAsia" w:ascii="宋体" w:hAnsi="宋体" w:cs="宋体"/>
          <w:szCs w:val="21"/>
          <w:lang w:eastAsia="zh-TW"/>
        </w:rPr>
        <w:t>单数组成。</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评标委员会成员名单在评标结果公告前应当保密。评审专家有下列情形之一的，受到邀请应主动提出回避，采购当事人也可以要求该评审专家回避：</w:t>
      </w:r>
    </w:p>
    <w:p>
      <w:pPr>
        <w:pStyle w:val="11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参加采购活动前3年内与供应商存在劳动关系；</w:t>
      </w:r>
    </w:p>
    <w:p>
      <w:pPr>
        <w:pStyle w:val="11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参加采购活动前3年内担任供应商的董事、监事；</w:t>
      </w:r>
    </w:p>
    <w:p>
      <w:pPr>
        <w:pStyle w:val="11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pStyle w:val="11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pStyle w:val="11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与供应商有其他可能影响采购活动公平、公正进行的关系。</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评标委员会负责具体评标事务，并独立履行下列职责：</w:t>
      </w:r>
    </w:p>
    <w:p>
      <w:pPr>
        <w:pStyle w:val="8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审查、评价投标文件是否符合招标文件的商务、技术等实质性要求；</w:t>
      </w:r>
    </w:p>
    <w:p>
      <w:pPr>
        <w:pStyle w:val="8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要求投标人对投标文件有关事项作出澄清或者说明；</w:t>
      </w:r>
    </w:p>
    <w:p>
      <w:pPr>
        <w:pStyle w:val="8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对投标文件进行比较和评价；</w:t>
      </w:r>
    </w:p>
    <w:p>
      <w:pPr>
        <w:pStyle w:val="8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确定中标候选人名单，以及根据采购人委托直接确定中标人；</w:t>
      </w:r>
    </w:p>
    <w:p>
      <w:pPr>
        <w:pStyle w:val="82"/>
        <w:widowControl/>
        <w:numPr>
          <w:ilvl w:val="2"/>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向采购人或者有关部门报告评标中发现的违法行为。</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对于投标文件中含义不明确、同类问题表述不一致或者有明显文字和计算错误的内容，评标委员会应当以书面形式要求投标人作出必要的澄清、说明或者补正。</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2"/>
        <w:widowControl/>
        <w:numPr>
          <w:ilvl w:val="1"/>
          <w:numId w:val="8"/>
        </w:numPr>
        <w:spacing w:line="360" w:lineRule="auto"/>
        <w:ind w:firstLineChars="0"/>
        <w:jc w:val="left"/>
        <w:rPr>
          <w:rFonts w:ascii="宋体" w:hAnsi="宋体" w:cs="宋体"/>
          <w:szCs w:val="21"/>
          <w:lang w:eastAsia="zh-TW"/>
        </w:rPr>
      </w:pPr>
      <w:r>
        <w:t>评标委员会决定投标的响应性只根据投标文件中提供的材料内容，而不依据外部的材料证据</w:t>
      </w:r>
      <w:r>
        <w:rPr>
          <w:rFonts w:hint="eastAsia" w:ascii="宋体" w:hAnsi="宋体" w:cs="宋体"/>
          <w:szCs w:val="21"/>
          <w:lang w:eastAsia="zh-TW"/>
        </w:rPr>
        <w:t>。</w:t>
      </w:r>
    </w:p>
    <w:p>
      <w:pPr>
        <w:pStyle w:val="82"/>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82"/>
        <w:widowControl/>
        <w:numPr>
          <w:ilvl w:val="0"/>
          <w:numId w:val="8"/>
        </w:numPr>
        <w:spacing w:line="360" w:lineRule="auto"/>
        <w:ind w:firstLineChars="0"/>
        <w:jc w:val="left"/>
        <w:rPr>
          <w:rFonts w:hAnsi="宋体"/>
          <w:b/>
        </w:rPr>
      </w:pPr>
      <w:r>
        <w:rPr>
          <w:rFonts w:hint="eastAsia" w:hAnsi="宋体"/>
          <w:b/>
        </w:rPr>
        <w:t>评标（适用综合评分法）：</w:t>
      </w:r>
    </w:p>
    <w:p>
      <w:pPr>
        <w:pStyle w:val="82"/>
        <w:widowControl/>
        <w:numPr>
          <w:ilvl w:val="1"/>
          <w:numId w:val="8"/>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pPr>
        <w:pStyle w:val="8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 xml:space="preserve">评标总得分＝F1×A1＋F2×A2＋……＋Fn×An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F1、F2……Fn分别为各项评审因素的得分；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A1、A2、……An 分别为各项评审因素所占的权重(A1＋A2＋……＋An＝1)。</w:t>
      </w:r>
    </w:p>
    <w:p>
      <w:pPr>
        <w:pStyle w:val="82"/>
        <w:widowControl/>
        <w:numPr>
          <w:ilvl w:val="1"/>
          <w:numId w:val="8"/>
        </w:numPr>
        <w:spacing w:line="360" w:lineRule="auto"/>
        <w:ind w:firstLineChars="0"/>
        <w:jc w:val="left"/>
        <w:rPr>
          <w:rFonts w:ascii="宋体" w:hAnsi="宋体"/>
          <w:bCs/>
          <w:szCs w:val="21"/>
        </w:rPr>
      </w:pPr>
      <w:r>
        <w:rPr>
          <w:rFonts w:hint="eastAsia" w:ascii="宋体" w:hAnsi="宋体"/>
          <w:bCs/>
          <w:szCs w:val="21"/>
        </w:rPr>
        <w:t>评标步骤：</w:t>
      </w:r>
    </w:p>
    <w:p>
      <w:pPr>
        <w:pStyle w:val="82"/>
        <w:widowControl/>
        <w:numPr>
          <w:ilvl w:val="2"/>
          <w:numId w:val="8"/>
        </w:numPr>
        <w:spacing w:line="360" w:lineRule="auto"/>
        <w:ind w:firstLineChars="0"/>
        <w:jc w:val="left"/>
        <w:rPr>
          <w:rFonts w:ascii="宋体" w:hAnsi="宋体"/>
          <w:bCs/>
          <w:szCs w:val="21"/>
        </w:rPr>
      </w:pPr>
      <w:r>
        <w:rPr>
          <w:rFonts w:hint="eastAsia" w:ascii="宋体" w:hAnsi="宋体"/>
          <w:bCs/>
          <w:szCs w:val="21"/>
        </w:rPr>
        <w:t>本项目按各包组进行独立评审，按包组的自然顺序进行评审。</w:t>
      </w:r>
    </w:p>
    <w:p>
      <w:pPr>
        <w:pStyle w:val="82"/>
        <w:widowControl/>
        <w:numPr>
          <w:ilvl w:val="2"/>
          <w:numId w:val="8"/>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pPr>
        <w:pStyle w:val="82"/>
        <w:widowControl/>
        <w:numPr>
          <w:ilvl w:val="2"/>
          <w:numId w:val="8"/>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lang w:eastAsia="zh-TW"/>
        </w:rPr>
        <w:t>评标委员会对初步被认定为符合性审查不合格或无效投标者</w:t>
      </w:r>
      <w:r>
        <w:rPr>
          <w:rFonts w:hint="eastAsia" w:ascii="宋体" w:hAnsi="宋体" w:cs="宋体"/>
          <w:szCs w:val="21"/>
        </w:rPr>
        <w:t>可</w:t>
      </w:r>
      <w:r>
        <w:rPr>
          <w:rFonts w:hint="eastAsia" w:ascii="宋体" w:hAnsi="宋体" w:cs="宋体"/>
          <w:szCs w:val="21"/>
          <w:lang w:eastAsia="zh-TW"/>
        </w:rPr>
        <w:t>实行告知</w:t>
      </w:r>
      <w:r>
        <w:rPr>
          <w:rFonts w:hint="eastAsia" w:ascii="宋体" w:cs="宋体"/>
          <w:szCs w:val="21"/>
        </w:rPr>
        <w:t>投标当事人</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pPr>
        <w:pStyle w:val="82"/>
        <w:widowControl/>
        <w:numPr>
          <w:ilvl w:val="2"/>
          <w:numId w:val="8"/>
        </w:numPr>
        <w:spacing w:line="360" w:lineRule="auto"/>
        <w:ind w:firstLineChars="0"/>
        <w:jc w:val="left"/>
        <w:rPr>
          <w:rFonts w:ascii="宋体" w:cs="宋体"/>
          <w:szCs w:val="21"/>
        </w:rPr>
      </w:pPr>
      <w:r>
        <w:rPr>
          <w:rFonts w:hint="eastAsia" w:ascii="宋体" w:cs="宋体"/>
          <w:szCs w:val="21"/>
        </w:rPr>
        <w:t>详细评审及推荐中标候选人：</w:t>
      </w:r>
    </w:p>
    <w:p>
      <w:pPr>
        <w:pStyle w:val="82"/>
        <w:widowControl/>
        <w:numPr>
          <w:ilvl w:val="3"/>
          <w:numId w:val="8"/>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pPr>
        <w:pStyle w:val="82"/>
        <w:widowControl/>
        <w:numPr>
          <w:ilvl w:val="3"/>
          <w:numId w:val="8"/>
        </w:numPr>
        <w:spacing w:line="360" w:lineRule="auto"/>
        <w:ind w:firstLineChars="0"/>
        <w:jc w:val="left"/>
        <w:rPr>
          <w:rFonts w:ascii="宋体" w:hAnsi="宋体"/>
          <w:szCs w:val="21"/>
        </w:rPr>
      </w:pPr>
      <w:bookmarkStart w:id="35"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bookmarkEnd w:id="35"/>
      <w:r>
        <w:rPr>
          <w:rFonts w:hint="eastAsia" w:ascii="宋体" w:hAnsi="宋体" w:cs="宋体"/>
          <w:szCs w:val="21"/>
        </w:rPr>
        <w:t>。</w:t>
      </w:r>
    </w:p>
    <w:p>
      <w:pPr>
        <w:pStyle w:val="82"/>
        <w:widowControl/>
        <w:numPr>
          <w:ilvl w:val="3"/>
          <w:numId w:val="8"/>
        </w:numPr>
        <w:spacing w:line="360" w:lineRule="auto"/>
        <w:ind w:firstLineChars="0"/>
        <w:jc w:val="left"/>
        <w:rPr>
          <w:rFonts w:ascii="宋体" w:hAnsi="宋体" w:cs="宋体"/>
          <w:szCs w:val="21"/>
          <w:lang w:eastAsia="zh-TW"/>
        </w:rPr>
      </w:pPr>
      <w:r>
        <w:rPr>
          <w:rFonts w:hint="eastAsia" w:ascii="宋体" w:hAnsi="宋体" w:cs="宋体"/>
          <w:szCs w:val="21"/>
          <w:lang w:eastAsia="zh-TW"/>
        </w:rPr>
        <w:t>使用综合评分法的采购项目，单一产品采购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且通过资格审查、符合性审查的不同投标人参加同一合同项下投标的，按一家投标人计算，评审后得分最高的同品牌投标人获得中标人推荐资格；评审得分相同的，其他同品牌投标人不作为中标候选人。</w:t>
      </w:r>
    </w:p>
    <w:p>
      <w:pPr>
        <w:pStyle w:val="82"/>
        <w:widowControl/>
        <w:numPr>
          <w:ilvl w:val="3"/>
          <w:numId w:val="8"/>
        </w:numPr>
        <w:spacing w:line="360" w:lineRule="auto"/>
        <w:ind w:firstLineChars="0"/>
        <w:jc w:val="left"/>
        <w:rPr>
          <w:rFonts w:ascii="宋体" w:hAnsi="宋体"/>
          <w:szCs w:val="21"/>
        </w:rPr>
      </w:pPr>
      <w:r>
        <w:rPr>
          <w:rFonts w:hint="eastAsia" w:ascii="宋体" w:hAnsi="宋体"/>
          <w:szCs w:val="21"/>
        </w:rPr>
        <w:t>采用综合评分法的，评标结果按评审后得分由高到低顺序排列。得分相同的并列。投标文件满足招标文件全部实质性要求，且按照评审因素的量化指标评审得分最高的投标人为排名第一的中标候选人。</w:t>
      </w:r>
    </w:p>
    <w:p>
      <w:pPr>
        <w:pStyle w:val="82"/>
        <w:widowControl/>
        <w:numPr>
          <w:ilvl w:val="3"/>
          <w:numId w:val="8"/>
        </w:numPr>
        <w:spacing w:line="360" w:lineRule="auto"/>
        <w:ind w:firstLineChars="0"/>
        <w:jc w:val="left"/>
        <w:rPr>
          <w:rFonts w:ascii="宋体" w:hAnsi="宋体"/>
          <w:szCs w:val="21"/>
        </w:rPr>
      </w:pPr>
      <w:r>
        <w:rPr>
          <w:rFonts w:hint="eastAsia" w:ascii="宋体" w:hAnsi="宋体"/>
          <w:szCs w:val="21"/>
        </w:rPr>
        <w:t>推荐综合得分排名第一的投标人为第一中标候选人，排名第二的投标人为第二中标候选人，排名第三的投标人为第三中标候选人。</w:t>
      </w:r>
    </w:p>
    <w:p>
      <w:pPr>
        <w:pStyle w:val="82"/>
        <w:widowControl/>
        <w:numPr>
          <w:ilvl w:val="3"/>
          <w:numId w:val="8"/>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pPr>
        <w:pStyle w:val="112"/>
        <w:widowControl/>
        <w:numPr>
          <w:ilvl w:val="0"/>
          <w:numId w:val="8"/>
        </w:numPr>
        <w:spacing w:line="360" w:lineRule="auto"/>
        <w:ind w:firstLineChars="0"/>
        <w:jc w:val="left"/>
        <w:rPr>
          <w:rFonts w:ascii="宋体" w:hAnsi="宋体"/>
          <w:b/>
          <w:szCs w:val="21"/>
        </w:rPr>
      </w:pPr>
      <w:r>
        <w:rPr>
          <w:rFonts w:hint="eastAsia" w:ascii="宋体" w:hAnsi="宋体"/>
          <w:b/>
          <w:szCs w:val="21"/>
        </w:rPr>
        <w:t>定标</w:t>
      </w:r>
    </w:p>
    <w:p>
      <w:pPr>
        <w:pStyle w:val="112"/>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采购人在收到评标报告3个工作日内确定中标人，按照评标报告中推荐的中标候选人顺序确定中标人，也可以事先授权评标委员会直接确定中标人。确认后采购人将在刊登本项目招标公告的法定媒体上</w:t>
      </w:r>
      <w:r>
        <w:rPr>
          <w:rFonts w:ascii="宋体" w:hAnsi="宋体"/>
          <w:szCs w:val="21"/>
        </w:rPr>
        <w:t>发</w:t>
      </w:r>
      <w:r>
        <w:rPr>
          <w:rFonts w:hint="eastAsia" w:ascii="宋体" w:hAnsi="宋体"/>
          <w:szCs w:val="21"/>
        </w:rPr>
        <w:t>布中标公告。</w:t>
      </w:r>
    </w:p>
    <w:p>
      <w:pPr>
        <w:pStyle w:val="112"/>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中标人拒绝与采购人签订合同的，采购人可以按照评审报告推荐的中标候选人名单排序，确定下一候选人为中标人，也可以重新开展政府采购活动。</w:t>
      </w:r>
    </w:p>
    <w:p>
      <w:pPr>
        <w:pStyle w:val="82"/>
        <w:widowControl/>
        <w:numPr>
          <w:ilvl w:val="0"/>
          <w:numId w:val="8"/>
        </w:numPr>
        <w:spacing w:line="360" w:lineRule="auto"/>
        <w:ind w:firstLineChars="0"/>
        <w:jc w:val="left"/>
        <w:rPr>
          <w:rFonts w:ascii="宋体" w:hAnsi="宋体"/>
          <w:b/>
          <w:szCs w:val="21"/>
        </w:rPr>
      </w:pPr>
      <w:r>
        <w:rPr>
          <w:rFonts w:ascii="宋体" w:hAnsi="宋体"/>
          <w:b/>
          <w:szCs w:val="21"/>
        </w:rPr>
        <w:t>特别说明</w:t>
      </w:r>
    </w:p>
    <w:p>
      <w:pPr>
        <w:pStyle w:val="82"/>
        <w:widowControl/>
        <w:numPr>
          <w:ilvl w:val="1"/>
          <w:numId w:val="8"/>
        </w:numPr>
        <w:spacing w:line="360" w:lineRule="auto"/>
        <w:ind w:firstLineChars="0"/>
        <w:jc w:val="left"/>
        <w:rPr>
          <w:rFonts w:ascii="宋体" w:hAnsi="宋体"/>
          <w:szCs w:val="21"/>
        </w:rPr>
      </w:pPr>
      <w:r>
        <w:rPr>
          <w:rFonts w:hint="eastAsia" w:ascii="宋体" w:hAnsi="宋体"/>
          <w:szCs w:val="21"/>
        </w:rPr>
        <w:t>有下列情形之一的，视为投标人串通投标，其投标无效：</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不同投标人的投标文件相互混装；</w:t>
      </w:r>
    </w:p>
    <w:p>
      <w:pPr>
        <w:pStyle w:val="82"/>
        <w:widowControl/>
        <w:numPr>
          <w:ilvl w:val="1"/>
          <w:numId w:val="8"/>
        </w:numPr>
        <w:spacing w:line="360" w:lineRule="auto"/>
        <w:ind w:firstLineChars="0"/>
        <w:jc w:val="left"/>
        <w:rPr>
          <w:rFonts w:ascii="宋体" w:hAnsi="宋体"/>
          <w:szCs w:val="21"/>
        </w:rPr>
      </w:pPr>
      <w:r>
        <w:rPr>
          <w:rFonts w:hint="eastAsia" w:ascii="宋体" w:hAnsi="宋体"/>
          <w:szCs w:val="21"/>
        </w:rPr>
        <w:t>投标人存在下列情况之一的，投标无效：</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投标文件未按招标文件要求签署、盖章的；</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不具备招标文件中规定的资格要求的；</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pPr>
        <w:pStyle w:val="82"/>
        <w:widowControl/>
        <w:numPr>
          <w:ilvl w:val="2"/>
          <w:numId w:val="8"/>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pPr>
        <w:pStyle w:val="82"/>
        <w:widowControl/>
        <w:numPr>
          <w:ilvl w:val="1"/>
          <w:numId w:val="8"/>
        </w:numPr>
        <w:spacing w:line="360" w:lineRule="auto"/>
        <w:ind w:firstLineChars="0"/>
        <w:jc w:val="left"/>
        <w:rPr>
          <w:rFonts w:ascii="宋体" w:hAnsi="宋体"/>
          <w:b/>
          <w:szCs w:val="21"/>
        </w:rPr>
      </w:pPr>
      <w:r>
        <w:rPr>
          <w:rFonts w:ascii="宋体" w:hAnsi="宋体"/>
          <w:b/>
          <w:szCs w:val="21"/>
        </w:rPr>
        <w:t>废标</w:t>
      </w:r>
    </w:p>
    <w:p>
      <w:pPr>
        <w:pStyle w:val="82"/>
        <w:widowControl/>
        <w:numPr>
          <w:ilvl w:val="2"/>
          <w:numId w:val="8"/>
        </w:numPr>
        <w:spacing w:line="360" w:lineRule="auto"/>
        <w:ind w:firstLineChars="0"/>
        <w:jc w:val="left"/>
        <w:rPr>
          <w:rFonts w:ascii="宋体" w:hAnsi="宋体"/>
          <w:szCs w:val="21"/>
        </w:rPr>
      </w:pPr>
      <w:r>
        <w:rPr>
          <w:rFonts w:ascii="宋体" w:hAnsi="宋体"/>
          <w:szCs w:val="21"/>
        </w:rPr>
        <w:t>在招标采购中，出现下列情形之一的，应予废标</w:t>
      </w:r>
      <w:r>
        <w:rPr>
          <w:rFonts w:hint="eastAsia" w:ascii="宋体" w:hAnsi="宋体"/>
          <w:szCs w:val="21"/>
        </w:rPr>
        <w:t>。</w:t>
      </w:r>
    </w:p>
    <w:p>
      <w:pPr>
        <w:pStyle w:val="82"/>
        <w:widowControl/>
        <w:numPr>
          <w:ilvl w:val="2"/>
          <w:numId w:val="8"/>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pStyle w:val="82"/>
        <w:widowControl/>
        <w:numPr>
          <w:ilvl w:val="2"/>
          <w:numId w:val="8"/>
        </w:numPr>
        <w:spacing w:line="360" w:lineRule="auto"/>
        <w:ind w:firstLineChars="0"/>
        <w:jc w:val="left"/>
        <w:rPr>
          <w:rFonts w:ascii="宋体" w:hAnsi="宋体"/>
          <w:szCs w:val="21"/>
        </w:rPr>
      </w:pPr>
      <w:r>
        <w:rPr>
          <w:rFonts w:ascii="宋体" w:hAnsi="宋体"/>
          <w:szCs w:val="21"/>
        </w:rPr>
        <w:t>出现影响采购公正的违法、违规行为的；</w:t>
      </w:r>
    </w:p>
    <w:p>
      <w:pPr>
        <w:pStyle w:val="82"/>
        <w:widowControl/>
        <w:numPr>
          <w:ilvl w:val="2"/>
          <w:numId w:val="8"/>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pPr>
        <w:rPr>
          <w:rFonts w:ascii="宋体" w:hAnsi="宋体"/>
          <w:szCs w:val="21"/>
        </w:rPr>
      </w:pPr>
      <w:r>
        <w:rPr>
          <w:rFonts w:hint="eastAsia" w:ascii="宋体" w:hAnsi="宋体"/>
          <w:szCs w:val="21"/>
        </w:rPr>
        <w:br w:type="page"/>
      </w:r>
    </w:p>
    <w:p>
      <w:pPr>
        <w:spacing w:before="156" w:beforeLines="50" w:after="156" w:afterLines="50" w:line="360" w:lineRule="auto"/>
        <w:jc w:val="center"/>
        <w:outlineLvl w:val="0"/>
        <w:rPr>
          <w:b/>
          <w:bCs/>
          <w:sz w:val="28"/>
          <w:szCs w:val="28"/>
        </w:rPr>
      </w:pPr>
      <w:bookmarkStart w:id="36" w:name="_Toc8307305"/>
      <w:bookmarkStart w:id="37" w:name="_Toc77947878"/>
      <w:bookmarkStart w:id="38" w:name="_Toc983_WPSOffice_Level1"/>
      <w:bookmarkStart w:id="39" w:name="_Toc10385"/>
      <w:bookmarkStart w:id="40" w:name="_Toc29575"/>
      <w:r>
        <w:rPr>
          <w:rFonts w:hint="eastAsia"/>
          <w:b/>
          <w:bCs/>
          <w:sz w:val="28"/>
          <w:szCs w:val="28"/>
        </w:rPr>
        <w:t>第五章 合同文本</w:t>
      </w:r>
      <w:r>
        <w:rPr>
          <w:rFonts w:hint="eastAsia" w:ascii="宋体" w:hAnsi="宋体" w:cs="宋体"/>
          <w:b/>
          <w:sz w:val="24"/>
          <w:szCs w:val="21"/>
        </w:rPr>
        <w:t>（仅供参考）</w:t>
      </w:r>
      <w:bookmarkEnd w:id="36"/>
      <w:bookmarkEnd w:id="37"/>
      <w:bookmarkEnd w:id="38"/>
      <w:bookmarkEnd w:id="39"/>
      <w:bookmarkEnd w:id="40"/>
    </w:p>
    <w:p>
      <w:pPr>
        <w:tabs>
          <w:tab w:val="left" w:pos="720"/>
        </w:tabs>
        <w:spacing w:line="360" w:lineRule="auto"/>
        <w:jc w:val="center"/>
        <w:rPr>
          <w:rFonts w:ascii="宋体" w:hAnsi="宋体" w:cs="宋体"/>
          <w:b/>
          <w:sz w:val="24"/>
          <w:szCs w:val="21"/>
        </w:rPr>
      </w:pPr>
      <w:bookmarkStart w:id="41" w:name="_Toc4489_WPSOffice_Level1"/>
      <w:r>
        <w:rPr>
          <w:rFonts w:hint="eastAsia" w:ascii="宋体" w:hAnsi="宋体" w:cs="宋体"/>
          <w:b/>
          <w:sz w:val="24"/>
          <w:szCs w:val="21"/>
        </w:rPr>
        <w:t>合同通用条款</w:t>
      </w:r>
      <w:bookmarkEnd w:id="41"/>
    </w:p>
    <w:p>
      <w:pPr>
        <w:spacing w:line="360" w:lineRule="auto"/>
        <w:rPr>
          <w:rFonts w:ascii="宋体" w:hAnsi="宋体"/>
          <w:b/>
          <w:szCs w:val="21"/>
        </w:rPr>
      </w:pPr>
      <w:bookmarkStart w:id="42" w:name="_Toc23844_WPSOffice_Level1"/>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bookmarkEnd w:id="42"/>
    </w:p>
    <w:p>
      <w:pPr>
        <w:spacing w:line="360" w:lineRule="auto"/>
        <w:rPr>
          <w:rFonts w:ascii="宋体" w:hAnsi="宋体"/>
          <w:szCs w:val="21"/>
        </w:rPr>
      </w:pPr>
      <w:r>
        <w:rPr>
          <w:rFonts w:hint="eastAsia" w:ascii="宋体" w:hAnsi="宋体"/>
          <w:szCs w:val="21"/>
        </w:rPr>
        <w:t>电    话：           　   传  真：           住  所：</w:t>
      </w:r>
    </w:p>
    <w:p>
      <w:pPr>
        <w:spacing w:line="360" w:lineRule="auto"/>
        <w:rPr>
          <w:rFonts w:ascii="宋体" w:hAnsi="宋体"/>
          <w:b/>
          <w:szCs w:val="21"/>
        </w:rPr>
      </w:pPr>
    </w:p>
    <w:p>
      <w:pPr>
        <w:spacing w:line="360" w:lineRule="auto"/>
        <w:rPr>
          <w:rFonts w:ascii="宋体" w:hAnsi="宋体"/>
          <w:szCs w:val="21"/>
        </w:rPr>
      </w:pPr>
      <w:bookmarkStart w:id="43" w:name="_Toc24303_WPSOffice_Level1"/>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电    话：                传  真：           住  所：</w:t>
      </w:r>
      <w:bookmarkEnd w:id="43"/>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项目名称：                                   </w:t>
      </w:r>
      <w:r>
        <w:rPr>
          <w:rFonts w:hint="eastAsia" w:ascii="宋体" w:hAnsi="宋体" w:cs="宋体"/>
          <w:szCs w:val="21"/>
        </w:rPr>
        <w:t>项目</w:t>
      </w:r>
      <w:r>
        <w:rPr>
          <w:rFonts w:hint="eastAsia" w:ascii="宋体" w:hAnsi="宋体"/>
          <w:szCs w:val="21"/>
        </w:rPr>
        <w:t xml:space="preserve">编号：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沙河街道中新街8栋和海棠阁内外墙维修翻新  </w:t>
      </w:r>
      <w:r>
        <w:rPr>
          <w:rFonts w:hint="eastAsia" w:ascii="宋体" w:hAnsi="宋体" w:cs="宋体"/>
          <w:szCs w:val="21"/>
        </w:rPr>
        <w:t>（项目编号：</w:t>
      </w:r>
      <w:r>
        <w:rPr>
          <w:rFonts w:hint="eastAsia" w:ascii="宋体" w:hAnsi="宋体"/>
        </w:rPr>
        <w:t>NSSHJDMSWSS2021017</w:t>
      </w:r>
      <w:r>
        <w:rPr>
          <w:rFonts w:hint="eastAsia" w:ascii="宋体" w:hAnsi="宋体" w:cs="宋体"/>
          <w:szCs w:val="21"/>
        </w:rPr>
        <w:t>）</w:t>
      </w:r>
      <w:r>
        <w:rPr>
          <w:rFonts w:hint="eastAsia" w:ascii="宋体" w:hAnsi="宋体"/>
          <w:szCs w:val="21"/>
        </w:rPr>
        <w:t>的采购结果，按照</w:t>
      </w:r>
      <w:r>
        <w:rPr>
          <w:rFonts w:hint="eastAsia" w:asciiTheme="minorEastAsia" w:hAnsiTheme="minorEastAsia" w:eastAsiaTheme="minorEastAsia"/>
          <w:szCs w:val="21"/>
        </w:rPr>
        <w:t>《中华人民共和国民法典》和《深圳经济特区政府采购条例》</w:t>
      </w:r>
      <w:r>
        <w:rPr>
          <w:rFonts w:hint="eastAsia" w:ascii="宋体" w:hAnsi="宋体"/>
          <w:szCs w:val="21"/>
        </w:rPr>
        <w:t>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44" w:name="_Toc28004"/>
      <w:r>
        <w:rPr>
          <w:rFonts w:hint="eastAsia" w:ascii="宋体" w:hAnsi="宋体"/>
          <w:b/>
          <w:szCs w:val="21"/>
        </w:rPr>
        <w:t>采购标的、数量</w:t>
      </w:r>
      <w:bookmarkEnd w:id="44"/>
    </w:p>
    <w:tbl>
      <w:tblPr>
        <w:tblStyle w:val="37"/>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b/>
                <w:kern w:val="0"/>
                <w:sz w:val="20"/>
                <w:szCs w:val="21"/>
              </w:rPr>
            </w:pPr>
            <w:bookmarkStart w:id="45" w:name="_Toc30376"/>
            <w:r>
              <w:rPr>
                <w:rFonts w:hint="eastAsia" w:ascii="宋体" w:hAnsi="宋体"/>
                <w:b/>
                <w:kern w:val="0"/>
                <w:sz w:val="20"/>
                <w:szCs w:val="21"/>
              </w:rPr>
              <w:t>序号</w:t>
            </w:r>
            <w:bookmarkEnd w:id="45"/>
          </w:p>
        </w:tc>
        <w:tc>
          <w:tcPr>
            <w:tcW w:w="5022" w:type="dxa"/>
          </w:tcPr>
          <w:p>
            <w:pPr>
              <w:tabs>
                <w:tab w:val="left" w:pos="426"/>
              </w:tabs>
              <w:autoSpaceDE w:val="0"/>
              <w:autoSpaceDN w:val="0"/>
              <w:adjustRightInd w:val="0"/>
              <w:spacing w:line="360" w:lineRule="auto"/>
              <w:jc w:val="center"/>
              <w:outlineLvl w:val="2"/>
              <w:rPr>
                <w:rFonts w:ascii="宋体" w:hAnsi="宋体"/>
                <w:kern w:val="0"/>
                <w:sz w:val="20"/>
                <w:szCs w:val="21"/>
              </w:rPr>
            </w:pPr>
            <w:bookmarkStart w:id="46" w:name="_Toc10646"/>
            <w:r>
              <w:rPr>
                <w:rFonts w:hint="eastAsia" w:ascii="宋体" w:hAnsi="宋体"/>
                <w:b/>
                <w:kern w:val="0"/>
                <w:sz w:val="20"/>
                <w:szCs w:val="21"/>
              </w:rPr>
              <w:t>采购标的</w:t>
            </w:r>
            <w:bookmarkEnd w:id="46"/>
          </w:p>
        </w:tc>
        <w:tc>
          <w:tcPr>
            <w:tcW w:w="3132" w:type="dxa"/>
          </w:tcPr>
          <w:p>
            <w:pPr>
              <w:tabs>
                <w:tab w:val="left" w:pos="426"/>
              </w:tabs>
              <w:autoSpaceDE w:val="0"/>
              <w:autoSpaceDN w:val="0"/>
              <w:adjustRightInd w:val="0"/>
              <w:spacing w:line="360" w:lineRule="auto"/>
              <w:jc w:val="center"/>
              <w:outlineLvl w:val="2"/>
              <w:rPr>
                <w:rFonts w:ascii="宋体" w:hAnsi="宋体"/>
                <w:b/>
                <w:kern w:val="0"/>
                <w:sz w:val="20"/>
                <w:szCs w:val="21"/>
              </w:rPr>
            </w:pPr>
            <w:bookmarkStart w:id="47" w:name="_Toc25294"/>
            <w:r>
              <w:rPr>
                <w:rFonts w:hint="eastAsia" w:ascii="宋体" w:hAnsi="宋体"/>
                <w:b/>
                <w:kern w:val="0"/>
                <w:sz w:val="20"/>
                <w:szCs w:val="21"/>
              </w:rPr>
              <w:t>数量</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kern w:val="0"/>
                <w:sz w:val="20"/>
                <w:szCs w:val="21"/>
              </w:rPr>
            </w:pPr>
            <w:bookmarkStart w:id="48" w:name="_Toc18061"/>
            <w:r>
              <w:rPr>
                <w:rFonts w:hint="eastAsia" w:ascii="宋体" w:hAnsi="宋体"/>
                <w:kern w:val="0"/>
                <w:sz w:val="20"/>
                <w:szCs w:val="21"/>
              </w:rPr>
              <w:t>1</w:t>
            </w:r>
            <w:bookmarkEnd w:id="48"/>
          </w:p>
        </w:tc>
        <w:tc>
          <w:tcPr>
            <w:tcW w:w="5022" w:type="dxa"/>
          </w:tcPr>
          <w:p>
            <w:pPr>
              <w:tabs>
                <w:tab w:val="left" w:pos="426"/>
              </w:tabs>
              <w:autoSpaceDE w:val="0"/>
              <w:autoSpaceDN w:val="0"/>
              <w:adjustRightInd w:val="0"/>
              <w:spacing w:line="360" w:lineRule="auto"/>
              <w:jc w:val="left"/>
              <w:outlineLvl w:val="2"/>
              <w:rPr>
                <w:rFonts w:ascii="宋体" w:hAnsi="宋体"/>
                <w:kern w:val="0"/>
                <w:sz w:val="20"/>
                <w:szCs w:val="21"/>
              </w:rPr>
            </w:pPr>
          </w:p>
        </w:tc>
        <w:tc>
          <w:tcPr>
            <w:tcW w:w="3132" w:type="dxa"/>
          </w:tcPr>
          <w:p>
            <w:pPr>
              <w:tabs>
                <w:tab w:val="left" w:pos="426"/>
              </w:tabs>
              <w:autoSpaceDE w:val="0"/>
              <w:autoSpaceDN w:val="0"/>
              <w:adjustRightInd w:val="0"/>
              <w:spacing w:line="360" w:lineRule="auto"/>
              <w:jc w:val="left"/>
              <w:outlineLvl w:val="2"/>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outlineLvl w:val="2"/>
              <w:rPr>
                <w:rFonts w:ascii="宋体" w:hAnsi="宋体"/>
                <w:kern w:val="0"/>
                <w:sz w:val="20"/>
                <w:szCs w:val="21"/>
              </w:rPr>
            </w:pPr>
            <w:bookmarkStart w:id="49" w:name="_Toc7369"/>
            <w:r>
              <w:rPr>
                <w:rFonts w:hint="eastAsia" w:ascii="宋体" w:hAnsi="宋体"/>
                <w:kern w:val="0"/>
                <w:sz w:val="20"/>
                <w:szCs w:val="21"/>
              </w:rPr>
              <w:t>2</w:t>
            </w:r>
            <w:bookmarkEnd w:id="49"/>
          </w:p>
        </w:tc>
        <w:tc>
          <w:tcPr>
            <w:tcW w:w="5022" w:type="dxa"/>
          </w:tcPr>
          <w:p>
            <w:pPr>
              <w:pStyle w:val="82"/>
              <w:widowControl/>
              <w:spacing w:line="360" w:lineRule="auto"/>
              <w:ind w:left="425" w:firstLine="0" w:firstLineChars="0"/>
              <w:jc w:val="left"/>
              <w:rPr>
                <w:rFonts w:ascii="宋体" w:hAnsi="宋体"/>
                <w:kern w:val="0"/>
                <w:sz w:val="20"/>
                <w:szCs w:val="21"/>
              </w:rPr>
            </w:pPr>
          </w:p>
        </w:tc>
        <w:tc>
          <w:tcPr>
            <w:tcW w:w="3132" w:type="dxa"/>
          </w:tcPr>
          <w:p>
            <w:pPr>
              <w:tabs>
                <w:tab w:val="left" w:pos="426"/>
              </w:tabs>
              <w:autoSpaceDE w:val="0"/>
              <w:autoSpaceDN w:val="0"/>
              <w:adjustRightInd w:val="0"/>
              <w:spacing w:line="360" w:lineRule="auto"/>
              <w:jc w:val="left"/>
              <w:outlineLvl w:val="2"/>
              <w:rPr>
                <w:rFonts w:ascii="宋体" w:hAnsi="宋体"/>
                <w:kern w:val="0"/>
                <w:sz w:val="20"/>
                <w:szCs w:val="21"/>
              </w:rPr>
            </w:pPr>
          </w:p>
        </w:tc>
      </w:tr>
    </w:tbl>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50" w:name="_Toc435540759"/>
      <w:bookmarkStart w:id="51" w:name="_Toc18079"/>
      <w:r>
        <w:rPr>
          <w:rFonts w:hint="eastAsia" w:ascii="宋体" w:hAnsi="宋体"/>
          <w:b/>
          <w:szCs w:val="21"/>
        </w:rPr>
        <w:t>合同金额</w:t>
      </w:r>
      <w:bookmarkEnd w:id="50"/>
      <w:bookmarkEnd w:id="51"/>
    </w:p>
    <w:p>
      <w:pPr>
        <w:pStyle w:val="20"/>
        <w:spacing w:line="360" w:lineRule="auto"/>
        <w:ind w:firstLine="420" w:firstLineChars="200"/>
        <w:rPr>
          <w:rFonts w:hAnsi="宋体"/>
        </w:rPr>
      </w:pPr>
      <w:r>
        <w:rPr>
          <w:rFonts w:hint="eastAsia" w:hAnsi="宋体"/>
        </w:rPr>
        <w:t>合同金额为（大写）：_________________元（￥_______________元）。</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52" w:name="_Toc28847"/>
      <w:bookmarkStart w:id="53" w:name="_Toc435540760"/>
      <w:r>
        <w:rPr>
          <w:rFonts w:hint="eastAsia" w:ascii="宋体" w:hAnsi="宋体"/>
          <w:b/>
          <w:szCs w:val="21"/>
        </w:rPr>
        <w:t>服务范围</w:t>
      </w:r>
      <w:bookmarkEnd w:id="52"/>
      <w:bookmarkEnd w:id="53"/>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p>
    <w:p>
      <w:pPr>
        <w:spacing w:line="360" w:lineRule="auto"/>
        <w:rPr>
          <w:rFonts w:ascii="宋体" w:hAnsi="宋体"/>
          <w:szCs w:val="21"/>
        </w:rPr>
      </w:pPr>
      <w:r>
        <w:rPr>
          <w:rFonts w:hint="eastAsia" w:ascii="宋体" w:hAnsi="宋体"/>
          <w:szCs w:val="21"/>
        </w:rPr>
        <w:t>　　2．……</w:t>
      </w:r>
    </w:p>
    <w:p>
      <w:pPr>
        <w:spacing w:line="360" w:lineRule="auto"/>
        <w:ind w:firstLine="420" w:firstLineChars="200"/>
        <w:rPr>
          <w:rFonts w:ascii="宋体" w:hAnsi="宋体"/>
          <w:szCs w:val="21"/>
        </w:rPr>
      </w:pPr>
      <w:r>
        <w:rPr>
          <w:rFonts w:hint="eastAsia" w:ascii="宋体" w:hAnsi="宋体"/>
          <w:szCs w:val="21"/>
        </w:rPr>
        <w:t>3．……</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54" w:name="_Toc13367"/>
      <w:r>
        <w:rPr>
          <w:rFonts w:hint="eastAsia" w:ascii="宋体" w:hAnsi="宋体"/>
          <w:b/>
          <w:szCs w:val="21"/>
        </w:rPr>
        <w:t>质量要求：</w:t>
      </w:r>
      <w:bookmarkEnd w:id="54"/>
    </w:p>
    <w:p>
      <w:pPr>
        <w:spacing w:line="360" w:lineRule="auto"/>
        <w:ind w:firstLine="420" w:firstLineChars="200"/>
        <w:rPr>
          <w:rFonts w:ascii="宋体" w:hAnsi="宋体"/>
          <w:szCs w:val="21"/>
        </w:rPr>
      </w:pP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55" w:name="_Toc15148"/>
      <w:bookmarkStart w:id="56" w:name="_Toc435540761"/>
      <w:r>
        <w:rPr>
          <w:rFonts w:hint="eastAsia" w:ascii="宋体" w:hAnsi="宋体"/>
          <w:b/>
          <w:szCs w:val="21"/>
        </w:rPr>
        <w:t>甲方乙方的权利和义务</w:t>
      </w:r>
      <w:bookmarkEnd w:id="55"/>
      <w:bookmarkEnd w:id="56"/>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57" w:name="_Toc11665"/>
      <w:r>
        <w:rPr>
          <w:rFonts w:hint="eastAsia" w:ascii="宋体" w:hAnsi="宋体"/>
          <w:b/>
          <w:szCs w:val="21"/>
        </w:rPr>
        <w:t>履行期限及地点和方式：</w:t>
      </w:r>
      <w:bookmarkEnd w:id="57"/>
    </w:p>
    <w:p>
      <w:pPr>
        <w:spacing w:line="360" w:lineRule="auto"/>
        <w:ind w:firstLine="435"/>
        <w:rPr>
          <w:rFonts w:ascii="宋体" w:hAnsi="宋体"/>
          <w:szCs w:val="21"/>
        </w:rPr>
      </w:pPr>
      <w:r>
        <w:rPr>
          <w:rFonts w:hint="eastAsia" w:ascii="宋体" w:hAnsi="宋体"/>
          <w:szCs w:val="21"/>
        </w:rPr>
        <w:t>履行期限：委托服务期间自______年______月至______年______月止。</w:t>
      </w:r>
    </w:p>
    <w:p>
      <w:pPr>
        <w:spacing w:line="360" w:lineRule="auto"/>
        <w:ind w:firstLine="435"/>
        <w:rPr>
          <w:rFonts w:ascii="宋体" w:hAnsi="宋体"/>
          <w:szCs w:val="21"/>
        </w:rPr>
      </w:pPr>
      <w:r>
        <w:rPr>
          <w:rFonts w:hint="eastAsia" w:ascii="宋体" w:hAnsi="宋体"/>
          <w:szCs w:val="21"/>
        </w:rPr>
        <w:t>履约地点：</w:t>
      </w:r>
    </w:p>
    <w:p>
      <w:pPr>
        <w:spacing w:line="360" w:lineRule="auto"/>
        <w:ind w:firstLine="435"/>
        <w:rPr>
          <w:rFonts w:ascii="宋体" w:hAnsi="宋体"/>
          <w:szCs w:val="21"/>
        </w:rPr>
      </w:pPr>
      <w:r>
        <w:rPr>
          <w:rFonts w:hint="eastAsia" w:ascii="宋体" w:hAnsi="宋体"/>
          <w:szCs w:val="21"/>
        </w:rPr>
        <w:t>方式：</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58" w:name="_Toc3267"/>
      <w:bookmarkStart w:id="59" w:name="_Toc435540763"/>
      <w:r>
        <w:rPr>
          <w:rFonts w:hint="eastAsia" w:ascii="宋体" w:hAnsi="宋体"/>
          <w:b/>
          <w:szCs w:val="21"/>
        </w:rPr>
        <w:t>付款方式</w:t>
      </w:r>
      <w:bookmarkEnd w:id="58"/>
      <w:bookmarkEnd w:id="59"/>
    </w:p>
    <w:p>
      <w:pPr>
        <w:tabs>
          <w:tab w:val="left" w:pos="426"/>
        </w:tabs>
        <w:spacing w:line="360" w:lineRule="auto"/>
        <w:ind w:left="480"/>
        <w:outlineLvl w:val="2"/>
        <w:rPr>
          <w:rFonts w:ascii="宋体" w:hAnsi="宋体" w:cs="宋体"/>
          <w:b/>
          <w:szCs w:val="21"/>
        </w:rPr>
      </w:pPr>
      <w:bookmarkStart w:id="60" w:name="_Toc435540764"/>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61" w:name="_Toc10107"/>
      <w:r>
        <w:rPr>
          <w:rFonts w:hint="eastAsia" w:ascii="宋体" w:hAnsi="宋体"/>
          <w:b/>
          <w:szCs w:val="21"/>
        </w:rPr>
        <w:t>验收要求：</w:t>
      </w:r>
      <w:bookmarkEnd w:id="61"/>
    </w:p>
    <w:p>
      <w:pPr>
        <w:widowControl/>
        <w:shd w:val="clear" w:color="auto" w:fill="FFFFFF"/>
        <w:spacing w:line="360" w:lineRule="auto"/>
        <w:ind w:firstLine="480"/>
        <w:jc w:val="left"/>
        <w:rPr>
          <w:rFonts w:ascii="Arial" w:hAnsi="Arial" w:cs="Arial"/>
          <w:kern w:val="0"/>
          <w:szCs w:val="21"/>
        </w:rPr>
      </w:pPr>
      <w:r>
        <w:rPr>
          <w:rFonts w:ascii="Arial" w:hAnsi="Arial" w:cs="Arial"/>
          <w:kern w:val="0"/>
          <w:szCs w:val="21"/>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kern w:val="0"/>
          <w:szCs w:val="21"/>
        </w:rPr>
      </w:pPr>
      <w:r>
        <w:rPr>
          <w:rFonts w:ascii="Arial" w:hAnsi="Arial" w:cs="Arial"/>
          <w:kern w:val="0"/>
          <w:szCs w:val="21"/>
        </w:rPr>
        <w:t>本合同服务项目的保证期为______。在保证期内发现服务质量缺陷的，服务方应当负责返工或者采取补救措施。但因委托方使用、保管不当引起的问题除外。</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62" w:name="_Toc23573"/>
      <w:r>
        <w:rPr>
          <w:rFonts w:hint="eastAsia" w:ascii="宋体" w:hAnsi="宋体"/>
          <w:b/>
          <w:szCs w:val="21"/>
        </w:rPr>
        <w:t>知识产权归属</w:t>
      </w:r>
      <w:bookmarkEnd w:id="60"/>
      <w:bookmarkEnd w:id="62"/>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63" w:name="_Toc435540765"/>
      <w:bookmarkStart w:id="64" w:name="_Toc26358"/>
      <w:r>
        <w:rPr>
          <w:rFonts w:hint="eastAsia" w:ascii="宋体" w:hAnsi="宋体"/>
          <w:b/>
          <w:szCs w:val="21"/>
        </w:rPr>
        <w:t>保密</w:t>
      </w:r>
      <w:bookmarkEnd w:id="63"/>
      <w:bookmarkEnd w:id="64"/>
    </w:p>
    <w:p>
      <w:pPr>
        <w:spacing w:line="360" w:lineRule="auto"/>
        <w:ind w:firstLine="420" w:firstLineChars="200"/>
        <w:rPr>
          <w:rFonts w:ascii="宋体" w:hAnsi="宋体" w:cs="宋体"/>
          <w:szCs w:val="21"/>
        </w:rPr>
      </w:pPr>
      <w:r>
        <w:rPr>
          <w:rFonts w:hint="eastAsia" w:ascii="宋体" w:hAnsi="宋体" w:cs="宋体"/>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315" w:hanging="315" w:hangingChars="150"/>
        <w:jc w:val="left"/>
        <w:outlineLvl w:val="2"/>
        <w:rPr>
          <w:rFonts w:ascii="宋体" w:hAnsi="宋体"/>
          <w:szCs w:val="21"/>
        </w:rPr>
      </w:pPr>
      <w:bookmarkStart w:id="65" w:name="_Toc26491"/>
      <w:bookmarkStart w:id="66" w:name="_Toc435540766"/>
      <w:r>
        <w:rPr>
          <w:rFonts w:hint="eastAsia" w:ascii="宋体" w:hAnsi="宋体"/>
          <w:szCs w:val="21"/>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65"/>
    </w:p>
    <w:p>
      <w:pPr>
        <w:tabs>
          <w:tab w:val="left" w:pos="420"/>
        </w:tabs>
        <w:autoSpaceDE w:val="0"/>
        <w:autoSpaceDN w:val="0"/>
        <w:adjustRightInd w:val="0"/>
        <w:spacing w:line="360" w:lineRule="auto"/>
        <w:ind w:left="315" w:hanging="315" w:hangingChars="150"/>
        <w:jc w:val="left"/>
        <w:outlineLvl w:val="2"/>
        <w:rPr>
          <w:rFonts w:ascii="宋体" w:hAnsi="宋体"/>
          <w:b/>
          <w:szCs w:val="21"/>
        </w:rPr>
      </w:pPr>
      <w:bookmarkStart w:id="67" w:name="_Toc28896"/>
      <w:r>
        <w:rPr>
          <w:rFonts w:hint="eastAsia" w:ascii="宋体" w:hAnsi="宋体"/>
          <w:szCs w:val="21"/>
        </w:rPr>
        <w:t>2）除了合同本身之外，上款所列举的任何物件均是甲方的财产。如果甲方有要求，乙方在完成合同后应将这些物件及全部复制件还给甲方。</w:t>
      </w:r>
      <w:bookmarkEnd w:id="66"/>
      <w:bookmarkEnd w:id="67"/>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68" w:name="_Toc10369"/>
      <w:bookmarkStart w:id="69" w:name="_Toc435540767"/>
      <w:r>
        <w:rPr>
          <w:rFonts w:hint="eastAsia" w:ascii="宋体" w:hAnsi="宋体"/>
          <w:b/>
          <w:szCs w:val="21"/>
        </w:rPr>
        <w:t>违约责任与赔偿损失</w:t>
      </w:r>
      <w:bookmarkEnd w:id="68"/>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1）乙方提供的服务不符合采购文件、投标文件或本合同规定的，甲方有权拒收，并且乙方须向甲方支付本合同总价5%的违约金。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w:t>
      </w:r>
      <w:r>
        <w:rPr>
          <w:rFonts w:hint="eastAsia" w:asciiTheme="minorEastAsia" w:hAnsiTheme="minorEastAsia" w:eastAsiaTheme="minorEastAsia"/>
          <w:szCs w:val="21"/>
        </w:rPr>
        <w:t>民法典</w:t>
      </w:r>
      <w:r>
        <w:rPr>
          <w:rFonts w:hint="eastAsia" w:ascii="宋体" w:hAnsi="宋体"/>
          <w:bCs/>
          <w:szCs w:val="21"/>
        </w:rPr>
        <w:t>》处理。</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70" w:name="_Toc26655"/>
      <w:r>
        <w:rPr>
          <w:rFonts w:hint="eastAsia" w:ascii="宋体" w:hAnsi="宋体"/>
          <w:b/>
          <w:szCs w:val="21"/>
        </w:rPr>
        <w:t>争端的解决</w:t>
      </w:r>
      <w:bookmarkEnd w:id="69"/>
      <w:bookmarkEnd w:id="70"/>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71" w:name="_Toc435540768"/>
      <w:bookmarkStart w:id="72" w:name="_Toc4084"/>
      <w:r>
        <w:rPr>
          <w:rFonts w:hint="eastAsia" w:ascii="宋体" w:hAnsi="宋体"/>
          <w:b/>
          <w:szCs w:val="21"/>
        </w:rPr>
        <w:t>不可抗力</w:t>
      </w:r>
      <w:bookmarkEnd w:id="71"/>
      <w:bookmarkEnd w:id="72"/>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73" w:name="_Toc21978"/>
      <w:bookmarkStart w:id="74" w:name="_Toc435540769"/>
      <w:r>
        <w:rPr>
          <w:rFonts w:hint="eastAsia" w:ascii="宋体" w:hAnsi="宋体"/>
          <w:b/>
          <w:szCs w:val="21"/>
        </w:rPr>
        <w:t>税费</w:t>
      </w:r>
      <w:bookmarkEnd w:id="73"/>
      <w:bookmarkEnd w:id="74"/>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75" w:name="_Toc435540770"/>
      <w:bookmarkStart w:id="76" w:name="_Toc14244"/>
      <w:r>
        <w:rPr>
          <w:rFonts w:hint="eastAsia" w:ascii="宋体" w:hAnsi="宋体"/>
          <w:b/>
          <w:szCs w:val="21"/>
        </w:rPr>
        <w:t>其它</w:t>
      </w:r>
      <w:bookmarkEnd w:id="75"/>
      <w:bookmarkEnd w:id="76"/>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9"/>
        </w:numPr>
        <w:autoSpaceDE w:val="0"/>
        <w:autoSpaceDN w:val="0"/>
        <w:adjustRightInd w:val="0"/>
        <w:spacing w:line="360" w:lineRule="auto"/>
        <w:ind w:left="443" w:hanging="443" w:hangingChars="210"/>
        <w:jc w:val="left"/>
        <w:outlineLvl w:val="2"/>
        <w:rPr>
          <w:rFonts w:ascii="宋体" w:hAnsi="宋体"/>
          <w:b/>
          <w:szCs w:val="21"/>
        </w:rPr>
      </w:pPr>
      <w:bookmarkStart w:id="77" w:name="_Toc435540771"/>
      <w:bookmarkStart w:id="78" w:name="_Toc29893"/>
      <w:r>
        <w:rPr>
          <w:rFonts w:hint="eastAsia" w:ascii="宋体" w:hAnsi="宋体"/>
          <w:b/>
          <w:szCs w:val="21"/>
        </w:rPr>
        <w:t>合同生效</w:t>
      </w:r>
      <w:bookmarkEnd w:id="77"/>
      <w:bookmarkEnd w:id="78"/>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合同壹式陆份，其中甲方执肆份，乙方执贰份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widowControl/>
        <w:jc w:val="left"/>
        <w:rPr>
          <w:rFonts w:ascii="宋体" w:hAnsi="宋体"/>
          <w:b/>
        </w:rPr>
      </w:pPr>
      <w:r>
        <w:rPr>
          <w:b/>
          <w:bCs/>
          <w:sz w:val="28"/>
          <w:szCs w:val="28"/>
        </w:rPr>
        <w:br w:type="page"/>
      </w:r>
    </w:p>
    <w:p>
      <w:pPr>
        <w:pStyle w:val="2"/>
        <w:jc w:val="center"/>
        <w:rPr>
          <w:rFonts w:asciiTheme="majorEastAsia" w:hAnsiTheme="majorEastAsia" w:eastAsiaTheme="majorEastAsia" w:cstheme="majorEastAsia"/>
          <w:sz w:val="32"/>
          <w:szCs w:val="32"/>
        </w:rPr>
      </w:pPr>
      <w:bookmarkStart w:id="79" w:name="_Toc8307306"/>
      <w:bookmarkStart w:id="80" w:name="_Toc22206"/>
      <w:bookmarkStart w:id="81" w:name="_Toc435514851"/>
      <w:bookmarkStart w:id="82" w:name="_Toc77947879"/>
      <w:bookmarkStart w:id="83" w:name="_Toc435115056"/>
      <w:bookmarkStart w:id="84" w:name="_Toc9128_WPSOffice_Level1"/>
      <w:bookmarkStart w:id="85" w:name="_Toc24338"/>
      <w:r>
        <w:rPr>
          <w:rFonts w:hint="eastAsia" w:asciiTheme="majorEastAsia" w:hAnsiTheme="majorEastAsia" w:eastAsiaTheme="majorEastAsia" w:cstheme="majorEastAsia"/>
          <w:sz w:val="32"/>
          <w:szCs w:val="32"/>
        </w:rPr>
        <w:t>第六章 投标文件格式</w:t>
      </w:r>
      <w:bookmarkEnd w:id="79"/>
      <w:bookmarkEnd w:id="80"/>
      <w:bookmarkEnd w:id="81"/>
      <w:bookmarkEnd w:id="82"/>
      <w:bookmarkEnd w:id="83"/>
      <w:bookmarkEnd w:id="84"/>
      <w:bookmarkEnd w:id="85"/>
    </w:p>
    <w:p>
      <w:pPr>
        <w:pStyle w:val="3"/>
        <w:numPr>
          <w:ilvl w:val="0"/>
          <w:numId w:val="10"/>
        </w:numPr>
        <w:spacing w:line="240" w:lineRule="auto"/>
        <w:jc w:val="center"/>
        <w:rPr>
          <w:rFonts w:asciiTheme="majorEastAsia" w:hAnsiTheme="majorEastAsia" w:eastAsiaTheme="majorEastAsia"/>
          <w:sz w:val="30"/>
          <w:szCs w:val="30"/>
        </w:rPr>
      </w:pPr>
      <w:bookmarkStart w:id="86" w:name="_Toc8080"/>
      <w:bookmarkStart w:id="87" w:name="_Toc435515292"/>
      <w:bookmarkStart w:id="88" w:name="_Toc77947880"/>
      <w:bookmarkStart w:id="89" w:name="_Toc435514852"/>
      <w:r>
        <w:rPr>
          <w:rFonts w:hint="eastAsia" w:asciiTheme="majorEastAsia" w:hAnsiTheme="majorEastAsia" w:eastAsiaTheme="majorEastAsia"/>
          <w:sz w:val="30"/>
          <w:szCs w:val="30"/>
        </w:rPr>
        <w:t>投标文件包装封面参考</w:t>
      </w:r>
      <w:bookmarkEnd w:id="86"/>
      <w:bookmarkEnd w:id="87"/>
      <w:bookmarkEnd w:id="88"/>
      <w:bookmarkEnd w:id="89"/>
    </w:p>
    <w:tbl>
      <w:tblPr>
        <w:tblStyle w:val="3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ind w:firstLine="482" w:firstLineChars="150"/>
              <w:rPr>
                <w:rFonts w:ascii="仿宋_GB2312" w:eastAsia="仿宋_GB2312"/>
                <w:b/>
                <w:sz w:val="32"/>
              </w:rPr>
            </w:pPr>
          </w:p>
          <w:p>
            <w:pPr>
              <w:pStyle w:val="16"/>
              <w:spacing w:line="360" w:lineRule="auto"/>
              <w:jc w:val="center"/>
              <w:rPr>
                <w:rFonts w:ascii="黑体" w:eastAsia="黑体"/>
                <w:b/>
                <w:sz w:val="72"/>
                <w:szCs w:val="72"/>
              </w:rPr>
            </w:pPr>
            <w:r>
              <w:rPr>
                <w:rFonts w:hint="eastAsia" w:ascii="黑体" w:eastAsia="黑体"/>
                <w:b/>
                <w:sz w:val="72"/>
                <w:szCs w:val="72"/>
              </w:rPr>
              <w:t>投 标 文 件</w:t>
            </w:r>
          </w:p>
          <w:p>
            <w:pPr>
              <w:pStyle w:val="1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6"/>
              <w:spacing w:line="360" w:lineRule="auto"/>
              <w:rPr>
                <w:rFonts w:ascii="仿宋_GB2312" w:eastAsia="仿宋_GB2312"/>
                <w:b/>
                <w:sz w:val="32"/>
              </w:rPr>
            </w:pPr>
          </w:p>
          <w:p>
            <w:pPr>
              <w:pStyle w:val="16"/>
              <w:spacing w:line="360" w:lineRule="auto"/>
              <w:rPr>
                <w:rFonts w:ascii="仿宋_GB2312" w:eastAsia="仿宋_GB2312"/>
                <w:b/>
                <w:sz w:val="32"/>
              </w:rPr>
            </w:pPr>
          </w:p>
          <w:p>
            <w:pPr>
              <w:pStyle w:val="16"/>
              <w:spacing w:line="360" w:lineRule="auto"/>
              <w:rPr>
                <w:rFonts w:ascii="仿宋_GB2312" w:eastAsia="仿宋_GB2312"/>
                <w:b/>
                <w:sz w:val="32"/>
              </w:rPr>
            </w:pPr>
          </w:p>
          <w:p>
            <w:pPr>
              <w:pStyle w:val="16"/>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项目编号：NSSHJDMSWSS2021017</w:t>
            </w:r>
          </w:p>
          <w:p>
            <w:pPr>
              <w:pStyle w:val="16"/>
              <w:spacing w:line="400" w:lineRule="exact"/>
              <w:ind w:firstLine="900" w:firstLineChars="320"/>
              <w:rPr>
                <w:rFonts w:ascii="仿宋_GB2312" w:eastAsia="仿宋_GB2312"/>
                <w:b/>
                <w:sz w:val="28"/>
                <w:szCs w:val="28"/>
              </w:rPr>
            </w:pPr>
            <w:r>
              <w:rPr>
                <w:rFonts w:hint="eastAsia" w:ascii="仿宋_GB2312" w:eastAsia="仿宋_GB2312"/>
                <w:b/>
                <w:sz w:val="28"/>
                <w:szCs w:val="28"/>
              </w:rPr>
              <w:t>项目名称：沙河街道中新街8栋和海棠阁内外墙维修翻新</w:t>
            </w:r>
          </w:p>
          <w:p>
            <w:pPr>
              <w:pStyle w:val="16"/>
              <w:spacing w:line="400" w:lineRule="exact"/>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16"/>
              <w:spacing w:line="400" w:lineRule="exact"/>
              <w:ind w:firstLine="900" w:firstLineChars="320"/>
              <w:rPr>
                <w:rFonts w:ascii="仿宋_GB2312" w:eastAsia="仿宋_GB2312"/>
                <w:b/>
                <w:sz w:val="28"/>
                <w:szCs w:val="28"/>
              </w:rPr>
            </w:pPr>
            <w:r>
              <w:rPr>
                <w:rFonts w:hint="eastAsia" w:ascii="仿宋_GB2312" w:eastAsia="仿宋_GB2312"/>
                <w:b/>
                <w:sz w:val="28"/>
                <w:szCs w:val="28"/>
              </w:rPr>
              <w:t>投标人地址：</w:t>
            </w:r>
          </w:p>
          <w:p>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bookmarkStart w:id="90" w:name="_Toc435515305"/>
      <w:bookmarkStart w:id="91" w:name="_Toc435514865"/>
      <w:r>
        <w:rPr>
          <w:rFonts w:hint="eastAsia"/>
        </w:rPr>
        <w:br w:type="page"/>
      </w:r>
    </w:p>
    <w:p>
      <w:pPr>
        <w:pStyle w:val="3"/>
        <w:numPr>
          <w:ilvl w:val="0"/>
          <w:numId w:val="10"/>
        </w:numPr>
        <w:spacing w:line="240" w:lineRule="auto"/>
        <w:jc w:val="center"/>
        <w:rPr>
          <w:rFonts w:asciiTheme="majorEastAsia" w:hAnsiTheme="majorEastAsia" w:eastAsiaTheme="majorEastAsia"/>
          <w:sz w:val="30"/>
          <w:szCs w:val="30"/>
        </w:rPr>
      </w:pPr>
      <w:bookmarkStart w:id="92" w:name="_Toc77947881"/>
      <w:bookmarkStart w:id="93" w:name="_Toc29334"/>
      <w:r>
        <w:rPr>
          <w:rFonts w:hint="eastAsia" w:asciiTheme="majorEastAsia" w:hAnsiTheme="majorEastAsia" w:eastAsiaTheme="majorEastAsia"/>
          <w:sz w:val="30"/>
          <w:szCs w:val="30"/>
        </w:rPr>
        <w:t>营业执照等资质文件</w:t>
      </w:r>
      <w:bookmarkEnd w:id="92"/>
    </w:p>
    <w:p>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bookmarkEnd w:id="90"/>
    <w:bookmarkEnd w:id="91"/>
    <w:bookmarkEnd w:id="93"/>
    <w:p>
      <w:pPr>
        <w:spacing w:line="400" w:lineRule="exact"/>
        <w:rPr>
          <w:rFonts w:ascii="宋体" w:hAnsi="宋体"/>
          <w:b/>
          <w:bCs/>
          <w:szCs w:val="21"/>
        </w:rPr>
        <w:sectPr>
          <w:headerReference r:id="rId8" w:type="default"/>
          <w:footerReference r:id="rId9" w:type="default"/>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b w:val="0"/>
        </w:rPr>
      </w:pPr>
      <w:bookmarkStart w:id="94" w:name="_Toc435514854"/>
      <w:bookmarkStart w:id="95" w:name="_Toc20322_WPSOffice_Level1"/>
      <w:bookmarkStart w:id="96" w:name="_Toc77947882"/>
      <w:bookmarkStart w:id="97" w:name="_Toc1762"/>
      <w:bookmarkStart w:id="98" w:name="_Toc435515294"/>
      <w:bookmarkStart w:id="99" w:name="_Toc275865605"/>
      <w:r>
        <w:rPr>
          <w:rFonts w:hint="eastAsia" w:asciiTheme="majorEastAsia" w:hAnsiTheme="majorEastAsia" w:eastAsiaTheme="majorEastAsia"/>
          <w:sz w:val="30"/>
          <w:szCs w:val="30"/>
        </w:rPr>
        <w:t>投标函</w:t>
      </w:r>
      <w:bookmarkEnd w:id="94"/>
      <w:bookmarkEnd w:id="95"/>
      <w:bookmarkEnd w:id="96"/>
      <w:bookmarkEnd w:id="97"/>
      <w:bookmarkEnd w:id="98"/>
      <w:bookmarkEnd w:id="99"/>
    </w:p>
    <w:p>
      <w:pPr>
        <w:spacing w:line="360" w:lineRule="auto"/>
        <w:ind w:left="105" w:leftChars="50" w:firstLine="2"/>
        <w:rPr>
          <w:rFonts w:ascii="宋体" w:hAnsi="宋体"/>
          <w:b/>
        </w:rPr>
      </w:pPr>
      <w:r>
        <w:rPr>
          <w:rFonts w:hint="eastAsia" w:ascii="宋体" w:hAnsi="宋体"/>
          <w:b/>
        </w:rPr>
        <w:t>致：深圳市南山区沙河街道办事处</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沙河街道中新街8栋和海棠阁内外墙维修翻新        </w:t>
      </w:r>
      <w:r>
        <w:rPr>
          <w:rFonts w:hint="eastAsia" w:ascii="宋体" w:hAnsi="宋体"/>
          <w:kern w:val="28"/>
        </w:rPr>
        <w:t>采购</w:t>
      </w:r>
      <w:r>
        <w:rPr>
          <w:rFonts w:hint="eastAsia" w:ascii="宋体" w:hAnsi="宋体"/>
        </w:rPr>
        <w:t>货物及相关服务的招标文件（项目编号：NSSHJDMSWSS2021017），</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11"/>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11"/>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11"/>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pPr>
        <w:numPr>
          <w:ilvl w:val="0"/>
          <w:numId w:val="11"/>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与评标委员会要求的有关投标的一切数据或资料。</w:t>
      </w:r>
    </w:p>
    <w:p>
      <w:pPr>
        <w:numPr>
          <w:ilvl w:val="0"/>
          <w:numId w:val="11"/>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11"/>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11"/>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11"/>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我单位是依法注册的法人，在法律、财务及运作上完全独立于本项目采购人、用户单位（如有）和采购人。</w:t>
      </w:r>
    </w:p>
    <w:p>
      <w:pPr>
        <w:numPr>
          <w:ilvl w:val="0"/>
          <w:numId w:val="11"/>
        </w:numPr>
        <w:tabs>
          <w:tab w:val="clear" w:pos="780"/>
        </w:tabs>
        <w:snapToGrid w:val="0"/>
        <w:spacing w:line="360" w:lineRule="auto"/>
        <w:ind w:left="426"/>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pPr>
        <w:autoSpaceDE w:val="0"/>
        <w:autoSpaceDN w:val="0"/>
        <w:adjustRightInd w:val="0"/>
        <w:spacing w:line="360" w:lineRule="auto"/>
        <w:rPr>
          <w:rFonts w:ascii="宋体" w:hAnsi="宋体"/>
          <w:b/>
          <w:sz w:val="24"/>
        </w:rPr>
      </w:pPr>
      <w:r>
        <w:rPr>
          <w:rFonts w:hint="eastAsia" w:ascii="宋体" w:hAnsi="宋体"/>
          <w:b/>
          <w:sz w:val="24"/>
        </w:rPr>
        <w:t>备注：1、投标函中承诺的投标有效期应当不少于招标文件中载明的投标有效期，否则视为无效投标。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 xml:space="preserve">2、除投标有效期承诺的时间外，本投标函内容不得擅自删改，否则视为无效投标。 </w:t>
      </w:r>
    </w:p>
    <w:p>
      <w:pPr>
        <w:autoSpaceDE w:val="0"/>
        <w:autoSpaceDN w:val="0"/>
        <w:adjustRightInd w:val="0"/>
        <w:spacing w:line="360" w:lineRule="auto"/>
        <w:rPr>
          <w:rFonts w:ascii="宋体" w:hAnsi="宋体"/>
          <w:b/>
        </w:rPr>
      </w:pPr>
    </w:p>
    <w:p>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sz w:val="24"/>
        </w:rPr>
      </w:pPr>
      <w:r>
        <w:rPr>
          <w:rFonts w:hint="eastAsia"/>
          <w:b/>
          <w:sz w:val="24"/>
        </w:rPr>
        <w:t>（此处加盖投标人单位公章）</w:t>
      </w:r>
    </w:p>
    <w:p>
      <w:pPr>
        <w:adjustRightInd w:val="0"/>
        <w:snapToGrid w:val="0"/>
        <w:spacing w:line="360" w:lineRule="auto"/>
        <w:rPr>
          <w:rFonts w:ascii="黑体" w:eastAsia="黑体"/>
          <w:b/>
          <w:bCs/>
          <w:sz w:val="24"/>
        </w:rPr>
        <w:sectPr>
          <w:pgSz w:w="11906" w:h="16838"/>
          <w:pgMar w:top="1440" w:right="1286" w:bottom="1440" w:left="1440" w:header="851" w:footer="992" w:gutter="0"/>
          <w:cols w:space="720" w:num="1"/>
          <w:docGrid w:type="lines" w:linePitch="312" w:charSpace="0"/>
        </w:sectPr>
      </w:pPr>
    </w:p>
    <w:p>
      <w:pPr>
        <w:pStyle w:val="3"/>
        <w:numPr>
          <w:ilvl w:val="0"/>
          <w:numId w:val="10"/>
        </w:numPr>
        <w:spacing w:line="240" w:lineRule="auto"/>
        <w:jc w:val="center"/>
        <w:rPr>
          <w:rFonts w:asciiTheme="majorEastAsia" w:hAnsiTheme="majorEastAsia" w:eastAsiaTheme="majorEastAsia"/>
          <w:sz w:val="30"/>
          <w:szCs w:val="30"/>
        </w:rPr>
      </w:pPr>
      <w:bookmarkStart w:id="100" w:name="_Toc435514855"/>
      <w:bookmarkStart w:id="101" w:name="_Toc275865606"/>
      <w:bookmarkStart w:id="102" w:name="_Toc435515295"/>
      <w:bookmarkStart w:id="103" w:name="_Toc24650"/>
      <w:bookmarkStart w:id="104" w:name="_Toc77947883"/>
      <w:r>
        <w:rPr>
          <w:rFonts w:hint="eastAsia" w:asciiTheme="majorEastAsia" w:hAnsiTheme="majorEastAsia" w:eastAsiaTheme="majorEastAsia"/>
          <w:sz w:val="30"/>
          <w:szCs w:val="30"/>
        </w:rPr>
        <w:t>投标人资格声明函</w:t>
      </w:r>
      <w:bookmarkEnd w:id="100"/>
      <w:bookmarkEnd w:id="101"/>
      <w:bookmarkEnd w:id="102"/>
      <w:bookmarkEnd w:id="103"/>
      <w:bookmarkEnd w:id="104"/>
    </w:p>
    <w:p>
      <w:pPr>
        <w:spacing w:line="360" w:lineRule="auto"/>
        <w:rPr>
          <w:rFonts w:ascii="宋体" w:hAnsi="宋体"/>
          <w:szCs w:val="21"/>
        </w:rPr>
      </w:pPr>
      <w:r>
        <w:rPr>
          <w:rFonts w:hint="eastAsia" w:ascii="宋体" w:hAnsi="宋体"/>
          <w:szCs w:val="21"/>
        </w:rPr>
        <w:t>致：</w:t>
      </w:r>
      <w:bookmarkStart w:id="105" w:name="_Hlk77945936"/>
      <w:r>
        <w:rPr>
          <w:rFonts w:hint="eastAsia" w:ascii="宋体" w:hAnsi="宋体"/>
          <w:szCs w:val="21"/>
        </w:rPr>
        <w:t>深圳市南山区沙河街道办事处</w:t>
      </w:r>
      <w:bookmarkEnd w:id="105"/>
    </w:p>
    <w:p>
      <w:pPr>
        <w:pStyle w:val="112"/>
        <w:snapToGrid w:val="0"/>
        <w:spacing w:before="156" w:beforeLines="50" w:line="360" w:lineRule="auto"/>
        <w:ind w:left="420" w:leftChars="200"/>
        <w:rPr>
          <w:rFonts w:ascii="宋体" w:hAnsi="宋体"/>
        </w:rPr>
      </w:pPr>
      <w:r>
        <w:rPr>
          <w:rFonts w:hint="eastAsia" w:ascii="宋体" w:hAnsi="宋体"/>
        </w:rPr>
        <w:t>关于贵公司代理的</w:t>
      </w:r>
      <w:r>
        <w:rPr>
          <w:rFonts w:hint="eastAsia" w:ascii="宋体" w:hAnsi="宋体"/>
          <w:u w:val="single"/>
        </w:rPr>
        <w:t xml:space="preserve">  沙河街道中新街8栋和海棠阁内外墙维修翻新 </w:t>
      </w:r>
      <w:r>
        <w:rPr>
          <w:rFonts w:hint="eastAsia" w:ascii="宋体" w:hAnsi="宋体"/>
        </w:rPr>
        <w:t>项目（项目编号：NSSHJDMSWSS2021017）招标，本公司（企业）愿意参加投标，并声明：</w:t>
      </w:r>
    </w:p>
    <w:p>
      <w:pPr>
        <w:numPr>
          <w:ilvl w:val="0"/>
          <w:numId w:val="12"/>
        </w:numPr>
        <w:spacing w:line="360" w:lineRule="auto"/>
        <w:ind w:right="-815" w:firstLineChars="200"/>
        <w:rPr>
          <w:rFonts w:ascii="宋体" w:hAnsi="宋体"/>
          <w:szCs w:val="21"/>
        </w:rPr>
      </w:pPr>
      <w:r>
        <w:rPr>
          <w:rFonts w:hint="eastAsia" w:ascii="宋体" w:hAnsi="宋体"/>
          <w:szCs w:val="21"/>
        </w:rPr>
        <w:t>我公司</w:t>
      </w:r>
      <w:r>
        <w:rPr>
          <w:rFonts w:hint="eastAsia" w:asciiTheme="minorEastAsia" w:hAnsiTheme="minorEastAsia" w:eastAsiaTheme="minorEastAsia"/>
          <w:bCs/>
          <w:szCs w:val="21"/>
        </w:rPr>
        <w:t>具备</w:t>
      </w:r>
      <w:r>
        <w:rPr>
          <w:rFonts w:hint="eastAsia" w:ascii="宋体" w:hAnsi="宋体"/>
          <w:bCs/>
          <w:szCs w:val="20"/>
        </w:rPr>
        <w:t>《中华人民共和国政府采购法》</w:t>
      </w:r>
      <w:r>
        <w:rPr>
          <w:rFonts w:hint="eastAsia" w:asciiTheme="minorEastAsia" w:hAnsiTheme="minorEastAsia" w:eastAsiaTheme="minorEastAsia"/>
          <w:bCs/>
          <w:szCs w:val="21"/>
        </w:rPr>
        <w:t>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12"/>
        </w:numPr>
        <w:spacing w:line="360" w:lineRule="auto"/>
        <w:ind w:right="-815" w:firstLineChars="200"/>
        <w:rPr>
          <w:rFonts w:ascii="宋体" w:hAnsi="宋体"/>
          <w:szCs w:val="21"/>
        </w:rPr>
      </w:pPr>
      <w:r>
        <w:rPr>
          <w:rFonts w:hint="eastAsia" w:ascii="宋体" w:hAnsi="宋体"/>
          <w:szCs w:val="21"/>
        </w:rPr>
        <w:t>我公司对本招标项目所提供的货物或服务未侵犯知识产权。</w:t>
      </w:r>
    </w:p>
    <w:p>
      <w:pPr>
        <w:numPr>
          <w:ilvl w:val="0"/>
          <w:numId w:val="12"/>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pPr>
        <w:numPr>
          <w:ilvl w:val="0"/>
          <w:numId w:val="12"/>
        </w:numPr>
        <w:spacing w:line="360" w:lineRule="auto"/>
        <w:ind w:right="-815" w:firstLineChars="200"/>
        <w:rPr>
          <w:rFonts w:ascii="宋体" w:hAnsi="宋体"/>
          <w:szCs w:val="21"/>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numPr>
          <w:ilvl w:val="0"/>
          <w:numId w:val="12"/>
        </w:numPr>
        <w:spacing w:line="360" w:lineRule="auto"/>
        <w:ind w:right="-815" w:firstLineChars="200"/>
        <w:rPr>
          <w:rFonts w:ascii="宋体" w:hAnsi="宋体"/>
          <w:szCs w:val="21"/>
        </w:rPr>
      </w:pPr>
      <w:r>
        <w:rPr>
          <w:rFonts w:hint="eastAsia" w:ascii="宋体" w:hAnsi="宋体"/>
          <w:szCs w:val="21"/>
        </w:rPr>
        <w:t>如果中标，做到守信，不偷工减料，依照本项目招标文件需求内容、签署的采购合同及本公司在投标中所作的一切承诺履约。项目验收达到全部指标合格，力争优良。</w:t>
      </w:r>
    </w:p>
    <w:p>
      <w:pPr>
        <w:numPr>
          <w:ilvl w:val="0"/>
          <w:numId w:val="12"/>
        </w:numPr>
        <w:spacing w:line="360" w:lineRule="auto"/>
        <w:ind w:right="-815" w:firstLineChars="200"/>
        <w:rPr>
          <w:bCs/>
          <w:szCs w:val="21"/>
        </w:rPr>
      </w:pPr>
      <w:r>
        <w:rPr>
          <w:rFonts w:hint="eastAsia"/>
          <w:bCs/>
          <w:szCs w:val="21"/>
        </w:rPr>
        <w:t>根据《中华人民共和国政府采购法实施条例》的规定，本公司（企业）如为采购项目（包组）提供整体设计、规范编制或者项目管理、监理、检测等服务的供应商，不再参加该采购项目的其他采购活动</w:t>
      </w:r>
    </w:p>
    <w:p>
      <w:pPr>
        <w:numPr>
          <w:ilvl w:val="0"/>
          <w:numId w:val="12"/>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pPr>
        <w:numPr>
          <w:ilvl w:val="0"/>
          <w:numId w:val="12"/>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pPr>
        <w:numPr>
          <w:ilvl w:val="0"/>
          <w:numId w:val="12"/>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w:t>
      </w:r>
      <w:r>
        <w:rPr>
          <w:rFonts w:hint="eastAsia" w:ascii="宋体" w:hAnsi="宋体"/>
          <w:szCs w:val="21"/>
          <w:lang w:val="en-US" w:eastAsia="zh-CN"/>
        </w:rPr>
        <w:t>到</w:t>
      </w:r>
      <w:r>
        <w:rPr>
          <w:rFonts w:hint="eastAsia" w:ascii="宋体" w:hAnsi="宋体"/>
          <w:szCs w:val="21"/>
        </w:rPr>
        <w:t>日前三年内，在我公司的经营活动中没有存在重大违法记录，即我公司没有受到刑事处罚或者责令停产停业、吊销许可证或者执照、较大数额罚款等行政处罚。</w:t>
      </w:r>
    </w:p>
    <w:p>
      <w:pPr>
        <w:numPr>
          <w:ilvl w:val="0"/>
          <w:numId w:val="12"/>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12"/>
        </w:numPr>
        <w:spacing w:line="360" w:lineRule="auto"/>
        <w:ind w:right="-815" w:firstLineChars="200"/>
        <w:rPr>
          <w:rFonts w:ascii="宋体" w:hAnsi="宋体"/>
          <w:szCs w:val="21"/>
        </w:rPr>
      </w:pPr>
      <w:r>
        <w:rPr>
          <w:rFonts w:hint="eastAsia" w:ascii="宋体" w:hAnsi="宋体"/>
          <w:szCs w:val="21"/>
        </w:rPr>
        <w:t>参与本项目采购活动时未被列入失信被执行人、重大税收违法案件当事人名单、政府采购严重违法失信行为记录名单</w:t>
      </w:r>
    </w:p>
    <w:p>
      <w:pPr>
        <w:numPr>
          <w:ilvl w:val="0"/>
          <w:numId w:val="12"/>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，我公司承诺按招标文件要求提供本国产品/服务。</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备注：1.本声明函必须提供且内容不得擅自删改，否则视为无效投标。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 本声明函如有虚假或与事实不符的，作无效投标处理。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ind w:firstLine="241" w:firstLineChars="100"/>
        <w:rPr>
          <w:b/>
          <w:sz w:val="24"/>
        </w:rPr>
      </w:pPr>
      <w:r>
        <w:rPr>
          <w:rFonts w:hint="eastAsia"/>
          <w:b/>
          <w:sz w:val="24"/>
        </w:rPr>
        <w:t>（此处加盖投标人单位公章）</w:t>
      </w:r>
    </w:p>
    <w:p>
      <w:pPr>
        <w:widowControl/>
        <w:jc w:val="left"/>
        <w:rPr>
          <w:b/>
          <w:sz w:val="24"/>
        </w:rPr>
      </w:pPr>
      <w:r>
        <w:rPr>
          <w:b/>
          <w:sz w:val="24"/>
        </w:rPr>
        <w:br w:type="page"/>
      </w:r>
    </w:p>
    <w:p>
      <w:pPr>
        <w:pStyle w:val="3"/>
        <w:numPr>
          <w:ilvl w:val="0"/>
          <w:numId w:val="10"/>
        </w:numPr>
        <w:spacing w:line="240" w:lineRule="auto"/>
        <w:jc w:val="center"/>
        <w:rPr>
          <w:rFonts w:asciiTheme="majorEastAsia" w:hAnsiTheme="majorEastAsia" w:eastAsiaTheme="majorEastAsia"/>
          <w:sz w:val="30"/>
          <w:szCs w:val="30"/>
        </w:rPr>
      </w:pPr>
      <w:bookmarkStart w:id="106" w:name="_承诺函"/>
      <w:bookmarkEnd w:id="106"/>
      <w:bookmarkStart w:id="107" w:name="_Toc77947884"/>
      <w:bookmarkStart w:id="108" w:name="_Toc27672"/>
      <w:bookmarkStart w:id="109" w:name="_Toc435514859"/>
      <w:bookmarkStart w:id="110" w:name="_Toc50737297"/>
      <w:bookmarkStart w:id="111" w:name="_Toc52165081"/>
      <w:bookmarkStart w:id="112" w:name="_Toc435515299"/>
      <w:bookmarkStart w:id="113" w:name="_Toc275865607"/>
      <w:bookmarkStart w:id="114" w:name="_Toc50736477"/>
      <w:bookmarkStart w:id="115" w:name="_Toc50737329"/>
      <w:bookmarkStart w:id="116" w:name="_Toc52165080"/>
      <w:bookmarkStart w:id="117" w:name="_Toc50737296"/>
      <w:bookmarkStart w:id="118" w:name="_Toc50691034"/>
      <w:bookmarkStart w:id="119" w:name="_Toc50736476"/>
      <w:bookmarkStart w:id="120" w:name="_Toc50737328"/>
      <w:r>
        <w:rPr>
          <w:rFonts w:hint="eastAsia" w:asciiTheme="majorEastAsia" w:hAnsiTheme="majorEastAsia" w:eastAsiaTheme="majorEastAsia"/>
          <w:sz w:val="30"/>
          <w:szCs w:val="30"/>
        </w:rPr>
        <w:t>公章对投标专用章授权说明</w:t>
      </w:r>
      <w:bookmarkEnd w:id="107"/>
    </w:p>
    <w:p>
      <w:pPr>
        <w:snapToGrid w:val="0"/>
        <w:spacing w:line="360" w:lineRule="auto"/>
        <w:rPr>
          <w:rFonts w:ascii="宋体" w:hAnsi="宋体"/>
          <w:szCs w:val="21"/>
        </w:rPr>
      </w:pPr>
      <w:r>
        <w:rPr>
          <w:rFonts w:hint="eastAsia" w:ascii="宋体" w:hAnsi="宋体"/>
          <w:b/>
          <w:szCs w:val="21"/>
        </w:rPr>
        <w:t>深圳市南山区沙河街道办事处：</w:t>
      </w:r>
    </w:p>
    <w:p>
      <w:pPr>
        <w:snapToGrid w:val="0"/>
        <w:spacing w:line="360" w:lineRule="auto"/>
        <w:ind w:firstLine="495" w:firstLineChars="236"/>
        <w:rPr>
          <w:rFonts w:ascii="宋体" w:hAnsi="宋体"/>
          <w:szCs w:val="21"/>
        </w:rPr>
      </w:pPr>
      <w:r>
        <w:rPr>
          <w:rFonts w:hint="eastAsia" w:ascii="宋体" w:hAnsi="宋体"/>
          <w:szCs w:val="21"/>
        </w:rPr>
        <w:t>本单位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（投标人名称）  </w:t>
      </w:r>
      <w:r>
        <w:rPr>
          <w:rFonts w:hint="eastAsia" w:ascii="宋体" w:hAnsi="宋体"/>
          <w:szCs w:val="21"/>
        </w:rPr>
        <w:t>参加</w:t>
      </w:r>
      <w:r>
        <w:rPr>
          <w:rFonts w:hint="eastAsia" w:ascii="宋体" w:hAnsi="宋体"/>
          <w:szCs w:val="21"/>
          <w:u w:val="single"/>
        </w:rPr>
        <w:t>沙河街道中新街8栋和海棠阁内外墙维修翻新（NSSHJDMSWSS2021017）</w:t>
      </w:r>
      <w:r>
        <w:rPr>
          <w:rFonts w:hint="eastAsia" w:ascii="宋体" w:hAnsi="宋体"/>
          <w:szCs w:val="21"/>
        </w:rPr>
        <w:t>的采购活动，在此作如下说明：</w:t>
      </w:r>
    </w:p>
    <w:p>
      <w:pPr>
        <w:snapToGrid w:val="0"/>
        <w:spacing w:line="360" w:lineRule="auto"/>
        <w:ind w:firstLine="495" w:firstLineChars="236"/>
        <w:rPr>
          <w:rFonts w:ascii="宋体" w:hAnsi="宋体"/>
          <w:szCs w:val="21"/>
        </w:rPr>
      </w:pPr>
      <w:r>
        <w:rPr>
          <w:rFonts w:hint="eastAsia" w:ascii="宋体" w:hAnsi="宋体"/>
          <w:szCs w:val="21"/>
        </w:rPr>
        <w:t>在此次采购活动中，我单位所使用的“投标专用章”与我单位公章具有同等的法律效力，我单位对所使用“投标专用章”的行为和相应责任予以完全承认。</w:t>
      </w:r>
    </w:p>
    <w:p>
      <w:pPr>
        <w:snapToGrid w:val="0"/>
        <w:spacing w:line="360" w:lineRule="auto"/>
        <w:ind w:firstLine="495" w:firstLineChars="236"/>
        <w:rPr>
          <w:rFonts w:ascii="宋体" w:hAnsi="宋体"/>
          <w:szCs w:val="21"/>
        </w:rPr>
      </w:pPr>
      <w:r>
        <w:rPr>
          <w:rFonts w:hint="eastAsia" w:ascii="宋体" w:hAnsi="宋体"/>
          <w:szCs w:val="21"/>
        </w:rPr>
        <w:t>特此说明。</w:t>
      </w:r>
    </w:p>
    <w:p>
      <w:pPr>
        <w:snapToGrid w:val="0"/>
        <w:spacing w:line="360" w:lineRule="auto"/>
        <w:rPr>
          <w:rFonts w:ascii="宋体" w:hAnsi="宋体"/>
          <w:szCs w:val="21"/>
        </w:rPr>
      </w:pPr>
    </w:p>
    <w:p>
      <w:pPr>
        <w:snapToGrid w:val="0"/>
        <w:spacing w:line="360" w:lineRule="auto"/>
        <w:rPr>
          <w:rFonts w:ascii="宋体" w:hAnsi="宋体"/>
          <w:b/>
          <w:bCs/>
          <w:szCs w:val="21"/>
        </w:rPr>
      </w:pPr>
    </w:p>
    <w:p>
      <w:pPr>
        <w:snapToGrid w:val="0"/>
        <w:spacing w:line="360" w:lineRule="auto"/>
        <w:rPr>
          <w:rFonts w:ascii="宋体" w:hAnsi="宋体"/>
          <w:szCs w:val="21"/>
          <w:u w:val="single"/>
        </w:rPr>
      </w:pPr>
      <w:r>
        <w:rPr>
          <w:rFonts w:hint="eastAsia" w:ascii="宋体" w:hAnsi="宋体"/>
          <w:szCs w:val="21"/>
        </w:rPr>
        <w:t>投标人名称（单位盖公章）：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单位注册地址：</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napToGrid w:val="0"/>
        <w:spacing w:line="360" w:lineRule="auto"/>
        <w:rPr>
          <w:rFonts w:ascii="宋体" w:hAnsi="宋体"/>
          <w:szCs w:val="21"/>
        </w:rPr>
      </w:pPr>
      <w:r>
        <w:rPr>
          <w:rFonts w:hint="eastAsia" w:ascii="宋体" w:hAnsi="宋体"/>
          <w:szCs w:val="21"/>
        </w:rPr>
        <w:t>法定代表人</w:t>
      </w:r>
      <w:r>
        <w:rPr>
          <w:rFonts w:hint="eastAsia" w:ascii="宋体"/>
          <w:szCs w:val="21"/>
        </w:rPr>
        <w:t>或</w:t>
      </w:r>
      <w:r>
        <w:rPr>
          <w:rFonts w:hint="eastAsia" w:ascii="宋体" w:hAnsi="宋体"/>
          <w:szCs w:val="21"/>
        </w:rPr>
        <w:t>投标人授权代表（签名或盖个人名章）：</w:t>
      </w:r>
      <w:r>
        <w:rPr>
          <w:rFonts w:hint="eastAsia" w:ascii="宋体" w:hAnsi="宋体"/>
          <w:szCs w:val="21"/>
          <w:u w:val="single"/>
        </w:rPr>
        <w:t xml:space="preserve"> </w:t>
      </w:r>
      <w:r>
        <w:rPr>
          <w:rFonts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我单位投标专用章样式如下：</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szCs w:val="21"/>
              </w:rPr>
            </w:pPr>
          </w:p>
        </w:tc>
      </w:tr>
    </w:tbl>
    <w:p>
      <w:pPr>
        <w:rPr>
          <w:rFonts w:asciiTheme="majorEastAsia" w:hAnsiTheme="majorEastAsia" w:eastAsiaTheme="majorEastAsia"/>
          <w:sz w:val="30"/>
          <w:szCs w:val="30"/>
        </w:rPr>
      </w:pPr>
    </w:p>
    <w:p>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pPr>
        <w:pStyle w:val="3"/>
        <w:numPr>
          <w:ilvl w:val="0"/>
          <w:numId w:val="10"/>
        </w:numPr>
        <w:spacing w:line="240" w:lineRule="auto"/>
        <w:jc w:val="center"/>
        <w:rPr>
          <w:rFonts w:asciiTheme="majorEastAsia" w:hAnsiTheme="majorEastAsia" w:eastAsiaTheme="majorEastAsia"/>
          <w:sz w:val="30"/>
          <w:szCs w:val="30"/>
        </w:rPr>
      </w:pPr>
      <w:bookmarkStart w:id="121" w:name="_Toc77947885"/>
      <w:r>
        <w:rPr>
          <w:rFonts w:hint="eastAsia" w:asciiTheme="majorEastAsia" w:hAnsiTheme="majorEastAsia" w:eastAsiaTheme="majorEastAsia"/>
          <w:sz w:val="30"/>
          <w:szCs w:val="30"/>
        </w:rPr>
        <w:t>法定代表人授权委托书</w:t>
      </w:r>
      <w:bookmarkEnd w:id="108"/>
      <w:bookmarkEnd w:id="109"/>
      <w:bookmarkEnd w:id="110"/>
      <w:bookmarkEnd w:id="111"/>
      <w:bookmarkEnd w:id="112"/>
      <w:bookmarkEnd w:id="113"/>
      <w:bookmarkEnd w:id="114"/>
      <w:bookmarkEnd w:id="115"/>
      <w:bookmarkEnd w:id="121"/>
    </w:p>
    <w:p>
      <w:pPr>
        <w:pStyle w:val="2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0"/>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本授权书自盖章之日起生效，特此声明。</w:t>
      </w:r>
    </w:p>
    <w:p>
      <w:pPr>
        <w:spacing w:line="360" w:lineRule="auto"/>
        <w:rPr>
          <w:rFonts w:ascii="宋体"/>
          <w:b/>
        </w:rPr>
      </w:pPr>
      <w:r>
        <w:rPr>
          <w:rFonts w:hint="eastAsia" w:ascii="宋体"/>
          <w:b/>
        </w:rPr>
        <w:t>随附《法定代表人证明》</w:t>
      </w:r>
    </w:p>
    <w:p>
      <w:pPr>
        <w:spacing w:line="360" w:lineRule="auto"/>
        <w:rPr>
          <w:rFonts w:ascii="宋体"/>
        </w:rPr>
      </w:pPr>
    </w:p>
    <w:p>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sz w:val="24"/>
        </w:rPr>
      </w:pPr>
      <w:r>
        <w:rPr>
          <w:rFonts w:hint="eastAsia"/>
          <w:b/>
          <w:sz w:val="24"/>
        </w:rPr>
        <w:t>（此处加盖投标人单位公章）</w:t>
      </w:r>
    </w:p>
    <w:p>
      <w:pPr>
        <w:tabs>
          <w:tab w:val="left" w:pos="3780"/>
        </w:tabs>
        <w:spacing w:line="360" w:lineRule="auto"/>
        <w:rPr>
          <w:rFonts w:ascii="宋体" w:hAnsi="宋体"/>
          <w:b/>
          <w:bCs/>
          <w:sz w:val="24"/>
        </w:rPr>
      </w:pPr>
    </w:p>
    <w:p>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pPr>
        <w:spacing w:line="360" w:lineRule="auto"/>
        <w:ind w:left="1159" w:leftChars="552" w:firstLine="2261"/>
        <w:rPr>
          <w:rFonts w:ascii="宋体"/>
        </w:rPr>
      </w:pPr>
    </w:p>
    <w:p>
      <w:pPr>
        <w:rPr>
          <w:rFonts w:asciiTheme="majorEastAsia" w:hAnsiTheme="majorEastAsia" w:eastAsiaTheme="majorEastAsia"/>
          <w:sz w:val="30"/>
          <w:szCs w:val="30"/>
        </w:rPr>
      </w:pPr>
      <w:bookmarkStart w:id="122" w:name="_Toc435515300"/>
      <w:bookmarkStart w:id="123" w:name="_Toc14289"/>
      <w:bookmarkStart w:id="124" w:name="_Toc435514860"/>
      <w:bookmarkStart w:id="125" w:name="_Toc275865608"/>
      <w:r>
        <w:rPr>
          <w:rFonts w:hint="eastAsia" w:asciiTheme="majorEastAsia" w:hAnsiTheme="majorEastAsia" w:eastAsiaTheme="majorEastAsia"/>
          <w:sz w:val="30"/>
          <w:szCs w:val="30"/>
        </w:rPr>
        <w:br w:type="page"/>
      </w:r>
    </w:p>
    <w:p>
      <w:pPr>
        <w:pStyle w:val="3"/>
        <w:numPr>
          <w:ilvl w:val="0"/>
          <w:numId w:val="10"/>
        </w:numPr>
        <w:spacing w:line="240" w:lineRule="auto"/>
        <w:jc w:val="center"/>
        <w:rPr>
          <w:rFonts w:asciiTheme="majorEastAsia" w:hAnsiTheme="majorEastAsia" w:eastAsiaTheme="majorEastAsia"/>
          <w:sz w:val="30"/>
          <w:szCs w:val="30"/>
        </w:rPr>
      </w:pPr>
      <w:bookmarkStart w:id="126" w:name="_Toc77947886"/>
      <w:r>
        <w:rPr>
          <w:rFonts w:hint="eastAsia" w:asciiTheme="majorEastAsia" w:hAnsiTheme="majorEastAsia" w:eastAsiaTheme="majorEastAsia"/>
          <w:sz w:val="30"/>
          <w:szCs w:val="30"/>
        </w:rPr>
        <w:t>法定代表人证明书</w:t>
      </w:r>
      <w:bookmarkEnd w:id="116"/>
      <w:bookmarkEnd w:id="117"/>
      <w:bookmarkEnd w:id="118"/>
      <w:bookmarkEnd w:id="119"/>
      <w:bookmarkEnd w:id="120"/>
      <w:bookmarkEnd w:id="122"/>
      <w:bookmarkEnd w:id="123"/>
      <w:bookmarkEnd w:id="124"/>
      <w:bookmarkEnd w:id="125"/>
      <w:bookmarkEnd w:id="126"/>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500" w:lineRule="exact"/>
        <w:rPr>
          <w:rFonts w:ascii="宋体"/>
          <w:b/>
          <w:bCs/>
        </w:rPr>
      </w:pPr>
    </w:p>
    <w:p>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sz w:val="24"/>
        </w:rPr>
      </w:pPr>
      <w:r>
        <w:rPr>
          <w:rFonts w:hint="eastAsia"/>
          <w:b/>
          <w:sz w:val="24"/>
        </w:rPr>
        <w:t>（此处加盖投标人单位公章）</w:t>
      </w:r>
    </w:p>
    <w:p>
      <w:pPr>
        <w:spacing w:line="500" w:lineRule="exact"/>
        <w:rPr>
          <w:rFonts w:ascii="宋体" w:hAnsi="宋体"/>
        </w:rPr>
      </w:pPr>
    </w:p>
    <w:p>
      <w:pPr>
        <w:spacing w:line="360" w:lineRule="auto"/>
        <w:rPr>
          <w:b/>
          <w:sz w:val="24"/>
        </w:rPr>
      </w:pPr>
      <w:r>
        <w:rPr>
          <w:rFonts w:hint="eastAsia"/>
          <w:b/>
          <w:sz w:val="24"/>
        </w:rPr>
        <w:t>提供法定代表人居民身份证（正反面）复印件：</w:t>
      </w:r>
    </w:p>
    <w:p>
      <w:pPr>
        <w:spacing w:line="500" w:lineRule="exact"/>
        <w:rPr>
          <w:rFonts w:ascii="宋体" w:hAnsi="宋体"/>
        </w:rPr>
      </w:pPr>
      <w:r>
        <w:rPr>
          <w:rFonts w:hint="eastAsia" w:ascii="宋体" w:hAnsi="宋体"/>
        </w:rPr>
        <w:br w:type="page"/>
      </w:r>
    </w:p>
    <w:p>
      <w:pPr>
        <w:pStyle w:val="3"/>
        <w:numPr>
          <w:ilvl w:val="0"/>
          <w:numId w:val="10"/>
        </w:numPr>
        <w:spacing w:line="240" w:lineRule="auto"/>
        <w:jc w:val="center"/>
        <w:rPr>
          <w:rFonts w:asciiTheme="majorEastAsia" w:hAnsiTheme="majorEastAsia" w:eastAsiaTheme="majorEastAsia"/>
          <w:sz w:val="30"/>
          <w:szCs w:val="30"/>
        </w:rPr>
      </w:pPr>
      <w:bookmarkStart w:id="127" w:name="_Toc77947887"/>
      <w:bookmarkStart w:id="128" w:name="_Toc8619"/>
      <w:bookmarkStart w:id="129" w:name="_Toc435514868"/>
      <w:bookmarkStart w:id="130" w:name="_Toc435515308"/>
      <w:r>
        <w:rPr>
          <w:rFonts w:hint="eastAsia" w:asciiTheme="majorEastAsia" w:hAnsiTheme="majorEastAsia" w:eastAsiaTheme="majorEastAsia"/>
          <w:sz w:val="30"/>
          <w:szCs w:val="30"/>
        </w:rPr>
        <w:t>用户需求书条款响应一览表</w:t>
      </w:r>
      <w:bookmarkEnd w:id="127"/>
      <w:bookmarkEnd w:id="128"/>
    </w:p>
    <w:p>
      <w:pPr>
        <w:spacing w:line="400" w:lineRule="exact"/>
        <w:rPr>
          <w:rFonts w:ascii="宋体" w:hAnsi="宋体"/>
        </w:rPr>
      </w:pPr>
      <w:r>
        <w:rPr>
          <w:rFonts w:hint="eastAsia" w:ascii="宋体" w:hAnsi="宋体"/>
        </w:rPr>
        <w:t>说明：投标人必须对应招标文件条款逐条应答并按要求填写下表。</w:t>
      </w:r>
    </w:p>
    <w:tbl>
      <w:tblPr>
        <w:tblStyle w:val="3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515" w:type="dxa"/>
            <w:shd w:val="clear" w:color="auto" w:fill="EAF1DD"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招标条款</w:t>
            </w:r>
          </w:p>
        </w:tc>
        <w:tc>
          <w:tcPr>
            <w:tcW w:w="2341" w:type="dxa"/>
            <w:shd w:val="clear" w:color="auto" w:fill="EAF1DD"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投标条款</w:t>
            </w:r>
          </w:p>
        </w:tc>
        <w:tc>
          <w:tcPr>
            <w:tcW w:w="1750" w:type="dxa"/>
            <w:shd w:val="clear" w:color="auto" w:fill="EAF1DD"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偏离情况</w:t>
            </w:r>
          </w:p>
        </w:tc>
        <w:tc>
          <w:tcPr>
            <w:tcW w:w="1623" w:type="dxa"/>
            <w:shd w:val="clear" w:color="auto" w:fill="EAF1DD" w:themeFill="accent3" w:themeFillTint="3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pPr>
              <w:rPr>
                <w:rFonts w:asciiTheme="minorEastAsia" w:hAnsiTheme="minorEastAsia" w:eastAsiaTheme="minorEastAsia"/>
                <w:szCs w:val="21"/>
              </w:rPr>
            </w:pPr>
          </w:p>
        </w:tc>
        <w:tc>
          <w:tcPr>
            <w:tcW w:w="2341" w:type="dxa"/>
            <w:vAlign w:val="center"/>
          </w:tcPr>
          <w:p>
            <w:pPr>
              <w:rPr>
                <w:rFonts w:asciiTheme="minorEastAsia" w:hAnsiTheme="minorEastAsia" w:eastAsiaTheme="minorEastAsia"/>
                <w:szCs w:val="21"/>
              </w:rPr>
            </w:pPr>
          </w:p>
        </w:tc>
        <w:tc>
          <w:tcPr>
            <w:tcW w:w="1750" w:type="dxa"/>
            <w:vAlign w:val="center"/>
          </w:tcPr>
          <w:p>
            <w:pPr>
              <w:rPr>
                <w:rFonts w:asciiTheme="minorEastAsia" w:hAnsiTheme="minorEastAsia" w:eastAsiaTheme="minorEastAsia"/>
                <w:szCs w:val="21"/>
              </w:rPr>
            </w:pPr>
          </w:p>
        </w:tc>
        <w:tc>
          <w:tcPr>
            <w:tcW w:w="1623"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pPr>
              <w:rPr>
                <w:rFonts w:asciiTheme="minorEastAsia" w:hAnsiTheme="minorEastAsia" w:eastAsiaTheme="minorEastAsia"/>
                <w:szCs w:val="21"/>
              </w:rPr>
            </w:pPr>
          </w:p>
        </w:tc>
        <w:tc>
          <w:tcPr>
            <w:tcW w:w="2341" w:type="dxa"/>
            <w:vAlign w:val="center"/>
          </w:tcPr>
          <w:p>
            <w:pPr>
              <w:rPr>
                <w:rFonts w:asciiTheme="minorEastAsia" w:hAnsiTheme="minorEastAsia" w:eastAsiaTheme="minorEastAsia"/>
                <w:szCs w:val="21"/>
              </w:rPr>
            </w:pPr>
          </w:p>
        </w:tc>
        <w:tc>
          <w:tcPr>
            <w:tcW w:w="1750" w:type="dxa"/>
            <w:vAlign w:val="center"/>
          </w:tcPr>
          <w:p>
            <w:pPr>
              <w:rPr>
                <w:rFonts w:asciiTheme="minorEastAsia" w:hAnsiTheme="minorEastAsia" w:eastAsiaTheme="minorEastAsia"/>
                <w:szCs w:val="21"/>
              </w:rPr>
            </w:pPr>
          </w:p>
        </w:tc>
        <w:tc>
          <w:tcPr>
            <w:tcW w:w="1623" w:type="dxa"/>
            <w:vAlign w:val="center"/>
          </w:tcPr>
          <w:p>
            <w:pP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pPr>
              <w:rPr>
                <w:rFonts w:asciiTheme="minorEastAsia" w:hAnsiTheme="minorEastAsia" w:eastAsiaTheme="minorEastAsia"/>
                <w:szCs w:val="21"/>
              </w:rPr>
            </w:pPr>
          </w:p>
        </w:tc>
        <w:tc>
          <w:tcPr>
            <w:tcW w:w="2341" w:type="dxa"/>
            <w:vAlign w:val="center"/>
          </w:tcPr>
          <w:p>
            <w:pPr>
              <w:rPr>
                <w:rFonts w:asciiTheme="minorEastAsia" w:hAnsiTheme="minorEastAsia" w:eastAsiaTheme="minorEastAsia"/>
                <w:szCs w:val="21"/>
              </w:rPr>
            </w:pPr>
          </w:p>
        </w:tc>
        <w:tc>
          <w:tcPr>
            <w:tcW w:w="1750" w:type="dxa"/>
            <w:vAlign w:val="center"/>
          </w:tcPr>
          <w:p>
            <w:pPr>
              <w:rPr>
                <w:rFonts w:asciiTheme="minorEastAsia" w:hAnsiTheme="minorEastAsia" w:eastAsiaTheme="minorEastAsia"/>
                <w:szCs w:val="21"/>
              </w:rPr>
            </w:pPr>
          </w:p>
        </w:tc>
        <w:tc>
          <w:tcPr>
            <w:tcW w:w="1623" w:type="dxa"/>
            <w:vAlign w:val="center"/>
          </w:tcPr>
          <w:p>
            <w:pPr>
              <w:rPr>
                <w:rFonts w:asciiTheme="minorEastAsia" w:hAnsiTheme="minorEastAsia" w:eastAsiaTheme="minorEastAsia"/>
                <w:szCs w:val="21"/>
              </w:rPr>
            </w:pPr>
          </w:p>
        </w:tc>
      </w:tr>
    </w:tbl>
    <w:p>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pPr>
        <w:spacing w:line="500" w:lineRule="exact"/>
        <w:ind w:firstLine="436" w:firstLineChars="200"/>
        <w:rPr>
          <w:spacing w:val="4"/>
        </w:rPr>
      </w:pPr>
    </w:p>
    <w:p>
      <w:pPr>
        <w:widowControl/>
        <w:jc w:val="left"/>
        <w:rPr>
          <w:rFonts w:ascii="Arial" w:hAnsi="Arial" w:eastAsia="黑体"/>
          <w:bCs/>
          <w:sz w:val="32"/>
          <w:szCs w:val="32"/>
        </w:rPr>
      </w:pPr>
    </w:p>
    <w:bookmarkEnd w:id="129"/>
    <w:bookmarkEnd w:id="130"/>
    <w:p>
      <w:pPr>
        <w:spacing w:line="520" w:lineRule="exact"/>
        <w:ind w:firstLine="436" w:firstLineChars="200"/>
        <w:rPr>
          <w:spacing w:val="4"/>
        </w:rPr>
        <w:sectPr>
          <w:pgSz w:w="11906" w:h="16838"/>
          <w:pgMar w:top="1440" w:right="1286" w:bottom="1440" w:left="1440" w:header="851" w:footer="992" w:gutter="0"/>
          <w:cols w:space="720" w:num="1"/>
          <w:docGrid w:type="lines" w:linePitch="312" w:charSpace="0"/>
        </w:sectPr>
      </w:pPr>
      <w:bookmarkStart w:id="131" w:name="_Toc50691037"/>
      <w:bookmarkStart w:id="132" w:name="_Toc43264518"/>
      <w:bookmarkStart w:id="133" w:name="_Toc50703730"/>
    </w:p>
    <w:bookmarkEnd w:id="131"/>
    <w:bookmarkEnd w:id="132"/>
    <w:bookmarkEnd w:id="133"/>
    <w:p>
      <w:pPr>
        <w:pStyle w:val="2"/>
        <w:jc w:val="center"/>
        <w:rPr>
          <w:rFonts w:asciiTheme="majorEastAsia" w:hAnsiTheme="majorEastAsia" w:eastAsiaTheme="majorEastAsia" w:cstheme="majorEastAsia"/>
          <w:sz w:val="32"/>
          <w:szCs w:val="32"/>
        </w:rPr>
      </w:pPr>
      <w:bookmarkStart w:id="134" w:name="_Toc435174932"/>
      <w:bookmarkStart w:id="135" w:name="_Toc4723"/>
      <w:bookmarkStart w:id="136" w:name="_Toc438223135"/>
      <w:bookmarkStart w:id="137" w:name="_Toc13635"/>
      <w:bookmarkStart w:id="138" w:name="_Toc8307307"/>
      <w:bookmarkStart w:id="139" w:name="_Toc77947888"/>
      <w:bookmarkStart w:id="140" w:name="_Toc5615_WPSOffice_Level1"/>
      <w:bookmarkStart w:id="141" w:name="_Toc435516649"/>
      <w:r>
        <w:rPr>
          <w:rFonts w:hint="eastAsia" w:asciiTheme="majorEastAsia" w:hAnsiTheme="majorEastAsia" w:eastAsiaTheme="majorEastAsia" w:cstheme="majorEastAsia"/>
          <w:sz w:val="32"/>
          <w:szCs w:val="32"/>
        </w:rPr>
        <w:t>第七章 投标人须知</w:t>
      </w:r>
      <w:bookmarkEnd w:id="134"/>
      <w:bookmarkEnd w:id="135"/>
      <w:bookmarkEnd w:id="136"/>
      <w:bookmarkEnd w:id="137"/>
      <w:bookmarkEnd w:id="138"/>
      <w:bookmarkEnd w:id="139"/>
      <w:bookmarkEnd w:id="140"/>
      <w:bookmarkEnd w:id="141"/>
    </w:p>
    <w:p>
      <w:pPr>
        <w:pStyle w:val="3"/>
        <w:numPr>
          <w:ilvl w:val="0"/>
          <w:numId w:val="13"/>
        </w:numPr>
        <w:spacing w:line="240" w:lineRule="auto"/>
        <w:jc w:val="center"/>
        <w:rPr>
          <w:rFonts w:asciiTheme="majorEastAsia" w:hAnsiTheme="majorEastAsia" w:eastAsiaTheme="majorEastAsia"/>
          <w:sz w:val="30"/>
          <w:szCs w:val="30"/>
        </w:rPr>
      </w:pPr>
      <w:bookmarkStart w:id="142" w:name="_Toc435174933"/>
      <w:bookmarkStart w:id="143" w:name="_Toc77947889"/>
      <w:bookmarkStart w:id="144" w:name="_Toc1658"/>
      <w:bookmarkStart w:id="145" w:name="_Toc435516650"/>
      <w:bookmarkStart w:id="146" w:name="_Toc438223136"/>
      <w:r>
        <w:rPr>
          <w:rFonts w:asciiTheme="majorEastAsia" w:hAnsiTheme="majorEastAsia" w:eastAsiaTheme="majorEastAsia"/>
          <w:sz w:val="30"/>
          <w:szCs w:val="30"/>
          <w:lang w:eastAsia="zh-TW"/>
        </w:rPr>
        <w:t>说 明</w:t>
      </w:r>
      <w:bookmarkEnd w:id="142"/>
      <w:bookmarkEnd w:id="143"/>
      <w:bookmarkEnd w:id="144"/>
      <w:bookmarkEnd w:id="145"/>
      <w:bookmarkEnd w:id="146"/>
      <w:bookmarkStart w:id="147" w:name="_Toc292267791"/>
    </w:p>
    <w:bookmarkEnd w:id="147"/>
    <w:p>
      <w:pPr>
        <w:numPr>
          <w:ilvl w:val="0"/>
          <w:numId w:val="14"/>
        </w:numPr>
        <w:autoSpaceDE w:val="0"/>
        <w:autoSpaceDN w:val="0"/>
        <w:adjustRightInd w:val="0"/>
        <w:snapToGrid w:val="0"/>
        <w:spacing w:line="360" w:lineRule="auto"/>
        <w:outlineLvl w:val="2"/>
        <w:rPr>
          <w:rFonts w:ascii="宋体" w:hAnsi="宋体"/>
          <w:b/>
          <w:bCs/>
          <w:szCs w:val="21"/>
        </w:rPr>
      </w:pPr>
      <w:bookmarkStart w:id="148" w:name="_Toc23054"/>
      <w:r>
        <w:rPr>
          <w:rFonts w:hint="eastAsia" w:ascii="宋体" w:hAnsi="宋体"/>
          <w:b/>
          <w:bCs/>
          <w:szCs w:val="21"/>
        </w:rPr>
        <w:t>适用范围</w:t>
      </w:r>
      <w:bookmarkEnd w:id="148"/>
    </w:p>
    <w:p>
      <w:pPr>
        <w:numPr>
          <w:ilvl w:val="1"/>
          <w:numId w:val="14"/>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本招标文件适用于本投标邀请中所述采购项目。</w:t>
      </w:r>
    </w:p>
    <w:p>
      <w:pPr>
        <w:numPr>
          <w:ilvl w:val="0"/>
          <w:numId w:val="14"/>
        </w:numPr>
        <w:autoSpaceDE w:val="0"/>
        <w:autoSpaceDN w:val="0"/>
        <w:adjustRightInd w:val="0"/>
        <w:snapToGrid w:val="0"/>
        <w:spacing w:line="360" w:lineRule="auto"/>
        <w:ind w:left="449" w:hanging="449" w:hangingChars="213"/>
        <w:outlineLvl w:val="2"/>
        <w:rPr>
          <w:rFonts w:ascii="宋体" w:hAnsi="宋体"/>
          <w:b/>
          <w:bCs/>
          <w:strike/>
          <w:szCs w:val="21"/>
        </w:rPr>
      </w:pPr>
      <w:bookmarkStart w:id="149" w:name="_Toc28379"/>
      <w:r>
        <w:rPr>
          <w:rFonts w:hint="eastAsia" w:ascii="宋体" w:hAnsi="宋体"/>
          <w:b/>
          <w:szCs w:val="21"/>
        </w:rPr>
        <w:t>定义</w:t>
      </w:r>
      <w:bookmarkEnd w:id="149"/>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rPr>
        <w:t>。</w:t>
      </w:r>
      <w:r>
        <w:rPr>
          <w:rFonts w:hint="eastAsia" w:ascii="宋体" w:hAnsi="宋体" w:cs="宋体"/>
          <w:szCs w:val="21"/>
          <w:lang w:eastAsia="zh-TW"/>
        </w:rPr>
        <w:t>本招标文件第</w:t>
      </w:r>
      <w:r>
        <w:rPr>
          <w:rFonts w:hint="eastAsia" w:ascii="宋体" w:hAnsi="宋体" w:cs="宋体"/>
          <w:szCs w:val="21"/>
        </w:rPr>
        <w:t>二</w:t>
      </w:r>
      <w:r>
        <w:rPr>
          <w:rFonts w:hint="eastAsia" w:ascii="宋体" w:hAnsi="宋体" w:cs="宋体"/>
          <w:szCs w:val="21"/>
          <w:lang w:eastAsia="zh-TW"/>
        </w:rPr>
        <w:t>章</w:t>
      </w:r>
      <w:r>
        <w:rPr>
          <w:rFonts w:hint="eastAsia" w:ascii="宋体" w:hAnsi="宋体" w:cs="黑体"/>
          <w:b/>
          <w:szCs w:val="21"/>
          <w:lang w:eastAsia="zh-TW"/>
        </w:rPr>
        <w:t>投标资料表</w:t>
      </w:r>
      <w:r>
        <w:rPr>
          <w:rFonts w:hint="eastAsia" w:ascii="宋体" w:hAnsi="宋体" w:cs="宋体"/>
          <w:szCs w:val="21"/>
          <w:lang w:eastAsia="zh-TW"/>
        </w:rPr>
        <w:t>中所述的采购人已拥有一笔</w:t>
      </w:r>
      <w:r>
        <w:rPr>
          <w:rFonts w:hint="eastAsia" w:ascii="宋体" w:hAnsi="宋体" w:cs="宋体"/>
          <w:szCs w:val="21"/>
        </w:rPr>
        <w:t>财政性</w:t>
      </w:r>
      <w:r>
        <w:rPr>
          <w:rFonts w:hint="eastAsia" w:ascii="宋体" w:hAnsi="宋体" w:cs="宋体"/>
          <w:szCs w:val="21"/>
          <w:lang w:eastAsia="zh-TW"/>
        </w:rPr>
        <w:t>资金</w:t>
      </w:r>
      <w:r>
        <w:rPr>
          <w:rFonts w:hint="eastAsia" w:ascii="宋体" w:hAnsi="宋体" w:cs="宋体"/>
          <w:szCs w:val="21"/>
        </w:rPr>
        <w:t>或资金来源已落实</w:t>
      </w:r>
      <w:r>
        <w:rPr>
          <w:rFonts w:hint="eastAsia" w:ascii="宋体" w:hAnsi="宋体" w:cs="宋体"/>
          <w:szCs w:val="21"/>
          <w:lang w:eastAsia="zh-TW"/>
        </w:rPr>
        <w:t>。采购人计划将一部分</w:t>
      </w:r>
      <w:r>
        <w:rPr>
          <w:rFonts w:hint="eastAsia" w:ascii="宋体" w:hAnsi="宋体" w:cs="宋体"/>
          <w:szCs w:val="21"/>
        </w:rPr>
        <w:t>或全部</w:t>
      </w:r>
      <w:r>
        <w:rPr>
          <w:rFonts w:hint="eastAsia" w:ascii="宋体" w:hAnsi="宋体" w:cs="宋体"/>
          <w:szCs w:val="21"/>
          <w:lang w:eastAsia="zh-TW"/>
        </w:rPr>
        <w:t>资金用于支付本次</w:t>
      </w:r>
      <w:r>
        <w:rPr>
          <w:rFonts w:hint="eastAsia" w:ascii="宋体" w:hAnsi="宋体" w:cs="宋体"/>
          <w:szCs w:val="21"/>
        </w:rPr>
        <w:t>采购</w:t>
      </w:r>
      <w:r>
        <w:rPr>
          <w:rFonts w:hint="eastAsia" w:ascii="宋体" w:hAnsi="宋体" w:cs="宋体"/>
          <w:szCs w:val="21"/>
          <w:lang w:eastAsia="zh-TW"/>
        </w:rPr>
        <w:t>后所签订合同项下的款项</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中标人是指经法定程序确定并授予合同的投标人。</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50" w:name="_Toc4681"/>
      <w:r>
        <w:rPr>
          <w:rFonts w:hint="eastAsia" w:ascii="宋体" w:hAnsi="宋体"/>
          <w:b/>
          <w:bCs/>
          <w:szCs w:val="21"/>
        </w:rPr>
        <w:t>合格的货物和服务</w:t>
      </w:r>
      <w:bookmarkEnd w:id="150"/>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51" w:name="_Toc4403"/>
      <w:r>
        <w:rPr>
          <w:rFonts w:hint="eastAsia" w:ascii="宋体" w:hAnsi="宋体"/>
          <w:b/>
          <w:bCs/>
          <w:szCs w:val="21"/>
        </w:rPr>
        <w:t>投标费用</w:t>
      </w:r>
      <w:bookmarkEnd w:id="151"/>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采购人均无义务和责任承担这些费用</w:t>
      </w:r>
      <w:r>
        <w:rPr>
          <w:rFonts w:hint="eastAsia" w:ascii="宋体" w:hAnsi="宋体" w:cs="宋体"/>
          <w:szCs w:val="21"/>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52" w:name="_Toc27847"/>
      <w:r>
        <w:rPr>
          <w:rFonts w:hint="eastAsia" w:ascii="宋体" w:hAnsi="宋体"/>
          <w:b/>
          <w:bCs/>
          <w:szCs w:val="21"/>
        </w:rPr>
        <w:t>其他</w:t>
      </w:r>
      <w:bookmarkEnd w:id="152"/>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供应商（投标人）向我司咨询的有关项目事项，一切以法律法规的规定和本公司书面答复为准，其他一切形式均为个人意见，不代表本公司的意见。</w:t>
      </w:r>
    </w:p>
    <w:p>
      <w:pPr>
        <w:numPr>
          <w:ilvl w:val="1"/>
          <w:numId w:val="14"/>
        </w:numPr>
        <w:adjustRightInd w:val="0"/>
        <w:snapToGrid w:val="0"/>
        <w:spacing w:line="360" w:lineRule="auto"/>
        <w:rPr>
          <w:rFonts w:cs="宋体" w:asciiTheme="minorEastAsia" w:hAnsiTheme="minorEastAsia" w:eastAsiaTheme="minorEastAsia"/>
          <w:bCs/>
          <w:szCs w:val="21"/>
        </w:rPr>
      </w:pPr>
      <w:bookmarkStart w:id="153" w:name="_Hlk21592778"/>
      <w:r>
        <w:rPr>
          <w:rFonts w:hint="eastAsia" w:asciiTheme="minorEastAsia" w:hAnsiTheme="minorEastAsia" w:eastAsiaTheme="minorEastAsia"/>
          <w:szCs w:val="21"/>
        </w:rPr>
        <w:t>对列入失信</w:t>
      </w:r>
      <w:r>
        <w:rPr>
          <w:rFonts w:asciiTheme="minorEastAsia" w:hAnsiTheme="minorEastAsia" w:eastAsiaTheme="minorEastAsia"/>
          <w:szCs w:val="21"/>
        </w:rPr>
        <w:t>“</w:t>
      </w:r>
      <w:r>
        <w:rPr>
          <w:rFonts w:hint="eastAsia" w:asciiTheme="minorEastAsia" w:hAnsiTheme="minorEastAsia" w:eastAsiaTheme="minorEastAsia"/>
          <w:szCs w:val="21"/>
        </w:rPr>
        <w:t>黑名单</w:t>
      </w:r>
      <w:r>
        <w:rPr>
          <w:rFonts w:asciiTheme="minorEastAsia" w:hAnsiTheme="minorEastAsia" w:eastAsiaTheme="minorEastAsia"/>
          <w:szCs w:val="21"/>
        </w:rPr>
        <w:t>”</w:t>
      </w:r>
      <w:r>
        <w:rPr>
          <w:rFonts w:hint="eastAsia" w:asciiTheme="minorEastAsia" w:hAnsiTheme="minorEastAsia" w:eastAsiaTheme="minorEastAsia"/>
          <w:szCs w:val="21"/>
        </w:rPr>
        <w:t>的</w:t>
      </w:r>
      <w:bookmarkStart w:id="154" w:name="_Hlk21591509"/>
      <w:r>
        <w:rPr>
          <w:rFonts w:hint="eastAsia" w:asciiTheme="minorEastAsia" w:hAnsiTheme="minorEastAsia" w:eastAsiaTheme="minorEastAsia"/>
          <w:szCs w:val="21"/>
        </w:rPr>
        <w:t>供应商限制参与政府采购</w:t>
      </w:r>
      <w:bookmarkEnd w:id="154"/>
      <w:r>
        <w:rPr>
          <w:rFonts w:hint="eastAsia" w:asciiTheme="minorEastAsia" w:hAnsiTheme="minorEastAsia" w:eastAsiaTheme="minorEastAsia"/>
          <w:szCs w:val="21"/>
        </w:rPr>
        <w:t>。</w:t>
      </w:r>
      <w:r>
        <w:rPr>
          <w:rFonts w:hint="eastAsia" w:cs="宋体" w:asciiTheme="minorEastAsia" w:hAnsiTheme="minorEastAsia" w:eastAsiaTheme="minorEastAsia"/>
          <w:bCs/>
          <w:szCs w:val="21"/>
        </w:rPr>
        <w:t>供应商诚信查询方式：</w:t>
      </w:r>
      <w:r>
        <w:rPr>
          <w:rFonts w:asciiTheme="minorEastAsia" w:hAnsiTheme="minorEastAsia" w:eastAsiaTheme="minorEastAsia"/>
          <w:szCs w:val="21"/>
        </w:rPr>
        <w:t>“信用中国”网站(</w:t>
      </w:r>
      <w:r>
        <w:fldChar w:fldCharType="begin"/>
      </w:r>
      <w:r>
        <w:instrText xml:space="preserve"> HYPERLINK "http://www.creditchina.gov.cn" </w:instrText>
      </w:r>
      <w:r>
        <w:fldChar w:fldCharType="separate"/>
      </w:r>
      <w:r>
        <w:rPr>
          <w:rStyle w:val="43"/>
          <w:rFonts w:asciiTheme="minorEastAsia" w:hAnsiTheme="minorEastAsia" w:eastAsiaTheme="minorEastAsia"/>
          <w:color w:val="auto"/>
          <w:sz w:val="21"/>
          <w:szCs w:val="21"/>
        </w:rPr>
        <w:t>www.creditchina.gov.cn</w:t>
      </w:r>
      <w:r>
        <w:rPr>
          <w:rStyle w:val="43"/>
          <w:rFonts w:asciiTheme="minorEastAsia" w:hAnsiTheme="minorEastAsia" w:eastAsiaTheme="minorEastAsia"/>
          <w:color w:val="auto"/>
          <w:sz w:val="21"/>
          <w:szCs w:val="21"/>
        </w:rPr>
        <w:fldChar w:fldCharType="end"/>
      </w:r>
      <w:r>
        <w:rPr>
          <w:rFonts w:asciiTheme="minorEastAsia" w:hAnsiTheme="minorEastAsia" w:eastAsiaTheme="minorEastAsia"/>
          <w:szCs w:val="21"/>
        </w:rPr>
        <w:t>)</w:t>
      </w:r>
      <w:r>
        <w:rPr>
          <w:rFonts w:hint="eastAsia" w:asciiTheme="minorEastAsia" w:hAnsiTheme="minorEastAsia" w:eastAsiaTheme="minorEastAsia"/>
          <w:szCs w:val="21"/>
        </w:rPr>
        <w:t>没有以下任意记录名单之一：①</w:t>
      </w:r>
      <w:r>
        <w:rPr>
          <w:rFonts w:asciiTheme="minorEastAsia" w:hAnsiTheme="minorEastAsia" w:eastAsiaTheme="minorEastAsia"/>
          <w:szCs w:val="21"/>
        </w:rPr>
        <w:t>记录失信被执行人</w:t>
      </w:r>
      <w:r>
        <w:rPr>
          <w:rFonts w:hint="eastAsia" w:asciiTheme="minorEastAsia" w:hAnsiTheme="minorEastAsia" w:eastAsiaTheme="minorEastAsia"/>
          <w:szCs w:val="21"/>
        </w:rPr>
        <w:t>；②</w:t>
      </w:r>
      <w:r>
        <w:rPr>
          <w:rFonts w:asciiTheme="minorEastAsia" w:hAnsiTheme="minorEastAsia" w:eastAsiaTheme="minorEastAsia"/>
          <w:szCs w:val="21"/>
        </w:rPr>
        <w:t>重大税收违法案件当事人名单</w:t>
      </w:r>
      <w:r>
        <w:rPr>
          <w:rFonts w:hint="eastAsia" w:asciiTheme="minorEastAsia" w:hAnsiTheme="minorEastAsia" w:eastAsiaTheme="minorEastAsia"/>
          <w:szCs w:val="21"/>
        </w:rPr>
        <w:t>；</w:t>
      </w:r>
      <w:r>
        <w:rPr>
          <w:rFonts w:asciiTheme="minorEastAsia" w:hAnsiTheme="minorEastAsia" w:eastAsiaTheme="minorEastAsia"/>
          <w:szCs w:val="21"/>
        </w:rPr>
        <w:t>中国政府采购网(www.ccgp.gov.cn)不处于“政府采购严重违法失信行为信息记录”中的禁止参加政府采购活动期间</w:t>
      </w:r>
      <w:r>
        <w:rPr>
          <w:rFonts w:hint="eastAsia" w:asciiTheme="minorEastAsia" w:hAnsiTheme="minorEastAsia" w:eastAsiaTheme="minorEastAsia"/>
          <w:szCs w:val="21"/>
        </w:rPr>
        <w:t>；</w:t>
      </w:r>
      <w:bookmarkEnd w:id="153"/>
      <w:r>
        <w:rPr>
          <w:rFonts w:hint="eastAsia" w:asciiTheme="minorEastAsia" w:hAnsiTheme="minorEastAsia" w:eastAsiaTheme="minorEastAsia"/>
          <w:szCs w:val="21"/>
        </w:rPr>
        <w:t>在深圳信用网（</w:t>
      </w:r>
      <w:r>
        <w:rPr>
          <w:rFonts w:asciiTheme="minorEastAsia" w:hAnsiTheme="minorEastAsia" w:eastAsiaTheme="minorEastAsia"/>
          <w:szCs w:val="21"/>
        </w:rPr>
        <w:t>https://www.szcredit.com.cn</w:t>
      </w:r>
      <w:r>
        <w:rPr>
          <w:rFonts w:hint="eastAsia" w:asciiTheme="minorEastAsia" w:hAnsiTheme="minorEastAsia" w:eastAsiaTheme="minorEastAsia"/>
          <w:szCs w:val="21"/>
        </w:rPr>
        <w:t>）、</w:t>
      </w:r>
      <w:r>
        <w:rPr>
          <w:rFonts w:hint="eastAsia" w:cs="宋体" w:asciiTheme="minorEastAsia" w:hAnsiTheme="minorEastAsia" w:eastAsiaTheme="minorEastAsia"/>
          <w:bCs/>
          <w:szCs w:val="21"/>
        </w:rPr>
        <w:t>深圳市政府采购监督管理网（zfcg.sz.gov.cn）查询相关主体信用记录，对不符合《中华人民共和国政府采购法》第二十二条规定条件的供应商限制参与政府采购。本项目不接受</w:t>
      </w:r>
      <w:r>
        <w:rPr>
          <w:rFonts w:hint="eastAsia" w:cs="宋体" w:asciiTheme="minorEastAsia" w:hAnsiTheme="minorEastAsia" w:eastAsiaTheme="minorEastAsia"/>
          <w:szCs w:val="21"/>
        </w:rPr>
        <w:t>联合体投标</w:t>
      </w:r>
      <w:r>
        <w:rPr>
          <w:rFonts w:cs="宋体" w:asciiTheme="minorEastAsia" w:hAnsiTheme="minorEastAsia" w:eastAsiaTheme="minorEastAsia"/>
          <w:szCs w:val="21"/>
        </w:rPr>
        <w:t>。</w:t>
      </w:r>
      <w:r>
        <w:rPr>
          <w:rFonts w:cs="宋体" w:asciiTheme="minorEastAsia" w:hAnsiTheme="minorEastAsia" w:eastAsiaTheme="minorEastAsia"/>
          <w:bCs/>
          <w:szCs w:val="21"/>
        </w:rPr>
        <w:t>如在上述网站查询结果均显示没有相关记录，视为</w:t>
      </w:r>
      <w:r>
        <w:rPr>
          <w:rFonts w:hint="eastAsia" w:cs="宋体" w:asciiTheme="minorEastAsia" w:hAnsiTheme="minorEastAsia" w:eastAsiaTheme="minorEastAsia"/>
          <w:bCs/>
          <w:szCs w:val="21"/>
        </w:rPr>
        <w:t>不存在</w:t>
      </w:r>
      <w:r>
        <w:rPr>
          <w:rFonts w:cs="宋体" w:asciiTheme="minorEastAsia" w:hAnsiTheme="minorEastAsia" w:eastAsiaTheme="minorEastAsia"/>
          <w:bCs/>
          <w:szCs w:val="21"/>
        </w:rPr>
        <w:t>上述不良信用记录</w:t>
      </w:r>
      <w:r>
        <w:rPr>
          <w:rFonts w:hint="eastAsia" w:cs="宋体" w:asciiTheme="minorEastAsia" w:hAnsiTheme="minorEastAsia" w:eastAsiaTheme="minorEastAsia"/>
          <w:bCs/>
          <w:szCs w:val="21"/>
        </w:rPr>
        <w:t>。由采购人对信用信息查询记录和证据截图或下载存档，</w:t>
      </w:r>
      <w:r>
        <w:rPr>
          <w:rFonts w:hint="eastAsia" w:asciiTheme="minorEastAsia" w:hAnsiTheme="minorEastAsia" w:eastAsiaTheme="minorEastAsia"/>
          <w:szCs w:val="21"/>
        </w:rPr>
        <w:t>相关信息以开标当日的查询结果为准。信用信息查询记录应当作为项目档案材料一并保存。</w:t>
      </w:r>
    </w:p>
    <w:p>
      <w:pPr>
        <w:pStyle w:val="3"/>
        <w:numPr>
          <w:ilvl w:val="0"/>
          <w:numId w:val="13"/>
        </w:numPr>
        <w:spacing w:line="240" w:lineRule="auto"/>
        <w:jc w:val="center"/>
        <w:rPr>
          <w:rFonts w:asciiTheme="majorEastAsia" w:hAnsiTheme="majorEastAsia" w:eastAsiaTheme="majorEastAsia"/>
          <w:sz w:val="30"/>
          <w:szCs w:val="30"/>
          <w:lang w:eastAsia="zh-TW"/>
        </w:rPr>
      </w:pPr>
      <w:bookmarkStart w:id="155" w:name="_Toc435516651"/>
      <w:bookmarkStart w:id="156" w:name="_Toc435174934"/>
      <w:bookmarkStart w:id="157" w:name="_Toc438223137"/>
      <w:bookmarkStart w:id="158" w:name="_Toc77947890"/>
      <w:bookmarkStart w:id="159" w:name="_Toc21826"/>
      <w:r>
        <w:rPr>
          <w:rFonts w:hint="eastAsia" w:asciiTheme="majorEastAsia" w:hAnsiTheme="majorEastAsia" w:eastAsiaTheme="majorEastAsia"/>
          <w:sz w:val="30"/>
          <w:szCs w:val="30"/>
          <w:lang w:eastAsia="zh-TW"/>
        </w:rPr>
        <w:t>招标文件</w:t>
      </w:r>
      <w:bookmarkEnd w:id="155"/>
      <w:bookmarkEnd w:id="156"/>
      <w:bookmarkEnd w:id="157"/>
      <w:bookmarkEnd w:id="158"/>
      <w:bookmarkEnd w:id="159"/>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60" w:name="_Toc23967"/>
      <w:r>
        <w:rPr>
          <w:rFonts w:hint="eastAsia" w:ascii="宋体" w:hAnsi="宋体"/>
          <w:b/>
          <w:bCs/>
          <w:szCs w:val="21"/>
        </w:rPr>
        <w:t>招标文件的构成</w:t>
      </w:r>
      <w:bookmarkEnd w:id="160"/>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招标文件以中文文字编写。招标文件共</w:t>
      </w:r>
      <w:r>
        <w:rPr>
          <w:rFonts w:hint="eastAsia" w:ascii="宋体" w:hAnsi="宋体" w:cs="宋体"/>
          <w:szCs w:val="21"/>
        </w:rPr>
        <w:t>七</w:t>
      </w:r>
      <w:r>
        <w:rPr>
          <w:rFonts w:hint="eastAsia" w:ascii="宋体" w:hAnsi="宋体" w:cs="宋体"/>
          <w:szCs w:val="21"/>
          <w:lang w:eastAsia="zh-TW"/>
        </w:rPr>
        <w:t>章。</w:t>
      </w:r>
      <w:r>
        <w:rPr>
          <w:rFonts w:hint="eastAsia" w:ascii="宋体" w:hAnsi="宋体" w:cs="宋体"/>
          <w:szCs w:val="21"/>
        </w:rPr>
        <w:t>由下列文件以及在招标过程中发出的澄清、修改和补充文件组成，</w:t>
      </w:r>
      <w:r>
        <w:rPr>
          <w:rFonts w:hint="eastAsia" w:ascii="宋体" w:hAnsi="宋体" w:cs="宋体"/>
          <w:szCs w:val="21"/>
          <w:lang w:eastAsia="zh-TW"/>
        </w:rPr>
        <w:t>内容如下</w:t>
      </w:r>
      <w:r>
        <w:rPr>
          <w:rFonts w:hint="eastAsia" w:ascii="宋体" w:hAnsi="宋体" w:cs="宋体"/>
          <w:szCs w:val="21"/>
        </w:rPr>
        <w:t>：</w:t>
      </w:r>
    </w:p>
    <w:p>
      <w:pPr>
        <w:snapToGrid w:val="0"/>
        <w:spacing w:line="360" w:lineRule="auto"/>
        <w:ind w:left="445" w:leftChars="212" w:firstLine="1"/>
        <w:rPr>
          <w:rFonts w:ascii="宋体" w:hAnsi="宋体"/>
          <w:szCs w:val="21"/>
        </w:rPr>
      </w:pPr>
      <w:r>
        <w:rPr>
          <w:rFonts w:hint="eastAsia" w:ascii="宋体" w:hAnsi="宋体" w:cs="宋体"/>
          <w:szCs w:val="21"/>
          <w:lang w:eastAsia="zh-TW"/>
        </w:rPr>
        <w:t>第一章</w:t>
      </w:r>
      <w:r>
        <w:rPr>
          <w:rFonts w:hint="eastAsia" w:ascii="宋体" w:hAnsi="宋体" w:cs="宋体"/>
          <w:szCs w:val="21"/>
        </w:rPr>
        <w:t>　</w:t>
      </w:r>
      <w:r>
        <w:rPr>
          <w:rFonts w:hint="eastAsia" w:ascii="宋体" w:hAnsi="宋体" w:cs="宋体"/>
          <w:szCs w:val="21"/>
          <w:lang w:eastAsia="zh-TW"/>
        </w:rPr>
        <w:t>投标邀请</w:t>
      </w:r>
    </w:p>
    <w:p>
      <w:pPr>
        <w:snapToGrid w:val="0"/>
        <w:spacing w:line="360" w:lineRule="auto"/>
        <w:ind w:left="445" w:leftChars="212" w:firstLine="1"/>
        <w:rPr>
          <w:rFonts w:ascii="宋体" w:hAnsi="宋体"/>
          <w:szCs w:val="21"/>
        </w:rPr>
      </w:pPr>
      <w:r>
        <w:rPr>
          <w:rFonts w:hint="eastAsia" w:ascii="宋体" w:hAnsi="宋体" w:cs="宋体"/>
          <w:szCs w:val="21"/>
          <w:lang w:eastAsia="zh-TW"/>
        </w:rPr>
        <w:t>第二章</w:t>
      </w:r>
      <w:r>
        <w:rPr>
          <w:rFonts w:hint="eastAsia" w:ascii="宋体" w:hAnsi="宋体" w:cs="宋体"/>
          <w:szCs w:val="21"/>
        </w:rPr>
        <w:t>　</w:t>
      </w:r>
      <w:r>
        <w:rPr>
          <w:rFonts w:hint="eastAsia" w:ascii="宋体" w:hAnsi="宋体" w:cs="宋体"/>
          <w:szCs w:val="21"/>
          <w:lang w:eastAsia="zh-TW"/>
        </w:rPr>
        <w:t>投标资料表</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三</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用户需求书</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四</w:t>
      </w:r>
      <w:r>
        <w:rPr>
          <w:rFonts w:hint="eastAsia" w:ascii="宋体" w:hAnsi="宋体" w:cs="宋体"/>
          <w:szCs w:val="21"/>
          <w:lang w:eastAsia="zh-TW"/>
        </w:rPr>
        <w:t>章</w:t>
      </w:r>
      <w:r>
        <w:rPr>
          <w:rFonts w:hint="eastAsia" w:ascii="宋体" w:hAnsi="宋体" w:cs="宋体"/>
          <w:szCs w:val="21"/>
        </w:rPr>
        <w:t>　评标、定标</w:t>
      </w:r>
    </w:p>
    <w:p>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五</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合同</w:t>
      </w:r>
      <w:r>
        <w:rPr>
          <w:rFonts w:hint="eastAsia" w:ascii="宋体" w:hAnsi="宋体" w:cs="宋体"/>
          <w:szCs w:val="21"/>
        </w:rPr>
        <w:t>文本</w:t>
      </w:r>
    </w:p>
    <w:p>
      <w:pPr>
        <w:snapToGrid w:val="0"/>
        <w:spacing w:line="360" w:lineRule="auto"/>
        <w:ind w:left="445" w:leftChars="212" w:firstLine="1"/>
        <w:rPr>
          <w:rFonts w:ascii="宋体" w:hAnsi="宋体" w:cs="宋体"/>
          <w:szCs w:val="21"/>
        </w:rPr>
      </w:pPr>
      <w:r>
        <w:rPr>
          <w:rFonts w:hint="eastAsia" w:ascii="宋体" w:hAnsi="宋体" w:cs="宋体"/>
          <w:szCs w:val="21"/>
          <w:lang w:eastAsia="zh-TW"/>
        </w:rPr>
        <w:t>第</w:t>
      </w:r>
      <w:r>
        <w:rPr>
          <w:rFonts w:hint="eastAsia" w:ascii="宋体" w:hAnsi="宋体" w:cs="宋体"/>
          <w:szCs w:val="21"/>
        </w:rPr>
        <w:t>六</w:t>
      </w:r>
      <w:r>
        <w:rPr>
          <w:rFonts w:hint="eastAsia" w:ascii="宋体" w:hAnsi="宋体" w:cs="宋体"/>
          <w:szCs w:val="21"/>
          <w:lang w:eastAsia="zh-TW"/>
        </w:rPr>
        <w:t>章</w:t>
      </w:r>
      <w:r>
        <w:rPr>
          <w:rFonts w:hint="eastAsia" w:ascii="宋体" w:hAnsi="宋体" w:cs="宋体"/>
          <w:szCs w:val="21"/>
        </w:rPr>
        <w:t>　投标文件格式</w:t>
      </w:r>
    </w:p>
    <w:p>
      <w:pPr>
        <w:snapToGrid w:val="0"/>
        <w:spacing w:line="360" w:lineRule="auto"/>
        <w:ind w:left="445" w:leftChars="212" w:firstLine="1"/>
        <w:rPr>
          <w:rFonts w:ascii="宋体" w:hAnsi="宋体"/>
          <w:szCs w:val="21"/>
        </w:rPr>
      </w:pPr>
      <w:r>
        <w:rPr>
          <w:rFonts w:hint="eastAsia" w:ascii="宋体" w:hAnsi="宋体" w:cs="宋体"/>
          <w:szCs w:val="21"/>
        </w:rPr>
        <w:t>第七章　</w:t>
      </w:r>
      <w:r>
        <w:rPr>
          <w:rFonts w:hint="eastAsia" w:ascii="宋体" w:hAnsi="宋体" w:cs="宋体"/>
          <w:szCs w:val="21"/>
          <w:lang w:eastAsia="zh-TW"/>
        </w:rPr>
        <w:t>投标人须知</w:t>
      </w:r>
    </w:p>
    <w:p>
      <w:pPr>
        <w:numPr>
          <w:ilvl w:val="1"/>
          <w:numId w:val="1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采联国际招标采购集团有限公司</w:t>
      </w:r>
      <w:r>
        <w:rPr>
          <w:rFonts w:hint="eastAsia" w:ascii="宋体" w:hAnsi="宋体" w:cs="宋体"/>
          <w:szCs w:val="21"/>
          <w:lang w:eastAsia="zh-TW"/>
        </w:rPr>
        <w:t>”所有。</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61" w:name="_Toc9423"/>
      <w:r>
        <w:rPr>
          <w:rFonts w:hint="eastAsia" w:ascii="宋体" w:hAnsi="宋体"/>
          <w:b/>
          <w:bCs/>
          <w:szCs w:val="21"/>
        </w:rPr>
        <w:t>招标文件的澄清或修改</w:t>
      </w:r>
      <w:bookmarkEnd w:id="161"/>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采购人可以对已发出的招标文件进行必要的澄清或者修改。澄清或者修改应当在原公告发布媒体上发布澄清</w:t>
      </w:r>
      <w:r>
        <w:rPr>
          <w:rFonts w:hint="eastAsia" w:ascii="宋体" w:hAnsi="宋体"/>
          <w:szCs w:val="21"/>
        </w:rPr>
        <w:t>（更正/变更）</w:t>
      </w:r>
      <w:r>
        <w:rPr>
          <w:rFonts w:hint="eastAsia" w:ascii="宋体" w:hAnsi="宋体" w:cs="宋体"/>
          <w:szCs w:val="21"/>
          <w:lang w:eastAsia="zh-TW"/>
        </w:rPr>
        <w:t>公告。</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无论出于何种原因</w:t>
      </w:r>
      <w:r>
        <w:rPr>
          <w:rFonts w:hint="eastAsia" w:ascii="宋体" w:hAnsi="宋体" w:cs="宋体"/>
          <w:szCs w:val="21"/>
        </w:rPr>
        <w:t>，</w:t>
      </w:r>
      <w:r>
        <w:rPr>
          <w:rFonts w:hint="eastAsia" w:ascii="宋体" w:hAnsi="宋体" w:cs="宋体"/>
          <w:szCs w:val="21"/>
          <w:lang w:eastAsia="zh-TW"/>
        </w:rPr>
        <w:t>采购人可以主动地或在解答投标人提出的疑问时对已发出的招标文件进行必要的</w:t>
      </w:r>
      <w:r>
        <w:rPr>
          <w:rFonts w:hint="eastAsia" w:ascii="宋体" w:hAnsi="宋体"/>
          <w:szCs w:val="21"/>
        </w:rPr>
        <w:t>澄清或</w:t>
      </w:r>
      <w:r>
        <w:rPr>
          <w:rFonts w:hint="eastAsia" w:ascii="宋体" w:hAnsi="宋体" w:cs="宋体"/>
          <w:szCs w:val="21"/>
          <w:lang w:eastAsia="zh-TW"/>
        </w:rPr>
        <w:t>修改</w:t>
      </w:r>
      <w:r>
        <w:rPr>
          <w:rFonts w:hint="eastAsia" w:ascii="宋体" w:hAnsi="宋体"/>
          <w:szCs w:val="21"/>
        </w:rPr>
        <w:t>（更正）</w:t>
      </w:r>
      <w:r>
        <w:rPr>
          <w:rFonts w:hint="eastAsia" w:ascii="宋体" w:hAnsi="宋体" w:cs="宋体"/>
          <w:szCs w:val="21"/>
        </w:rPr>
        <w:t>的</w:t>
      </w:r>
      <w:r>
        <w:rPr>
          <w:rFonts w:hint="eastAsia" w:ascii="宋体" w:hAnsi="宋体"/>
          <w:szCs w:val="21"/>
        </w:rPr>
        <w:t>，于投标截止时间前在指定媒体上发布公告，并通知所有报名的投标</w:t>
      </w:r>
      <w:r>
        <w:rPr>
          <w:rFonts w:hint="eastAsia" w:ascii="宋体" w:hAnsi="宋体" w:cs="宋体"/>
          <w:szCs w:val="21"/>
        </w:rPr>
        <w:t>人</w:t>
      </w:r>
      <w:r>
        <w:rPr>
          <w:rFonts w:hint="eastAsia" w:ascii="宋体" w:hAnsi="宋体"/>
          <w:szCs w:val="21"/>
        </w:rPr>
        <w:t>，报名的投标人在收到澄清或修改（更正）通知后应按要求以书面形式（传真有效）予以确认，</w:t>
      </w:r>
      <w:r>
        <w:rPr>
          <w:rFonts w:hint="eastAsia" w:ascii="宋体" w:hAnsi="宋体" w:cs="宋体"/>
          <w:szCs w:val="21"/>
          <w:lang w:eastAsia="zh-TW"/>
        </w:rPr>
        <w:t>如在24小时之内无书面回函则视为同意修改内容，并有责任履行相应的义务。</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w:t>
      </w:r>
      <w:r>
        <w:rPr>
          <w:rFonts w:hint="eastAsia" w:ascii="宋体" w:hAnsi="宋体" w:cs="宋体"/>
          <w:szCs w:val="21"/>
        </w:rPr>
        <w:t>发出的</w:t>
      </w:r>
      <w:r>
        <w:rPr>
          <w:rFonts w:hint="eastAsia" w:ascii="宋体" w:hAnsi="宋体"/>
          <w:szCs w:val="21"/>
        </w:rPr>
        <w:t>澄清或修改（更正/变更）的内容为招标文件的组成部分，</w:t>
      </w:r>
      <w:r>
        <w:rPr>
          <w:rFonts w:hint="eastAsia" w:ascii="宋体" w:hAnsi="宋体" w:cs="宋体"/>
          <w:szCs w:val="21"/>
          <w:lang w:eastAsia="zh-TW"/>
        </w:rPr>
        <w:t>并对供应商具有约束力</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14"/>
        </w:numPr>
        <w:autoSpaceDE w:val="0"/>
        <w:autoSpaceDN w:val="0"/>
        <w:adjustRightInd w:val="0"/>
        <w:snapToGrid w:val="0"/>
        <w:spacing w:line="360" w:lineRule="auto"/>
        <w:ind w:left="449" w:hanging="449" w:hangingChars="213"/>
        <w:outlineLvl w:val="2"/>
        <w:rPr>
          <w:rFonts w:ascii="宋体" w:hAnsi="宋体" w:cs="宋体"/>
          <w:szCs w:val="21"/>
        </w:rPr>
      </w:pPr>
      <w:bookmarkStart w:id="162" w:name="_Toc32090"/>
      <w:r>
        <w:rPr>
          <w:rFonts w:hint="eastAsia" w:ascii="宋体" w:hAnsi="宋体"/>
          <w:b/>
          <w:bCs/>
          <w:szCs w:val="21"/>
        </w:rPr>
        <w:t>现场考察或者召开开标前答疑会</w:t>
      </w:r>
      <w:bookmarkEnd w:id="162"/>
    </w:p>
    <w:p>
      <w:pPr>
        <w:numPr>
          <w:ilvl w:val="1"/>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除非</w:t>
      </w:r>
      <w:r>
        <w:rPr>
          <w:rFonts w:hint="eastAsia" w:ascii="宋体" w:hAnsi="宋体" w:cs="黑体"/>
          <w:b/>
          <w:szCs w:val="21"/>
        </w:rPr>
        <w:t>投标资料表</w:t>
      </w:r>
      <w:r>
        <w:rPr>
          <w:rFonts w:hint="eastAsia" w:ascii="宋体" w:hAnsi="宋体" w:cs="宋体"/>
          <w:szCs w:val="21"/>
        </w:rPr>
        <w:t>中另有规定，不举行项目</w:t>
      </w:r>
      <w:r>
        <w:rPr>
          <w:rFonts w:hint="eastAsia" w:ascii="宋体" w:hAnsi="宋体"/>
          <w:bCs/>
          <w:szCs w:val="21"/>
        </w:rPr>
        <w:t>现场考察或者召开评标前答疑会</w:t>
      </w:r>
      <w:r>
        <w:rPr>
          <w:rFonts w:hint="eastAsia" w:ascii="宋体" w:hAnsi="宋体" w:cs="宋体"/>
          <w:szCs w:val="21"/>
        </w:rPr>
        <w:t>，如举行</w:t>
      </w:r>
      <w:r>
        <w:rPr>
          <w:rFonts w:hint="eastAsia" w:ascii="宋体" w:hAnsi="宋体"/>
          <w:bCs/>
          <w:szCs w:val="21"/>
        </w:rPr>
        <w:t>现场考察或者召开评标前答疑会</w:t>
      </w:r>
      <w:r>
        <w:rPr>
          <w:rFonts w:hint="eastAsia" w:ascii="宋体" w:hAnsi="宋体" w:cs="宋体"/>
          <w:szCs w:val="21"/>
        </w:rPr>
        <w:t>的，则按以下规定：</w:t>
      </w:r>
    </w:p>
    <w:p>
      <w:pPr>
        <w:numPr>
          <w:ilvl w:val="2"/>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szCs w:val="21"/>
          <w:lang w:eastAsia="zh-TW"/>
        </w:rPr>
        <w:t>投标资料表</w:t>
      </w:r>
      <w:r>
        <w:rPr>
          <w:rFonts w:hint="eastAsia" w:ascii="宋体" w:hAnsi="宋体" w:cs="宋体"/>
          <w:szCs w:val="21"/>
        </w:rPr>
        <w:t>中规定的日期、时间和地点组织</w:t>
      </w:r>
      <w:r>
        <w:rPr>
          <w:rFonts w:hint="eastAsia" w:ascii="宋体" w:hAnsi="宋体"/>
          <w:bCs/>
          <w:szCs w:val="21"/>
        </w:rPr>
        <w:t>现场考察或者召开开标前答疑会</w:t>
      </w:r>
      <w:r>
        <w:rPr>
          <w:rFonts w:hint="eastAsia" w:ascii="宋体" w:hAnsi="宋体" w:cs="宋体"/>
          <w:szCs w:val="21"/>
        </w:rPr>
        <w:t>；</w:t>
      </w:r>
    </w:p>
    <w:p>
      <w:pPr>
        <w:numPr>
          <w:ilvl w:val="2"/>
          <w:numId w:val="1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rPr>
        <w:t>供应商</w:t>
      </w:r>
      <w:r>
        <w:rPr>
          <w:rFonts w:hint="eastAsia" w:ascii="宋体" w:hAnsi="宋体" w:cs="宋体"/>
          <w:szCs w:val="21"/>
          <w:lang w:eastAsia="zh-TW"/>
        </w:rPr>
        <w:t>对本项目提出的疑问，</w:t>
      </w:r>
      <w:r>
        <w:rPr>
          <w:rFonts w:hint="eastAsia" w:ascii="宋体" w:hAnsi="宋体" w:cs="宋体"/>
          <w:szCs w:val="21"/>
        </w:rPr>
        <w:t>可</w:t>
      </w:r>
      <w:r>
        <w:rPr>
          <w:rFonts w:hint="eastAsia" w:ascii="宋体" w:hAnsi="宋体" w:cs="宋体"/>
          <w:szCs w:val="21"/>
          <w:lang w:eastAsia="zh-TW"/>
        </w:rPr>
        <w:t>在</w:t>
      </w:r>
      <w:r>
        <w:rPr>
          <w:rFonts w:hint="eastAsia" w:ascii="宋体" w:hAnsi="宋体"/>
          <w:bCs/>
          <w:szCs w:val="21"/>
        </w:rPr>
        <w:t>现场考察或者召开开标前答疑会</w:t>
      </w:r>
      <w:r>
        <w:rPr>
          <w:rFonts w:hint="eastAsia" w:ascii="宋体" w:hAnsi="宋体" w:cs="宋体"/>
          <w:szCs w:val="21"/>
          <w:lang w:eastAsia="zh-TW"/>
        </w:rPr>
        <w:t>召开日前至少一个工作日将问题清单以书面形式（加盖公章）提交至采购人。</w:t>
      </w:r>
    </w:p>
    <w:p>
      <w:pPr>
        <w:pStyle w:val="3"/>
        <w:numPr>
          <w:ilvl w:val="0"/>
          <w:numId w:val="13"/>
        </w:numPr>
        <w:spacing w:line="240" w:lineRule="auto"/>
        <w:jc w:val="center"/>
        <w:rPr>
          <w:rFonts w:asciiTheme="majorEastAsia" w:hAnsiTheme="majorEastAsia" w:eastAsiaTheme="majorEastAsia"/>
          <w:sz w:val="30"/>
          <w:szCs w:val="30"/>
          <w:lang w:eastAsia="zh-TW"/>
        </w:rPr>
      </w:pPr>
      <w:bookmarkStart w:id="163" w:name="_Toc435516652"/>
      <w:bookmarkStart w:id="164" w:name="_Toc435174935"/>
      <w:bookmarkStart w:id="165" w:name="_Toc15510"/>
      <w:bookmarkStart w:id="166" w:name="_Toc438223138"/>
      <w:bookmarkStart w:id="167" w:name="_Toc77947891"/>
      <w:r>
        <w:rPr>
          <w:rFonts w:hint="eastAsia" w:asciiTheme="majorEastAsia" w:hAnsiTheme="majorEastAsia" w:eastAsiaTheme="majorEastAsia"/>
          <w:sz w:val="30"/>
          <w:szCs w:val="30"/>
          <w:lang w:eastAsia="zh-TW"/>
        </w:rPr>
        <w:t>投标文件的编制</w:t>
      </w:r>
      <w:bookmarkEnd w:id="163"/>
      <w:bookmarkEnd w:id="164"/>
      <w:bookmarkEnd w:id="165"/>
      <w:bookmarkEnd w:id="166"/>
      <w:bookmarkEnd w:id="167"/>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68" w:name="_Toc27317"/>
      <w:r>
        <w:rPr>
          <w:rFonts w:hint="eastAsia" w:ascii="宋体" w:hAnsi="宋体"/>
          <w:b/>
          <w:bCs/>
          <w:szCs w:val="21"/>
        </w:rPr>
        <w:t>投标的语言</w:t>
      </w:r>
      <w:bookmarkEnd w:id="168"/>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投标人提交的投标文件以及投标人与采购人就有关投标的所有来往函电均应使用中文书写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标人提交的支持文件或印刷的资料可以用另一种语言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，由翻译机构盖章或者翻译人员签名。</w:t>
      </w:r>
      <w:r>
        <w:rPr>
          <w:rFonts w:hint="eastAsia" w:ascii="宋体" w:hAnsi="宋体"/>
        </w:rPr>
        <w:t>两种语言不一致时以中文翻译本为准。</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69" w:name="_Toc2446"/>
      <w:r>
        <w:rPr>
          <w:rFonts w:hint="eastAsia" w:ascii="宋体" w:hAnsi="宋体"/>
          <w:b/>
          <w:bCs/>
          <w:szCs w:val="21"/>
        </w:rPr>
        <w:t>投标文件的构成</w:t>
      </w:r>
      <w:bookmarkEnd w:id="169"/>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资格性文件、符合性文件、技术文件、商务文件等</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0" w:name="_Toc11091"/>
      <w:r>
        <w:rPr>
          <w:rFonts w:hint="eastAsia" w:ascii="宋体" w:hAnsi="宋体"/>
          <w:b/>
          <w:bCs/>
          <w:szCs w:val="21"/>
        </w:rPr>
        <w:t>投标文件的编写</w:t>
      </w:r>
      <w:bookmarkEnd w:id="170"/>
    </w:p>
    <w:p>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cs="宋体"/>
          <w:szCs w:val="21"/>
        </w:rPr>
        <w:t>密封</w:t>
      </w:r>
      <w:r>
        <w:rPr>
          <w:rFonts w:hint="eastAsia" w:ascii="宋体" w:hAnsi="宋体" w:cs="宋体"/>
          <w:szCs w:val="21"/>
          <w:lang w:eastAsia="zh-TW"/>
        </w:rPr>
        <w:t>。投标人应当对投标文件进行装订，对未经装订的投标文件可能发生的文件散落或缺损，由此造成的后果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1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投标人必须对投标文件所提供的全部资料的真实性承担法律责任，并无条件接受采购人或者采购人或者</w:t>
      </w:r>
      <w:r>
        <w:rPr>
          <w:rFonts w:hint="eastAsia" w:ascii="宋体" w:hAnsi="宋体"/>
          <w:szCs w:val="21"/>
        </w:rPr>
        <w:t>政府采购监督管理部门</w:t>
      </w:r>
      <w:r>
        <w:rPr>
          <w:rFonts w:hint="eastAsia" w:ascii="宋体" w:hAnsi="宋体" w:cs="宋体"/>
          <w:szCs w:val="21"/>
          <w:lang w:eastAsia="zh-TW"/>
        </w:rPr>
        <w:t>对其中任何资料进行核实的要求。</w:t>
      </w:r>
    </w:p>
    <w:p>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w:t>
      </w:r>
      <w:bookmarkStart w:id="196" w:name="_GoBack"/>
      <w:bookmarkEnd w:id="196"/>
      <w:r>
        <w:rPr>
          <w:rFonts w:hint="eastAsia" w:ascii="宋体" w:hAnsi="宋体" w:cs="宋体"/>
          <w:szCs w:val="21"/>
          <w:lang w:eastAsia="zh-TW"/>
        </w:rPr>
        <w:t>并充分理解招标文件的全部内容（包括所有的补充、修改内容重要事项、格式、条款和技术规范、参数及要求等）。投标人没有按照招标文件要求提交资料，或者投标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出实质性响应是投标人的风险，有可能导致其投标被认定为无效投标或被确定为投标无效。</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1" w:name="_Toc23174"/>
      <w:r>
        <w:rPr>
          <w:rFonts w:hint="eastAsia" w:ascii="宋体" w:hAnsi="宋体"/>
          <w:b/>
          <w:bCs/>
          <w:szCs w:val="21"/>
        </w:rPr>
        <w:t>联合体投标</w:t>
      </w:r>
      <w:bookmarkEnd w:id="171"/>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pPr>
        <w:numPr>
          <w:ilvl w:val="2"/>
          <w:numId w:val="14"/>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pPr>
        <w:numPr>
          <w:ilvl w:val="2"/>
          <w:numId w:val="14"/>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14"/>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pPr>
        <w:numPr>
          <w:ilvl w:val="2"/>
          <w:numId w:val="14"/>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2" w:name="_Toc14020"/>
      <w:r>
        <w:rPr>
          <w:rFonts w:hint="eastAsia" w:ascii="宋体" w:hAnsi="宋体"/>
          <w:b/>
          <w:bCs/>
          <w:szCs w:val="21"/>
        </w:rPr>
        <w:t>证明投标人合格和资格的文件</w:t>
      </w:r>
      <w:bookmarkEnd w:id="172"/>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投标人应提交证明其有资格参加投标和中标后有能力履行合同的文件</w:t>
      </w:r>
      <w:r>
        <w:rPr>
          <w:rFonts w:hint="eastAsia" w:ascii="宋体" w:hAnsi="宋体" w:cs="宋体"/>
          <w:szCs w:val="21"/>
        </w:rPr>
        <w:t>，</w:t>
      </w:r>
      <w:r>
        <w:rPr>
          <w:rFonts w:hint="eastAsia" w:ascii="宋体" w:hAnsi="宋体" w:cs="宋体"/>
          <w:szCs w:val="21"/>
          <w:lang w:eastAsia="zh-TW"/>
        </w:rPr>
        <w:t>并作为其投标文件的一部分。如果投标人为联合体</w:t>
      </w:r>
      <w:r>
        <w:rPr>
          <w:rFonts w:hint="eastAsia" w:ascii="宋体" w:hAnsi="宋体" w:cs="宋体"/>
          <w:szCs w:val="21"/>
        </w:rPr>
        <w:t>，</w:t>
      </w:r>
      <w:r>
        <w:rPr>
          <w:rFonts w:hint="eastAsia" w:ascii="宋体" w:hAnsi="宋体" w:cs="宋体"/>
          <w:szCs w:val="21"/>
          <w:lang w:eastAsia="zh-TW"/>
        </w:rPr>
        <w:t>应提交联合体各方的资格证明文件、</w:t>
      </w:r>
      <w:r>
        <w:rPr>
          <w:rFonts w:hint="eastAsia" w:ascii="宋体" w:hAnsi="宋体"/>
          <w:szCs w:val="21"/>
        </w:rPr>
        <w:t>联合</w:t>
      </w:r>
      <w:r>
        <w:rPr>
          <w:rFonts w:hint="eastAsia" w:ascii="宋体" w:hAnsi="宋体" w:cs="宋体"/>
          <w:szCs w:val="21"/>
        </w:rPr>
        <w:t>投标协议</w:t>
      </w:r>
      <w:r>
        <w:rPr>
          <w:rFonts w:hint="eastAsia" w:ascii="宋体" w:hAnsi="宋体" w:cs="宋体"/>
          <w:szCs w:val="21"/>
          <w:lang w:eastAsia="zh-TW"/>
        </w:rPr>
        <w:t>并注明</w:t>
      </w:r>
      <w:r>
        <w:rPr>
          <w:rFonts w:hint="eastAsia" w:ascii="宋体" w:hAnsi="宋体" w:cs="宋体"/>
          <w:szCs w:val="21"/>
        </w:rPr>
        <w:t>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bCs/>
          <w:szCs w:val="20"/>
        </w:rPr>
        <w:t>投标人的资格要求</w:t>
      </w:r>
      <w:r>
        <w:rPr>
          <w:rFonts w:hint="eastAsia" w:ascii="宋体" w:hAnsi="宋体" w:cs="宋体"/>
          <w:szCs w:val="21"/>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3" w:name="_Toc17198"/>
      <w:r>
        <w:rPr>
          <w:rFonts w:ascii="宋体" w:hAnsi="宋体"/>
          <w:b/>
          <w:bCs/>
          <w:szCs w:val="21"/>
        </w:rPr>
        <w:t>证明投标标的的合格性和符合招标文件规定的文件</w:t>
      </w:r>
      <w:bookmarkEnd w:id="173"/>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投标人应提交证明文件</w:t>
      </w:r>
      <w:r>
        <w:rPr>
          <w:rFonts w:hint="eastAsia" w:ascii="宋体" w:hAnsi="宋体" w:cs="宋体"/>
          <w:szCs w:val="21"/>
        </w:rPr>
        <w:t>，</w:t>
      </w:r>
      <w:r>
        <w:rPr>
          <w:rFonts w:hint="eastAsia" w:ascii="宋体" w:hAnsi="宋体" w:cs="宋体"/>
          <w:szCs w:val="21"/>
          <w:lang w:eastAsia="zh-TW"/>
        </w:rPr>
        <w:t>证明其拟</w:t>
      </w:r>
      <w:r>
        <w:rPr>
          <w:rFonts w:hint="eastAsia" w:ascii="宋体" w:hAnsi="宋体" w:cs="宋体"/>
          <w:szCs w:val="21"/>
        </w:rPr>
        <w:t>投标</w:t>
      </w:r>
      <w:r>
        <w:rPr>
          <w:rFonts w:hint="eastAsia" w:ascii="宋体" w:hAnsi="宋体" w:cs="宋体"/>
          <w:szCs w:val="21"/>
          <w:lang w:eastAsia="zh-TW"/>
        </w:rPr>
        <w:t>的货物和服务的合格性符合招标文件规定。该证明文件作为投标文件的一部分。</w:t>
      </w:r>
    </w:p>
    <w:p>
      <w:pPr>
        <w:numPr>
          <w:ilvl w:val="1"/>
          <w:numId w:val="14"/>
        </w:numPr>
        <w:autoSpaceDE w:val="0"/>
        <w:autoSpaceDN w:val="0"/>
        <w:adjustRightInd w:val="0"/>
        <w:snapToGrid w:val="0"/>
        <w:spacing w:line="360" w:lineRule="auto"/>
        <w:rPr>
          <w:rFonts w:ascii="宋体" w:hAnsi="宋体"/>
          <w:strike/>
          <w:szCs w:val="21"/>
        </w:rPr>
      </w:pPr>
      <w:r>
        <w:rPr>
          <w:rFonts w:hint="eastAsia" w:ascii="宋体" w:hAnsi="宋体" w:cs="宋体"/>
          <w:szCs w:val="21"/>
          <w:lang w:eastAsia="zh-TW"/>
        </w:rPr>
        <w:t>证明货物和服务与招标文件的要求相一致的文件，可以是文字资料、图纸和数据</w:t>
      </w:r>
      <w:r>
        <w:rPr>
          <w:rFonts w:hint="eastAsia" w:ascii="宋体" w:hAnsi="宋体" w:cs="宋体"/>
          <w:szCs w:val="21"/>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4" w:name="_Toc30449"/>
      <w:r>
        <w:rPr>
          <w:rFonts w:hint="eastAsia" w:ascii="宋体" w:hAnsi="宋体"/>
          <w:b/>
          <w:bCs/>
          <w:szCs w:val="21"/>
        </w:rPr>
        <w:t>投标保证金</w:t>
      </w:r>
      <w:bookmarkEnd w:id="174"/>
      <w:r>
        <w:rPr>
          <w:rFonts w:hint="eastAsia" w:ascii="宋体" w:hAnsi="宋体"/>
          <w:b/>
          <w:bCs/>
          <w:szCs w:val="21"/>
        </w:rPr>
        <w:t>（本项目不适用）</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投标人在投标截止时间前撤回已提交的投标文件的，采购人或者采购人应当自收到投标人书面撤回通知之日起5个工作日内，退还已收取的投标保证金，但因投标人自身原因导致无法及时退还的除外。</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未中标的投标人保证金，在中标通知书发出之日起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中标人的投标保证金，在中标人与采购人签订采购合同之日起</w:t>
      </w:r>
      <w:r>
        <w:rPr>
          <w:rFonts w:hint="eastAsia" w:ascii="宋体" w:hAnsi="宋体" w:cs="宋体"/>
          <w:szCs w:val="21"/>
        </w:rPr>
        <w:t>5</w:t>
      </w:r>
      <w:r>
        <w:rPr>
          <w:rFonts w:hint="eastAsia" w:ascii="宋体" w:hAnsi="宋体" w:cs="宋体"/>
          <w:szCs w:val="21"/>
          <w:lang w:eastAsia="zh-TW"/>
        </w:rPr>
        <w:t>个工作日内</w:t>
      </w:r>
      <w:r>
        <w:rPr>
          <w:rFonts w:hint="eastAsia" w:ascii="宋体" w:hAnsi="宋体" w:cs="宋体"/>
          <w:szCs w:val="21"/>
        </w:rPr>
        <w:t>（</w:t>
      </w:r>
      <w:r>
        <w:rPr>
          <w:rFonts w:hint="eastAsia" w:ascii="宋体" w:hAnsi="宋体" w:cs="宋体"/>
          <w:szCs w:val="21"/>
          <w:lang w:eastAsia="zh-TW"/>
        </w:rPr>
        <w:t>但因投标人自身原因导致无法及时退还的除外</w:t>
      </w:r>
      <w:r>
        <w:rPr>
          <w:rFonts w:hint="eastAsia" w:ascii="宋体" w:hAnsi="宋体" w:cs="宋体"/>
          <w:szCs w:val="21"/>
        </w:rPr>
        <w:t>）</w:t>
      </w:r>
      <w:r>
        <w:rPr>
          <w:rFonts w:hint="eastAsia" w:ascii="宋体" w:hAnsi="宋体" w:cs="宋体"/>
          <w:szCs w:val="21"/>
          <w:lang w:eastAsia="zh-TW"/>
        </w:rPr>
        <w:t>不计利息原额退还或者转为中标人的</w:t>
      </w:r>
      <w:r>
        <w:rPr>
          <w:rFonts w:hint="eastAsia" w:ascii="宋体" w:hAnsi="宋体" w:cs="宋体"/>
          <w:szCs w:val="21"/>
        </w:rPr>
        <w:t>履约保证金</w:t>
      </w:r>
      <w:r>
        <w:rPr>
          <w:rFonts w:hint="eastAsia" w:ascii="宋体" w:hAnsi="宋体" w:cs="宋体"/>
          <w:szCs w:val="21"/>
          <w:lang w:eastAsia="zh-TW"/>
        </w:rPr>
        <w:t>。</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14"/>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ascii="宋体" w:hAnsi="宋体" w:cs="宋体"/>
          <w:szCs w:val="21"/>
          <w:lang w:eastAsia="zh-TW"/>
        </w:rPr>
        <w:t>文件</w:t>
      </w:r>
      <w:r>
        <w:rPr>
          <w:rFonts w:hint="eastAsia" w:ascii="宋体" w:hAnsi="宋体" w:cs="宋体"/>
          <w:szCs w:val="21"/>
        </w:rPr>
        <w:t>；</w:t>
      </w:r>
    </w:p>
    <w:p>
      <w:pPr>
        <w:numPr>
          <w:ilvl w:val="2"/>
          <w:numId w:val="14"/>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1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依法</w:t>
      </w:r>
      <w:r>
        <w:rPr>
          <w:rFonts w:hint="eastAsia" w:ascii="宋体" w:hAnsi="宋体" w:cs="宋体"/>
          <w:szCs w:val="21"/>
        </w:rPr>
        <w:t>被认定中标无效</w:t>
      </w:r>
      <w:r>
        <w:rPr>
          <w:rFonts w:hint="eastAsia" w:ascii="宋体" w:hAnsi="宋体" w:cs="宋体"/>
          <w:szCs w:val="21"/>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5" w:name="_Toc23376"/>
      <w:r>
        <w:rPr>
          <w:rFonts w:hint="eastAsia" w:ascii="宋体" w:hAnsi="宋体"/>
          <w:b/>
          <w:bCs/>
          <w:szCs w:val="21"/>
        </w:rPr>
        <w:t>投标有效期</w:t>
      </w:r>
      <w:bookmarkEnd w:id="175"/>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中规定的投标有效期从提交投标文件的截止之日起算，并</w:t>
      </w:r>
      <w:r>
        <w:rPr>
          <w:rFonts w:hint="eastAsia" w:ascii="宋体" w:hAnsi="宋体" w:cs="宋体"/>
          <w:szCs w:val="21"/>
        </w:rPr>
        <w:t>与</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采购人可要求投标人延长投标有效期。这种要求与答复均应以书面形式提交。投标人可拒绝采购人的这种要求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w:t>
      </w:r>
      <w:r>
        <w:rPr>
          <w:rFonts w:hint="eastAsia" w:ascii="宋体" w:hAnsi="宋体" w:cs="宋体"/>
          <w:szCs w:val="21"/>
        </w:rPr>
        <w:t>不予退还</w:t>
      </w:r>
      <w:r>
        <w:rPr>
          <w:rFonts w:hint="eastAsia" w:ascii="宋体" w:hAnsi="宋体" w:cs="宋体"/>
          <w:szCs w:val="21"/>
          <w:lang w:eastAsia="zh-TW"/>
        </w:rPr>
        <w:t>的规定将在延长了的有效期内继续有效。</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76" w:name="_Toc20270"/>
      <w:r>
        <w:rPr>
          <w:rFonts w:hint="eastAsia" w:ascii="宋体" w:hAnsi="宋体"/>
          <w:b/>
          <w:bCs/>
          <w:szCs w:val="21"/>
        </w:rPr>
        <w:t>投标文件的式样和签署、密封</w:t>
      </w:r>
      <w:bookmarkEnd w:id="176"/>
    </w:p>
    <w:p>
      <w:pPr>
        <w:numPr>
          <w:ilvl w:val="1"/>
          <w:numId w:val="14"/>
        </w:numPr>
        <w:autoSpaceDE w:val="0"/>
        <w:autoSpaceDN w:val="0"/>
        <w:adjustRightInd w:val="0"/>
        <w:snapToGrid w:val="0"/>
        <w:spacing w:line="360" w:lineRule="auto"/>
        <w:rPr>
          <w:rFonts w:ascii="宋体" w:hAnsi="宋体" w:cs="黑体"/>
          <w:b/>
          <w:bCs/>
          <w:szCs w:val="21"/>
        </w:rPr>
      </w:pPr>
      <w:bookmarkStart w:id="177" w:name="_Toc438223139"/>
      <w:bookmarkStart w:id="178" w:name="_Toc435516653"/>
      <w:bookmarkStart w:id="179" w:name="_Toc435174936"/>
      <w:r>
        <w:rPr>
          <w:rFonts w:hint="eastAsia" w:ascii="宋体" w:hAnsi="宋体" w:cs="宋体"/>
          <w:szCs w:val="21"/>
          <w:lang w:eastAsia="zh-TW"/>
        </w:rPr>
        <w:t>投标文件的式样：投标人应准备</w:t>
      </w:r>
      <w:r>
        <w:rPr>
          <w:rFonts w:hint="eastAsia" w:ascii="宋体" w:hAnsi="宋体" w:cs="宋体"/>
          <w:szCs w:val="21"/>
        </w:rPr>
        <w:t>纸质</w:t>
      </w:r>
      <w:r>
        <w:rPr>
          <w:rFonts w:hint="eastAsia" w:ascii="宋体" w:hAnsi="宋体" w:cs="宋体"/>
          <w:szCs w:val="21"/>
          <w:lang w:eastAsia="zh-TW"/>
        </w:rPr>
        <w:t>投标文件一份正本</w:t>
      </w:r>
      <w:r>
        <w:rPr>
          <w:rFonts w:hint="eastAsia" w:ascii="宋体" w:hAnsi="宋体" w:cs="宋体"/>
          <w:szCs w:val="21"/>
        </w:rPr>
        <w:t>、电子文件</w:t>
      </w:r>
      <w:r>
        <w:rPr>
          <w:rFonts w:hint="eastAsia" w:ascii="宋体" w:hAnsi="宋体" w:cs="宋体"/>
          <w:szCs w:val="21"/>
          <w:lang w:eastAsia="zh-TW"/>
        </w:rPr>
        <w:t>和</w:t>
      </w:r>
      <w:r>
        <w:rPr>
          <w:rFonts w:hint="eastAsia" w:ascii="宋体" w:hAnsi="宋体" w:cs="宋体"/>
          <w:b/>
          <w:szCs w:val="21"/>
          <w:lang w:eastAsia="zh-TW"/>
        </w:rPr>
        <w:t>投标资料表</w:t>
      </w:r>
      <w:r>
        <w:rPr>
          <w:rFonts w:hint="eastAsia" w:ascii="宋体" w:hAnsi="宋体" w:cs="宋体"/>
          <w:szCs w:val="21"/>
          <w:lang w:eastAsia="zh-TW"/>
        </w:rPr>
        <w:t>中规定数目的</w:t>
      </w:r>
      <w:r>
        <w:rPr>
          <w:rFonts w:hint="eastAsia" w:ascii="宋体" w:hAnsi="宋体" w:cs="宋体"/>
          <w:szCs w:val="21"/>
        </w:rPr>
        <w:t>纸质</w:t>
      </w:r>
      <w:r>
        <w:rPr>
          <w:rFonts w:hint="eastAsia" w:ascii="宋体" w:hAnsi="宋体" w:cs="宋体"/>
          <w:szCs w:val="21"/>
          <w:lang w:eastAsia="zh-TW"/>
        </w:rPr>
        <w:t>副本</w:t>
      </w:r>
      <w:r>
        <w:rPr>
          <w:rFonts w:hint="eastAsia" w:ascii="宋体" w:hAnsi="宋体" w:cs="宋体"/>
          <w:szCs w:val="21"/>
        </w:rPr>
        <w:t>。</w:t>
      </w:r>
      <w:r>
        <w:rPr>
          <w:rFonts w:hint="eastAsia" w:ascii="宋体" w:hAnsi="宋体" w:cs="宋体"/>
          <w:szCs w:val="21"/>
          <w:lang w:eastAsia="zh-TW"/>
        </w:rPr>
        <w:t>投标文件的副本可采用正本的复印件。每套投标文件须清楚地标明“正本”或</w:t>
      </w:r>
      <w:r>
        <w:rPr>
          <w:rFonts w:hint="eastAsia" w:ascii="宋体" w:hAnsi="宋体" w:cs="宋体"/>
          <w:szCs w:val="21"/>
        </w:rPr>
        <w:t>“副</w:t>
      </w:r>
      <w:r>
        <w:rPr>
          <w:rFonts w:hint="eastAsia" w:ascii="宋体" w:hAnsi="宋体" w:cs="宋体"/>
          <w:szCs w:val="21"/>
          <w:lang w:eastAsia="zh-TW"/>
        </w:rPr>
        <w:t>本</w:t>
      </w:r>
      <w:r>
        <w:rPr>
          <w:rFonts w:hint="eastAsia" w:ascii="宋体" w:hAnsi="宋体" w:cs="宋体"/>
          <w:szCs w:val="21"/>
        </w:rPr>
        <w:t>”</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电子文件：是指将按招标文件要求签署、盖章后的正本投标文件扫描成PDF格式后拷贝至无病毒无密码的U盘或光盘。电子文件与正本投标文件一同密封</w:t>
      </w:r>
      <w:r>
        <w:rPr>
          <w:rFonts w:hint="eastAsia" w:ascii="宋体" w:hAnsi="宋体" w:cs="宋体"/>
          <w:szCs w:val="21"/>
        </w:rPr>
        <w:t>，若电子文件</w:t>
      </w:r>
      <w:r>
        <w:rPr>
          <w:rFonts w:hint="eastAsia" w:ascii="宋体" w:hAnsi="宋体" w:cs="宋体"/>
          <w:szCs w:val="21"/>
          <w:lang w:eastAsia="zh-TW"/>
        </w:rPr>
        <w:t>与正本不符</w:t>
      </w:r>
      <w:r>
        <w:rPr>
          <w:rFonts w:hint="eastAsia" w:ascii="宋体" w:hAnsi="宋体" w:cs="宋体"/>
          <w:szCs w:val="21"/>
        </w:rPr>
        <w:t>，</w:t>
      </w:r>
      <w:r>
        <w:rPr>
          <w:rFonts w:hint="eastAsia" w:ascii="宋体" w:hAnsi="宋体" w:cs="宋体"/>
          <w:szCs w:val="21"/>
          <w:lang w:eastAsia="zh-TW"/>
        </w:rPr>
        <w:t>以正本为准</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pPr>
        <w:numPr>
          <w:ilvl w:val="2"/>
          <w:numId w:val="14"/>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lang w:eastAsia="zh-TW"/>
        </w:rPr>
        <w:t>投标文件的正本需打印或用不褪色墨水书写</w:t>
      </w:r>
      <w:r>
        <w:rPr>
          <w:rFonts w:hint="eastAsia" w:ascii="宋体" w:hAnsi="宋体" w:cs="宋体"/>
          <w:szCs w:val="21"/>
        </w:rPr>
        <w:t>，且招标文件要求签名的</w:t>
      </w:r>
      <w:r>
        <w:rPr>
          <w:rFonts w:hint="eastAsia" w:ascii="宋体" w:hAnsi="宋体" w:cs="宋体"/>
          <w:szCs w:val="21"/>
          <w:lang w:eastAsia="zh-TW"/>
        </w:rPr>
        <w:t>由</w:t>
      </w:r>
      <w:r>
        <w:rPr>
          <w:rFonts w:hint="eastAsia" w:ascii="宋体" w:hAnsi="宋体" w:cs="宋体"/>
          <w:szCs w:val="21"/>
        </w:rPr>
        <w:t>法定</w:t>
      </w:r>
      <w:r>
        <w:rPr>
          <w:rFonts w:hint="eastAsia" w:ascii="宋体" w:hAnsi="宋体" w:cs="宋体"/>
          <w:szCs w:val="21"/>
          <w:lang w:eastAsia="zh-TW"/>
        </w:rPr>
        <w:t>代表人或经其正式授权的代表签字</w:t>
      </w:r>
      <w:r>
        <w:rPr>
          <w:rFonts w:hint="eastAsia" w:ascii="宋体" w:hAnsi="宋体" w:cs="宋体"/>
          <w:szCs w:val="21"/>
        </w:rPr>
        <w:t>或盖章</w:t>
      </w:r>
      <w:r>
        <w:rPr>
          <w:rFonts w:hint="eastAsia" w:ascii="宋体" w:hAnsi="宋体" w:cs="宋体"/>
          <w:szCs w:val="21"/>
          <w:lang w:eastAsia="zh-TW"/>
        </w:rPr>
        <w:t>，以及招标文件中明示盖公章</w:t>
      </w:r>
      <w:r>
        <w:rPr>
          <w:rFonts w:hint="eastAsia" w:ascii="宋体" w:hAnsi="宋体" w:cs="宋体"/>
          <w:szCs w:val="21"/>
        </w:rPr>
        <w:t>处</w:t>
      </w:r>
      <w:r>
        <w:rPr>
          <w:rFonts w:hint="eastAsia" w:ascii="宋体" w:hAnsi="宋体" w:cs="宋体"/>
          <w:szCs w:val="21"/>
          <w:lang w:eastAsia="zh-TW"/>
        </w:rPr>
        <w:t>及</w:t>
      </w:r>
      <w:r>
        <w:rPr>
          <w:rFonts w:hint="eastAsia" w:ascii="宋体" w:hAnsi="宋体" w:cs="宋体"/>
          <w:szCs w:val="21"/>
        </w:rPr>
        <w:t>要求</w:t>
      </w:r>
      <w:r>
        <w:rPr>
          <w:rFonts w:hint="eastAsia" w:ascii="宋体" w:hAnsi="宋体" w:cs="宋体"/>
          <w:szCs w:val="21"/>
          <w:lang w:eastAsia="zh-TW"/>
        </w:rPr>
        <w:t>提供的证明材料应盖投标人公章，</w:t>
      </w:r>
      <w:r>
        <w:rPr>
          <w:rFonts w:hint="eastAsia" w:ascii="宋体" w:hAnsi="宋体" w:cs="宋体"/>
          <w:szCs w:val="21"/>
        </w:rPr>
        <w:t>副本可以</w:t>
      </w:r>
      <w:r>
        <w:rPr>
          <w:rFonts w:hint="eastAsia" w:ascii="宋体" w:hAnsi="宋体" w:cs="Courier New"/>
        </w:rPr>
        <w:t>用正本</w:t>
      </w:r>
      <w:r>
        <w:rPr>
          <w:rFonts w:hint="eastAsia" w:ascii="宋体" w:hAnsi="宋体" w:cs="宋体"/>
          <w:szCs w:val="21"/>
        </w:rPr>
        <w:t>复印，与正本具有同等法律效力</w:t>
      </w:r>
      <w:r>
        <w:rPr>
          <w:rFonts w:hint="eastAsia" w:ascii="宋体" w:hAnsi="宋体" w:cs="宋体"/>
          <w:szCs w:val="21"/>
          <w:lang w:eastAsia="zh-TW"/>
        </w:rPr>
        <w:t>。授权代表须将以书面形式出具的《法定代表人授权</w:t>
      </w:r>
      <w:r>
        <w:rPr>
          <w:rFonts w:hint="eastAsia" w:ascii="宋体" w:hAnsi="宋体" w:cs="宋体"/>
          <w:szCs w:val="21"/>
        </w:rPr>
        <w:t>委托</w:t>
      </w:r>
      <w:r>
        <w:rPr>
          <w:rFonts w:hint="eastAsia" w:ascii="宋体" w:hAnsi="宋体" w:cs="宋体"/>
          <w:szCs w:val="21"/>
          <w:lang w:eastAsia="zh-TW"/>
        </w:rPr>
        <w:t>书》附在</w:t>
      </w:r>
      <w:r>
        <w:rPr>
          <w:rFonts w:hint="eastAsia" w:ascii="宋体" w:hAnsi="宋体" w:cs="宋体"/>
          <w:szCs w:val="21"/>
        </w:rPr>
        <w:t>投</w:t>
      </w:r>
      <w:r>
        <w:rPr>
          <w:rFonts w:hint="eastAsia" w:ascii="宋体" w:hAnsi="宋体" w:cs="宋体"/>
          <w:szCs w:val="21"/>
          <w:lang w:eastAsia="zh-TW"/>
        </w:rPr>
        <w:t>标文件中。</w:t>
      </w:r>
    </w:p>
    <w:p>
      <w:pPr>
        <w:numPr>
          <w:ilvl w:val="2"/>
          <w:numId w:val="14"/>
        </w:numPr>
        <w:tabs>
          <w:tab w:val="left" w:pos="851"/>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TW"/>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lang w:eastAsia="zh-TW"/>
        </w:rPr>
        <w:t>才有效。</w:t>
      </w:r>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投标文件</w:t>
      </w:r>
      <w:r>
        <w:rPr>
          <w:rFonts w:hint="eastAsia" w:ascii="宋体" w:hAnsi="宋体"/>
          <w:b/>
          <w:bCs/>
          <w:szCs w:val="21"/>
        </w:rPr>
        <w:t>密封</w:t>
      </w:r>
      <w:r>
        <w:rPr>
          <w:rFonts w:hint="eastAsia" w:ascii="宋体" w:hAnsi="宋体" w:cs="宋体"/>
          <w:szCs w:val="21"/>
          <w:lang w:eastAsia="zh-TW"/>
        </w:rPr>
        <w:t>：</w:t>
      </w:r>
    </w:p>
    <w:p>
      <w:pPr>
        <w:numPr>
          <w:ilvl w:val="2"/>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w:t>
      </w:r>
      <w:r>
        <w:rPr>
          <w:rFonts w:hint="eastAsia" w:ascii="宋体" w:hAnsi="宋体" w:cs="宋体"/>
          <w:szCs w:val="21"/>
          <w:lang w:eastAsia="zh-TW"/>
        </w:rPr>
        <w:t>和</w:t>
      </w:r>
      <w:r>
        <w:rPr>
          <w:rFonts w:hint="eastAsia" w:ascii="宋体" w:hAnsi="宋体"/>
          <w:szCs w:val="21"/>
        </w:rPr>
        <w:t>“</w:t>
      </w:r>
      <w:r>
        <w:rPr>
          <w:rFonts w:hint="eastAsia" w:ascii="宋体" w:hAnsi="宋体" w:cs="宋体"/>
          <w:szCs w:val="21"/>
          <w:lang w:eastAsia="zh-TW"/>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w:t>
      </w:r>
      <w:r>
        <w:rPr>
          <w:rFonts w:hint="eastAsia" w:ascii="宋体" w:hAnsi="宋体" w:cs="宋体"/>
          <w:szCs w:val="21"/>
          <w:lang w:eastAsia="zh-TW"/>
        </w:rPr>
        <w:t>字样。</w:t>
      </w:r>
    </w:p>
    <w:p>
      <w:pPr>
        <w:numPr>
          <w:ilvl w:val="2"/>
          <w:numId w:val="14"/>
        </w:numPr>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TW"/>
        </w:rPr>
        <w:t>如果未按本须知</w:t>
      </w:r>
      <w:r>
        <w:rPr>
          <w:rFonts w:hint="eastAsia" w:ascii="宋体" w:hAnsi="宋体" w:cs="宋体"/>
          <w:szCs w:val="21"/>
        </w:rPr>
        <w:t>上款</w:t>
      </w:r>
      <w:r>
        <w:rPr>
          <w:rFonts w:hint="eastAsia" w:ascii="宋体" w:hAnsi="宋体" w:cs="宋体"/>
          <w:szCs w:val="21"/>
          <w:lang w:eastAsia="zh-TW"/>
        </w:rPr>
        <w:t>要求加写标记和</w:t>
      </w:r>
      <w:r>
        <w:rPr>
          <w:rFonts w:hint="eastAsia" w:ascii="宋体" w:hAnsi="宋体" w:cs="宋体"/>
          <w:szCs w:val="21"/>
        </w:rPr>
        <w:t>密封，</w:t>
      </w:r>
      <w:r>
        <w:rPr>
          <w:rFonts w:hint="eastAsia" w:ascii="宋体" w:hAnsi="宋体" w:cs="宋体"/>
          <w:szCs w:val="21"/>
          <w:lang w:eastAsia="zh-TW"/>
        </w:rPr>
        <w:t>采购人对误投或提前启封概不负责</w:t>
      </w:r>
      <w:r>
        <w:rPr>
          <w:rFonts w:hint="eastAsia" w:ascii="宋体" w:hAnsi="宋体" w:cs="宋体"/>
          <w:szCs w:val="21"/>
        </w:rPr>
        <w:t>。</w:t>
      </w:r>
    </w:p>
    <w:p>
      <w:pPr>
        <w:pStyle w:val="3"/>
        <w:numPr>
          <w:ilvl w:val="0"/>
          <w:numId w:val="13"/>
        </w:numPr>
        <w:spacing w:line="240" w:lineRule="auto"/>
        <w:jc w:val="center"/>
        <w:rPr>
          <w:rFonts w:asciiTheme="majorEastAsia" w:hAnsiTheme="majorEastAsia" w:eastAsiaTheme="majorEastAsia"/>
          <w:sz w:val="30"/>
          <w:szCs w:val="30"/>
          <w:lang w:eastAsia="zh-TW"/>
        </w:rPr>
      </w:pPr>
      <w:bookmarkStart w:id="180" w:name="_Toc77947892"/>
      <w:bookmarkStart w:id="181" w:name="_Toc28883"/>
      <w:r>
        <w:rPr>
          <w:rFonts w:hint="eastAsia" w:asciiTheme="majorEastAsia" w:hAnsiTheme="majorEastAsia" w:eastAsiaTheme="majorEastAsia"/>
          <w:sz w:val="30"/>
          <w:szCs w:val="30"/>
          <w:lang w:eastAsia="zh-TW"/>
        </w:rPr>
        <w:t>投标文件的递交</w:t>
      </w:r>
      <w:bookmarkEnd w:id="177"/>
      <w:bookmarkEnd w:id="178"/>
      <w:bookmarkEnd w:id="179"/>
      <w:bookmarkEnd w:id="180"/>
      <w:bookmarkEnd w:id="181"/>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82" w:name="_Toc13202"/>
      <w:r>
        <w:rPr>
          <w:rFonts w:hint="eastAsia" w:ascii="宋体" w:hAnsi="宋体"/>
          <w:b/>
          <w:bCs/>
          <w:szCs w:val="21"/>
        </w:rPr>
        <w:t>投标文件递交</w:t>
      </w:r>
      <w:bookmarkEnd w:id="182"/>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w:t>
      </w:r>
      <w:r>
        <w:rPr>
          <w:rFonts w:hint="eastAsia" w:ascii="宋体" w:hAnsi="宋体" w:cs="宋体"/>
          <w:szCs w:val="21"/>
        </w:rPr>
        <w:t>的投标文件</w:t>
      </w:r>
      <w:r>
        <w:rPr>
          <w:rFonts w:hint="eastAsia" w:ascii="宋体" w:hAnsi="宋体" w:cs="宋体"/>
          <w:szCs w:val="21"/>
          <w:lang w:eastAsia="zh-TW"/>
        </w:rPr>
        <w:t>应</w:t>
      </w:r>
      <w:r>
        <w:rPr>
          <w:rFonts w:hint="eastAsia" w:ascii="宋体" w:hAnsi="宋体" w:cs="宋体"/>
          <w:szCs w:val="21"/>
        </w:rPr>
        <w:t>在</w:t>
      </w:r>
      <w:r>
        <w:rPr>
          <w:rFonts w:hint="eastAsia" w:ascii="宋体" w:hAnsi="宋体"/>
        </w:rPr>
        <w:t>本项目投标截止时间前送达开标地点。</w:t>
      </w:r>
    </w:p>
    <w:p>
      <w:pPr>
        <w:numPr>
          <w:ilvl w:val="1"/>
          <w:numId w:val="14"/>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lang w:eastAsia="zh-TW"/>
        </w:rPr>
        <w:t>逾期送达或者未按照招标文件要求密封的投标文件，采购人应当拒收。</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83" w:name="_Toc22017"/>
      <w:r>
        <w:rPr>
          <w:rFonts w:hint="eastAsia" w:ascii="宋体" w:hAnsi="宋体"/>
          <w:b/>
          <w:bCs/>
          <w:szCs w:val="21"/>
        </w:rPr>
        <w:t>投标文件的修改和撤回、撤销</w:t>
      </w:r>
      <w:bookmarkEnd w:id="183"/>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采购人。补充、修改的内容应当按招标文件要求签署、盖章、密封后，并作为投标文件的组成部分。在投标截止时间之后，投标人不得对其投标文件做任何修改和补充。</w:t>
      </w:r>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bCs/>
        </w:rPr>
        <w:t>投标人在投标截止后或在招标文件中规定的投标有效期内不可撤销其投标。否则，不予退还其投标保证金。</w:t>
      </w:r>
    </w:p>
    <w:p>
      <w:pPr>
        <w:numPr>
          <w:ilvl w:val="1"/>
          <w:numId w:val="14"/>
        </w:numPr>
        <w:autoSpaceDE w:val="0"/>
        <w:autoSpaceDN w:val="0"/>
        <w:adjustRightInd w:val="0"/>
        <w:snapToGrid w:val="0"/>
        <w:spacing w:line="360" w:lineRule="auto"/>
        <w:rPr>
          <w:rFonts w:ascii="宋体" w:hAnsi="宋体" w:cs="黑体"/>
          <w:b/>
          <w:bCs/>
          <w:strike/>
          <w:szCs w:val="21"/>
        </w:rPr>
      </w:pPr>
      <w:r>
        <w:rPr>
          <w:rFonts w:hint="eastAsia" w:ascii="宋体" w:hAnsi="宋体"/>
        </w:rPr>
        <w:t>投标人所提交的投标文件在本项目投标截止时间后均不予退还。</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84" w:name="_Toc18853"/>
      <w:r>
        <w:rPr>
          <w:rFonts w:hint="eastAsia" w:ascii="宋体" w:hAnsi="宋体"/>
          <w:b/>
          <w:bCs/>
          <w:szCs w:val="21"/>
        </w:rPr>
        <w:t>质疑</w:t>
      </w:r>
      <w:bookmarkEnd w:id="184"/>
    </w:p>
    <w:p>
      <w:pPr>
        <w:numPr>
          <w:ilvl w:val="1"/>
          <w:numId w:val="14"/>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pPr>
        <w:numPr>
          <w:ilvl w:val="2"/>
          <w:numId w:val="14"/>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pPr>
        <w:numPr>
          <w:ilvl w:val="2"/>
          <w:numId w:val="14"/>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numPr>
          <w:ilvl w:val="3"/>
          <w:numId w:val="14"/>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pPr>
        <w:numPr>
          <w:ilvl w:val="3"/>
          <w:numId w:val="14"/>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lang w:eastAsia="zh-TW"/>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14"/>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采购人接收以书面形式递交的质疑函，接收质疑函的联系人、联系方式和通讯地址详见</w:t>
      </w:r>
      <w:bookmarkStart w:id="185" w:name="_Hlk57971227"/>
      <w:r>
        <w:rPr>
          <w:rFonts w:hint="eastAsia" w:hAnsi="宋体"/>
          <w:b/>
          <w:bCs/>
          <w:snapToGrid w:val="0"/>
          <w:szCs w:val="21"/>
        </w:rPr>
        <w:t>第二章 投标资料表</w:t>
      </w:r>
      <w:bookmarkEnd w:id="185"/>
      <w:r>
        <w:rPr>
          <w:rFonts w:hint="eastAsia" w:ascii="宋体" w:hAnsi="宋体"/>
          <w:szCs w:val="21"/>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86" w:name="_Toc19729"/>
      <w:r>
        <w:rPr>
          <w:rFonts w:hint="eastAsia" w:ascii="宋体" w:hAnsi="宋体"/>
          <w:b/>
          <w:bCs/>
          <w:szCs w:val="21"/>
        </w:rPr>
        <w:t>中标通知书</w:t>
      </w:r>
      <w:bookmarkEnd w:id="186"/>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中标人确定后</w:t>
      </w:r>
      <w:r>
        <w:rPr>
          <w:rFonts w:hint="eastAsia" w:ascii="宋体" w:hAnsi="宋体" w:cs="宋体"/>
          <w:szCs w:val="21"/>
        </w:rPr>
        <w:t>，</w:t>
      </w:r>
      <w:r>
        <w:rPr>
          <w:rFonts w:hint="eastAsia" w:ascii="宋体" w:hAnsi="宋体" w:cs="宋体"/>
          <w:szCs w:val="21"/>
          <w:lang w:eastAsia="zh-TW"/>
        </w:rPr>
        <w:t>采购人将在</w:t>
      </w:r>
      <w:r>
        <w:rPr>
          <w:rFonts w:hint="eastAsia" w:ascii="宋体" w:hAnsi="宋体" w:cs="宋体"/>
          <w:szCs w:val="21"/>
        </w:rPr>
        <w:t>发布采购信息公告的媒体</w:t>
      </w:r>
      <w:r>
        <w:rPr>
          <w:rFonts w:hint="eastAsia" w:ascii="宋体" w:hAnsi="宋体" w:cs="宋体"/>
          <w:szCs w:val="21"/>
          <w:lang w:eastAsia="zh-TW"/>
        </w:rPr>
        <w:t>上发布中标公告，并向中标人发出《中标通知书》，向采购人及未中标人发出《招标结果通知书》，《中标通知书》对中标人和采购人具有同等法律效力。</w:t>
      </w:r>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pStyle w:val="3"/>
        <w:numPr>
          <w:ilvl w:val="0"/>
          <w:numId w:val="13"/>
        </w:numPr>
        <w:spacing w:line="240" w:lineRule="auto"/>
        <w:jc w:val="center"/>
        <w:rPr>
          <w:rFonts w:asciiTheme="majorEastAsia" w:hAnsiTheme="majorEastAsia" w:eastAsiaTheme="majorEastAsia"/>
          <w:sz w:val="30"/>
          <w:szCs w:val="30"/>
          <w:lang w:eastAsia="zh-TW"/>
        </w:rPr>
      </w:pPr>
      <w:bookmarkStart w:id="187" w:name="_Toc77947893"/>
      <w:bookmarkStart w:id="188" w:name="_Toc6704"/>
      <w:bookmarkStart w:id="189" w:name="_Toc438223141"/>
      <w:bookmarkStart w:id="190" w:name="_Toc435174938"/>
      <w:bookmarkStart w:id="191" w:name="_Toc435516655"/>
      <w:r>
        <w:rPr>
          <w:rFonts w:hint="eastAsia" w:asciiTheme="majorEastAsia" w:hAnsiTheme="majorEastAsia" w:eastAsiaTheme="majorEastAsia"/>
          <w:sz w:val="30"/>
          <w:szCs w:val="30"/>
          <w:lang w:eastAsia="zh-TW"/>
        </w:rPr>
        <w:t>授予合同</w:t>
      </w:r>
      <w:bookmarkEnd w:id="187"/>
      <w:bookmarkEnd w:id="188"/>
      <w:bookmarkEnd w:id="189"/>
      <w:bookmarkEnd w:id="190"/>
      <w:bookmarkEnd w:id="191"/>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92" w:name="_Toc5467"/>
      <w:r>
        <w:rPr>
          <w:rFonts w:hint="eastAsia" w:ascii="宋体" w:hAnsi="宋体"/>
          <w:b/>
          <w:bCs/>
          <w:szCs w:val="21"/>
        </w:rPr>
        <w:t>合同的订立</w:t>
      </w:r>
      <w:bookmarkEnd w:id="192"/>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采购人应当自中标通知书发出之日起十个工作日内，按照招标文件和中标人投标文件的约定，与中标人签订书面合同。所签订的合同不得对招标文件和中标人投标文件作实质性修改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采购人</w:t>
      </w:r>
      <w:r>
        <w:rPr>
          <w:rFonts w:hint="eastAsia" w:ascii="宋体" w:hAnsi="宋体" w:cs="宋体"/>
          <w:szCs w:val="21"/>
        </w:rPr>
        <w:t xml:space="preserve">不得向中标人提出任何不合理的要求，作为签订合同的条件，不得与中标人私下订立背离合同实质性内容的协议。 </w:t>
      </w:r>
    </w:p>
    <w:p>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在指定的渠道公告，但政府采购合同中涉及国家秘密、商业秘密的内容除外</w:t>
      </w:r>
      <w:r>
        <w:rPr>
          <w:rFonts w:hint="eastAsia" w:ascii="宋体" w:hAnsi="宋体" w:cs="宋体"/>
          <w:szCs w:val="21"/>
          <w:lang w:eastAsia="zh-TW"/>
        </w:rPr>
        <w:t>。</w:t>
      </w:r>
    </w:p>
    <w:p>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合同签订之日起10</w:t>
      </w:r>
      <w:r>
        <w:rPr>
          <w:rFonts w:hint="eastAsia" w:ascii="宋体" w:hAnsi="宋体" w:cs="宋体"/>
          <w:szCs w:val="21"/>
          <w:lang w:eastAsia="zh-TW"/>
        </w:rPr>
        <w:t>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93" w:name="_Toc560"/>
      <w:r>
        <w:rPr>
          <w:rFonts w:hint="eastAsia" w:ascii="宋体" w:hAnsi="宋体"/>
          <w:b/>
          <w:bCs/>
          <w:szCs w:val="21"/>
        </w:rPr>
        <w:t>合同的履行</w:t>
      </w:r>
      <w:bookmarkEnd w:id="193"/>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94" w:name="_Toc20193"/>
      <w:r>
        <w:rPr>
          <w:rFonts w:hint="eastAsia" w:ascii="宋体" w:hAnsi="宋体"/>
          <w:b/>
          <w:bCs/>
          <w:szCs w:val="21"/>
        </w:rPr>
        <w:t>履约保证金</w:t>
      </w:r>
      <w:bookmarkEnd w:id="194"/>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14"/>
        </w:numPr>
        <w:autoSpaceDE w:val="0"/>
        <w:autoSpaceDN w:val="0"/>
        <w:adjustRightInd w:val="0"/>
        <w:snapToGrid w:val="0"/>
        <w:spacing w:line="360" w:lineRule="auto"/>
        <w:ind w:left="449" w:hanging="449" w:hangingChars="213"/>
        <w:outlineLvl w:val="2"/>
        <w:rPr>
          <w:rFonts w:ascii="宋体" w:hAnsi="宋体"/>
          <w:b/>
          <w:bCs/>
          <w:szCs w:val="21"/>
        </w:rPr>
      </w:pPr>
      <w:bookmarkStart w:id="195" w:name="_Toc25777"/>
      <w:r>
        <w:rPr>
          <w:rFonts w:hint="eastAsia" w:ascii="宋体" w:hAnsi="宋体"/>
          <w:b/>
          <w:bCs/>
          <w:szCs w:val="21"/>
        </w:rPr>
        <w:t>采购代理服务费</w:t>
      </w:r>
      <w:bookmarkEnd w:id="195"/>
    </w:p>
    <w:p>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中标人应按照招标文件</w:t>
      </w:r>
      <w:r>
        <w:rPr>
          <w:rFonts w:hint="eastAsia" w:ascii="宋体" w:hAnsi="宋体" w:cs="宋体"/>
          <w:b/>
          <w:szCs w:val="21"/>
        </w:rPr>
        <w:t>投标资料表</w:t>
      </w:r>
      <w:r>
        <w:rPr>
          <w:rFonts w:hint="eastAsia" w:ascii="宋体" w:hAnsi="宋体" w:cs="宋体"/>
          <w:szCs w:val="21"/>
        </w:rPr>
        <w:t>中的规定缴纳采购代理服务费。否则，不予退还其投标保证金。</w:t>
      </w:r>
    </w:p>
    <w:p>
      <w:pPr>
        <w:numPr>
          <w:ilvl w:val="1"/>
          <w:numId w:val="1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经依法取消中标资格的，采购代理服务费不予退还。</w:t>
      </w:r>
    </w:p>
    <w:sectPr>
      <w:headerReference r:id="rId10"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0"/>
      </w:rPr>
      <w:instrText xml:space="preserve"> PAGE </w:instrText>
    </w:r>
    <w:r>
      <w:fldChar w:fldCharType="separate"/>
    </w:r>
    <w:r>
      <w:rPr>
        <w:rStyle w:val="40"/>
      </w:rPr>
      <w:t>2</w:t>
    </w:r>
    <w:r>
      <w:fldChar w:fldCharType="end"/>
    </w:r>
    <w:r>
      <w:rPr>
        <w:rFonts w:hint="eastAsia"/>
      </w:rPr>
      <w:t>采联国际招标采购集团有限公司</w: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fldChar w:fldCharType="begin"/>
    </w:r>
    <w:r>
      <w:rPr>
        <w:rStyle w:val="40"/>
      </w:rPr>
      <w:instrText xml:space="preserve"> PAGE </w:instrText>
    </w:r>
    <w:r>
      <w:fldChar w:fldCharType="separate"/>
    </w:r>
    <w:r>
      <w:rPr>
        <w:rStyle w:val="40"/>
      </w:rPr>
      <w:t>4</w:t>
    </w:r>
    <w:r>
      <w:fldChar w:fldCharType="end"/>
    </w:r>
    <w:r>
      <w:rPr>
        <w:rStyle w:val="40"/>
        <w:rFonts w:hint="eastAsia"/>
      </w:rPr>
      <w:t>页，共</w:t>
    </w:r>
    <w:r>
      <w:fldChar w:fldCharType="begin"/>
    </w:r>
    <w:r>
      <w:rPr>
        <w:rStyle w:val="40"/>
      </w:rPr>
      <w:instrText xml:space="preserve"> NUMPAGES </w:instrText>
    </w:r>
    <w:r>
      <w:fldChar w:fldCharType="separate"/>
    </w:r>
    <w:r>
      <w:rPr>
        <w:rStyle w:val="40"/>
      </w:rPr>
      <w:t>52</w:t>
    </w:r>
    <w:r>
      <w:fldChar w:fldCharType="end"/>
    </w:r>
    <w:r>
      <w:rPr>
        <w:rStyle w:val="40"/>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宋体" w:hAnsi="宋体"/>
      </w:rPr>
    </w:pPr>
    <w:r>
      <w:rPr>
        <w:rFonts w:hint="eastAsia" w:ascii="宋体" w:hAnsi="宋体"/>
      </w:rPr>
      <w:t xml:space="preserve">                           </w:t>
    </w:r>
    <w:r>
      <w:rPr>
        <w:rFonts w:hint="eastAsia" w:ascii="宋体"/>
        <w:bCs/>
        <w:szCs w:val="20"/>
      </w:rPr>
      <w:t>项目编号：</w:t>
    </w:r>
    <w:r>
      <w:rPr>
        <w:rFonts w:hint="eastAsia" w:ascii="宋体" w:hAnsi="宋体"/>
      </w:rPr>
      <w:t>NSSHJDMSWSS2021017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r>
      <w:drawing>
        <wp:inline distT="0" distB="0" distL="0" distR="0">
          <wp:extent cx="63246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65617" cy="230502"/>
                  </a:xfrm>
                  <a:prstGeom prst="rect">
                    <a:avLst/>
                  </a:prstGeom>
                </pic:spPr>
              </pic:pic>
            </a:graphicData>
          </a:graphic>
        </wp:inline>
      </w:drawing>
    </w:r>
    <w:r>
      <w:rPr>
        <w:rFonts w:hint="eastAsia" w:ascii="宋体" w:hAnsi="宋体"/>
      </w:rPr>
      <w:t xml:space="preserve"> ︱让︱您︱的︱选︱择︱更︱专︱业︱                          </w:t>
    </w:r>
    <w:r>
      <w:rPr>
        <w:rFonts w:hint="eastAsia" w:ascii="宋体"/>
        <w:bCs/>
        <w:szCs w:val="20"/>
      </w:rPr>
      <w:t>项目编号：</w:t>
    </w:r>
    <w:r>
      <w:rPr>
        <w:rFonts w:hint="eastAsia" w:ascii="宋体" w:hAnsi="宋体"/>
      </w:rPr>
      <w:t>NSSHJDMSWSS2021017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01719F"/>
    <w:multiLevelType w:val="multilevel"/>
    <w:tmpl w:val="4501719F"/>
    <w:lvl w:ilvl="0" w:tentative="0">
      <w:start w:val="1"/>
      <w:numFmt w:val="decimal"/>
      <w:lvlText w:val="%1."/>
      <w:lvlJc w:val="left"/>
      <w:pPr>
        <w:tabs>
          <w:tab w:val="left" w:pos="420"/>
        </w:tabs>
        <w:ind w:left="420" w:hanging="420"/>
      </w:pPr>
      <w:rPr>
        <w:rFonts w:asciiTheme="minorEastAsia" w:hAnsiTheme="minorEastAsia" w:eastAsiaTheme="minorEastAsia"/>
        <w:b/>
        <w:bC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6EEB7F65"/>
    <w:multiLevelType w:val="multilevel"/>
    <w:tmpl w:val="6EEB7F65"/>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10"/>
  </w:num>
  <w:num w:numId="4">
    <w:abstractNumId w:val="6"/>
  </w:num>
  <w:num w:numId="5">
    <w:abstractNumId w:val="4"/>
  </w:num>
  <w:num w:numId="6">
    <w:abstractNumId w:val="13"/>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92721E"/>
    <w:rsid w:val="00001700"/>
    <w:rsid w:val="00001ADA"/>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62C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5C34"/>
    <w:rsid w:val="000860F1"/>
    <w:rsid w:val="00086188"/>
    <w:rsid w:val="000902F5"/>
    <w:rsid w:val="0009106B"/>
    <w:rsid w:val="0009174E"/>
    <w:rsid w:val="00091C48"/>
    <w:rsid w:val="000922CA"/>
    <w:rsid w:val="0009795D"/>
    <w:rsid w:val="000A13E7"/>
    <w:rsid w:val="000A458C"/>
    <w:rsid w:val="000A5671"/>
    <w:rsid w:val="000A6DE6"/>
    <w:rsid w:val="000B0204"/>
    <w:rsid w:val="000B4393"/>
    <w:rsid w:val="000C1E87"/>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77E7"/>
    <w:rsid w:val="00117E87"/>
    <w:rsid w:val="00125DB1"/>
    <w:rsid w:val="0012713F"/>
    <w:rsid w:val="0013147A"/>
    <w:rsid w:val="0013238D"/>
    <w:rsid w:val="00132434"/>
    <w:rsid w:val="0013496E"/>
    <w:rsid w:val="0013792D"/>
    <w:rsid w:val="001408BB"/>
    <w:rsid w:val="001434A5"/>
    <w:rsid w:val="00143653"/>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2050AC"/>
    <w:rsid w:val="002067F0"/>
    <w:rsid w:val="0021058E"/>
    <w:rsid w:val="00212D60"/>
    <w:rsid w:val="00212F40"/>
    <w:rsid w:val="00217995"/>
    <w:rsid w:val="00222C5C"/>
    <w:rsid w:val="00223671"/>
    <w:rsid w:val="0022377B"/>
    <w:rsid w:val="00224BC8"/>
    <w:rsid w:val="002254DF"/>
    <w:rsid w:val="00230D64"/>
    <w:rsid w:val="00231CC0"/>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452D"/>
    <w:rsid w:val="00340BEE"/>
    <w:rsid w:val="00341B48"/>
    <w:rsid w:val="00342196"/>
    <w:rsid w:val="00342BB7"/>
    <w:rsid w:val="0034325A"/>
    <w:rsid w:val="0035506B"/>
    <w:rsid w:val="003556B3"/>
    <w:rsid w:val="00355823"/>
    <w:rsid w:val="0036344E"/>
    <w:rsid w:val="0036385E"/>
    <w:rsid w:val="003646BE"/>
    <w:rsid w:val="003659B8"/>
    <w:rsid w:val="00366470"/>
    <w:rsid w:val="00367F19"/>
    <w:rsid w:val="00373413"/>
    <w:rsid w:val="00375D19"/>
    <w:rsid w:val="00377915"/>
    <w:rsid w:val="00377B58"/>
    <w:rsid w:val="00381A92"/>
    <w:rsid w:val="0038213F"/>
    <w:rsid w:val="003839EC"/>
    <w:rsid w:val="00383A5C"/>
    <w:rsid w:val="0038674D"/>
    <w:rsid w:val="00387BAD"/>
    <w:rsid w:val="00391238"/>
    <w:rsid w:val="003919ED"/>
    <w:rsid w:val="00394B8A"/>
    <w:rsid w:val="003A015C"/>
    <w:rsid w:val="003A2CBB"/>
    <w:rsid w:val="003A46BE"/>
    <w:rsid w:val="003A7A45"/>
    <w:rsid w:val="003B0F9C"/>
    <w:rsid w:val="003B75C8"/>
    <w:rsid w:val="003C0EBC"/>
    <w:rsid w:val="003C1459"/>
    <w:rsid w:val="003C2744"/>
    <w:rsid w:val="003C4AC5"/>
    <w:rsid w:val="003C60D2"/>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070AE"/>
    <w:rsid w:val="00416802"/>
    <w:rsid w:val="00417D92"/>
    <w:rsid w:val="00421E4B"/>
    <w:rsid w:val="00425997"/>
    <w:rsid w:val="00426F37"/>
    <w:rsid w:val="00431308"/>
    <w:rsid w:val="0043183A"/>
    <w:rsid w:val="00431932"/>
    <w:rsid w:val="004342B4"/>
    <w:rsid w:val="004348CD"/>
    <w:rsid w:val="00441E67"/>
    <w:rsid w:val="00450035"/>
    <w:rsid w:val="00451220"/>
    <w:rsid w:val="00451A79"/>
    <w:rsid w:val="00461CCC"/>
    <w:rsid w:val="004621DF"/>
    <w:rsid w:val="0046302B"/>
    <w:rsid w:val="004648D1"/>
    <w:rsid w:val="00467EB9"/>
    <w:rsid w:val="00470425"/>
    <w:rsid w:val="00470D03"/>
    <w:rsid w:val="004721EF"/>
    <w:rsid w:val="00472AC0"/>
    <w:rsid w:val="00474379"/>
    <w:rsid w:val="00475AF1"/>
    <w:rsid w:val="0047730C"/>
    <w:rsid w:val="00480D27"/>
    <w:rsid w:val="00484795"/>
    <w:rsid w:val="00484807"/>
    <w:rsid w:val="004917F1"/>
    <w:rsid w:val="004A0EAD"/>
    <w:rsid w:val="004A110E"/>
    <w:rsid w:val="004A41F0"/>
    <w:rsid w:val="004A663F"/>
    <w:rsid w:val="004B12B8"/>
    <w:rsid w:val="004B1576"/>
    <w:rsid w:val="004B7336"/>
    <w:rsid w:val="004C202C"/>
    <w:rsid w:val="004C6DF3"/>
    <w:rsid w:val="004D2988"/>
    <w:rsid w:val="004D4BB4"/>
    <w:rsid w:val="004D626A"/>
    <w:rsid w:val="004D655F"/>
    <w:rsid w:val="004D65FC"/>
    <w:rsid w:val="004D7474"/>
    <w:rsid w:val="004D7A45"/>
    <w:rsid w:val="004E063D"/>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753"/>
    <w:rsid w:val="005416C8"/>
    <w:rsid w:val="00542113"/>
    <w:rsid w:val="005455FD"/>
    <w:rsid w:val="00547D67"/>
    <w:rsid w:val="005524CE"/>
    <w:rsid w:val="005531F3"/>
    <w:rsid w:val="00555CFB"/>
    <w:rsid w:val="00555F4F"/>
    <w:rsid w:val="00556439"/>
    <w:rsid w:val="00556939"/>
    <w:rsid w:val="0056055F"/>
    <w:rsid w:val="0056100E"/>
    <w:rsid w:val="00561341"/>
    <w:rsid w:val="00564DC6"/>
    <w:rsid w:val="005671AA"/>
    <w:rsid w:val="00567770"/>
    <w:rsid w:val="00572522"/>
    <w:rsid w:val="00574D5F"/>
    <w:rsid w:val="00576106"/>
    <w:rsid w:val="00576E3D"/>
    <w:rsid w:val="00581131"/>
    <w:rsid w:val="0058488F"/>
    <w:rsid w:val="0058716D"/>
    <w:rsid w:val="0059023D"/>
    <w:rsid w:val="005908ED"/>
    <w:rsid w:val="00593FEC"/>
    <w:rsid w:val="005A0682"/>
    <w:rsid w:val="005A11D1"/>
    <w:rsid w:val="005A6373"/>
    <w:rsid w:val="005B020A"/>
    <w:rsid w:val="005B4291"/>
    <w:rsid w:val="005B5388"/>
    <w:rsid w:val="005B6604"/>
    <w:rsid w:val="005B673D"/>
    <w:rsid w:val="005B6FE9"/>
    <w:rsid w:val="005B7D46"/>
    <w:rsid w:val="005C41E3"/>
    <w:rsid w:val="005C53B8"/>
    <w:rsid w:val="005C7E25"/>
    <w:rsid w:val="005D0AD2"/>
    <w:rsid w:val="005D7D3D"/>
    <w:rsid w:val="005E06E8"/>
    <w:rsid w:val="005E3019"/>
    <w:rsid w:val="005E706A"/>
    <w:rsid w:val="005E753B"/>
    <w:rsid w:val="005F03B6"/>
    <w:rsid w:val="005F16D1"/>
    <w:rsid w:val="005F3388"/>
    <w:rsid w:val="005F6355"/>
    <w:rsid w:val="006000D1"/>
    <w:rsid w:val="00603607"/>
    <w:rsid w:val="00603F49"/>
    <w:rsid w:val="00606978"/>
    <w:rsid w:val="00610619"/>
    <w:rsid w:val="00610975"/>
    <w:rsid w:val="0062125E"/>
    <w:rsid w:val="0062212B"/>
    <w:rsid w:val="006225DB"/>
    <w:rsid w:val="0062260D"/>
    <w:rsid w:val="00623369"/>
    <w:rsid w:val="00623C97"/>
    <w:rsid w:val="006319CC"/>
    <w:rsid w:val="00634A21"/>
    <w:rsid w:val="006357E2"/>
    <w:rsid w:val="00637069"/>
    <w:rsid w:val="006372F9"/>
    <w:rsid w:val="00641107"/>
    <w:rsid w:val="00641797"/>
    <w:rsid w:val="00644032"/>
    <w:rsid w:val="006506D0"/>
    <w:rsid w:val="00650E75"/>
    <w:rsid w:val="00657879"/>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8BA"/>
    <w:rsid w:val="007007AD"/>
    <w:rsid w:val="007033A9"/>
    <w:rsid w:val="007117F6"/>
    <w:rsid w:val="00712C52"/>
    <w:rsid w:val="0071336B"/>
    <w:rsid w:val="00716CD2"/>
    <w:rsid w:val="0072185F"/>
    <w:rsid w:val="007246E4"/>
    <w:rsid w:val="0073039E"/>
    <w:rsid w:val="00734F94"/>
    <w:rsid w:val="0073673B"/>
    <w:rsid w:val="00737D95"/>
    <w:rsid w:val="00737FC4"/>
    <w:rsid w:val="00741FD2"/>
    <w:rsid w:val="00743641"/>
    <w:rsid w:val="0074554E"/>
    <w:rsid w:val="00746085"/>
    <w:rsid w:val="007478D2"/>
    <w:rsid w:val="00747EB3"/>
    <w:rsid w:val="00751803"/>
    <w:rsid w:val="00752BE7"/>
    <w:rsid w:val="00761704"/>
    <w:rsid w:val="00765F75"/>
    <w:rsid w:val="00774808"/>
    <w:rsid w:val="00775174"/>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7268"/>
    <w:rsid w:val="007B04BF"/>
    <w:rsid w:val="007B0787"/>
    <w:rsid w:val="007B26C7"/>
    <w:rsid w:val="007B2B61"/>
    <w:rsid w:val="007B3AD9"/>
    <w:rsid w:val="007B58FA"/>
    <w:rsid w:val="007B74AA"/>
    <w:rsid w:val="007B7AF5"/>
    <w:rsid w:val="007C0D11"/>
    <w:rsid w:val="007C0D69"/>
    <w:rsid w:val="007C257D"/>
    <w:rsid w:val="007C26B2"/>
    <w:rsid w:val="007C2F5D"/>
    <w:rsid w:val="007C4F53"/>
    <w:rsid w:val="007C58D1"/>
    <w:rsid w:val="007D5DA8"/>
    <w:rsid w:val="007D66B8"/>
    <w:rsid w:val="007E02D8"/>
    <w:rsid w:val="007E1366"/>
    <w:rsid w:val="007E1962"/>
    <w:rsid w:val="007E48DC"/>
    <w:rsid w:val="007E76F6"/>
    <w:rsid w:val="007F165A"/>
    <w:rsid w:val="007F17BF"/>
    <w:rsid w:val="007F27D8"/>
    <w:rsid w:val="007F4543"/>
    <w:rsid w:val="008030D9"/>
    <w:rsid w:val="0080582E"/>
    <w:rsid w:val="00807B71"/>
    <w:rsid w:val="008237EB"/>
    <w:rsid w:val="008269F9"/>
    <w:rsid w:val="00826A54"/>
    <w:rsid w:val="00827512"/>
    <w:rsid w:val="00832E2E"/>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3163"/>
    <w:rsid w:val="008851EB"/>
    <w:rsid w:val="0088638A"/>
    <w:rsid w:val="00890CA8"/>
    <w:rsid w:val="00890FDF"/>
    <w:rsid w:val="00895D7F"/>
    <w:rsid w:val="00897349"/>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3A19"/>
    <w:rsid w:val="0091015C"/>
    <w:rsid w:val="009104BA"/>
    <w:rsid w:val="00914903"/>
    <w:rsid w:val="0091601F"/>
    <w:rsid w:val="0091741B"/>
    <w:rsid w:val="00917609"/>
    <w:rsid w:val="00921F09"/>
    <w:rsid w:val="009255DA"/>
    <w:rsid w:val="00926F67"/>
    <w:rsid w:val="0092721E"/>
    <w:rsid w:val="00932B30"/>
    <w:rsid w:val="009331B8"/>
    <w:rsid w:val="00933C43"/>
    <w:rsid w:val="0094309C"/>
    <w:rsid w:val="00945824"/>
    <w:rsid w:val="00945BC4"/>
    <w:rsid w:val="00945F96"/>
    <w:rsid w:val="00953A98"/>
    <w:rsid w:val="0096534D"/>
    <w:rsid w:val="00965DAA"/>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C31D2"/>
    <w:rsid w:val="009C45A9"/>
    <w:rsid w:val="009C4ABC"/>
    <w:rsid w:val="009C5636"/>
    <w:rsid w:val="009C5668"/>
    <w:rsid w:val="009C69B9"/>
    <w:rsid w:val="009C6AB2"/>
    <w:rsid w:val="009C7A54"/>
    <w:rsid w:val="009D2CFF"/>
    <w:rsid w:val="009D3B80"/>
    <w:rsid w:val="009D4B28"/>
    <w:rsid w:val="009D5377"/>
    <w:rsid w:val="009E46B5"/>
    <w:rsid w:val="009E5524"/>
    <w:rsid w:val="009E55F7"/>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405C"/>
    <w:rsid w:val="00A15D08"/>
    <w:rsid w:val="00A21DC1"/>
    <w:rsid w:val="00A274B6"/>
    <w:rsid w:val="00A276AE"/>
    <w:rsid w:val="00A278DE"/>
    <w:rsid w:val="00A379E7"/>
    <w:rsid w:val="00A42BF9"/>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39A7"/>
    <w:rsid w:val="00A83D9C"/>
    <w:rsid w:val="00A83FD6"/>
    <w:rsid w:val="00A85936"/>
    <w:rsid w:val="00A91FC7"/>
    <w:rsid w:val="00A95530"/>
    <w:rsid w:val="00A97E74"/>
    <w:rsid w:val="00AA0039"/>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E0AF4"/>
    <w:rsid w:val="00AE145A"/>
    <w:rsid w:val="00AE2FD7"/>
    <w:rsid w:val="00AE4FBA"/>
    <w:rsid w:val="00AE5548"/>
    <w:rsid w:val="00AF5EFA"/>
    <w:rsid w:val="00AF6E32"/>
    <w:rsid w:val="00B004A7"/>
    <w:rsid w:val="00B01244"/>
    <w:rsid w:val="00B024C1"/>
    <w:rsid w:val="00B03D31"/>
    <w:rsid w:val="00B050C8"/>
    <w:rsid w:val="00B150F4"/>
    <w:rsid w:val="00B154D9"/>
    <w:rsid w:val="00B20BF2"/>
    <w:rsid w:val="00B24F2D"/>
    <w:rsid w:val="00B25C40"/>
    <w:rsid w:val="00B31D23"/>
    <w:rsid w:val="00B40884"/>
    <w:rsid w:val="00B428CE"/>
    <w:rsid w:val="00B42917"/>
    <w:rsid w:val="00B460E0"/>
    <w:rsid w:val="00B465AC"/>
    <w:rsid w:val="00B46C05"/>
    <w:rsid w:val="00B47897"/>
    <w:rsid w:val="00B50098"/>
    <w:rsid w:val="00B52A0A"/>
    <w:rsid w:val="00B5646B"/>
    <w:rsid w:val="00B572DA"/>
    <w:rsid w:val="00B63AED"/>
    <w:rsid w:val="00B6513D"/>
    <w:rsid w:val="00B654D7"/>
    <w:rsid w:val="00B70BD3"/>
    <w:rsid w:val="00B74143"/>
    <w:rsid w:val="00B7730E"/>
    <w:rsid w:val="00B8077A"/>
    <w:rsid w:val="00B830C6"/>
    <w:rsid w:val="00B86999"/>
    <w:rsid w:val="00B92CA9"/>
    <w:rsid w:val="00B94780"/>
    <w:rsid w:val="00B95C3B"/>
    <w:rsid w:val="00B96274"/>
    <w:rsid w:val="00B97BEF"/>
    <w:rsid w:val="00B97D8F"/>
    <w:rsid w:val="00BA050F"/>
    <w:rsid w:val="00BA27BC"/>
    <w:rsid w:val="00BA2E52"/>
    <w:rsid w:val="00BA330A"/>
    <w:rsid w:val="00BA4DB4"/>
    <w:rsid w:val="00BA6798"/>
    <w:rsid w:val="00BB38E9"/>
    <w:rsid w:val="00BB78C0"/>
    <w:rsid w:val="00BC75E7"/>
    <w:rsid w:val="00BD0CD6"/>
    <w:rsid w:val="00BD5EF6"/>
    <w:rsid w:val="00BE0158"/>
    <w:rsid w:val="00BE182E"/>
    <w:rsid w:val="00BE396E"/>
    <w:rsid w:val="00BE3EBF"/>
    <w:rsid w:val="00BE6513"/>
    <w:rsid w:val="00BE69CF"/>
    <w:rsid w:val="00BE7E35"/>
    <w:rsid w:val="00BF0E06"/>
    <w:rsid w:val="00BF441D"/>
    <w:rsid w:val="00BF6916"/>
    <w:rsid w:val="00C00312"/>
    <w:rsid w:val="00C03C34"/>
    <w:rsid w:val="00C065F1"/>
    <w:rsid w:val="00C07200"/>
    <w:rsid w:val="00C114B4"/>
    <w:rsid w:val="00C14E97"/>
    <w:rsid w:val="00C159B0"/>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8338C"/>
    <w:rsid w:val="00C83CF6"/>
    <w:rsid w:val="00C87456"/>
    <w:rsid w:val="00C90013"/>
    <w:rsid w:val="00C915BE"/>
    <w:rsid w:val="00C9438D"/>
    <w:rsid w:val="00C95509"/>
    <w:rsid w:val="00C962B0"/>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E02DE"/>
    <w:rsid w:val="00CE044A"/>
    <w:rsid w:val="00CE79BA"/>
    <w:rsid w:val="00CF5BDF"/>
    <w:rsid w:val="00CF5D13"/>
    <w:rsid w:val="00CF6C8E"/>
    <w:rsid w:val="00CF78C4"/>
    <w:rsid w:val="00CF7918"/>
    <w:rsid w:val="00D002F6"/>
    <w:rsid w:val="00D010E8"/>
    <w:rsid w:val="00D01CEB"/>
    <w:rsid w:val="00D071DD"/>
    <w:rsid w:val="00D07825"/>
    <w:rsid w:val="00D161B4"/>
    <w:rsid w:val="00D21D24"/>
    <w:rsid w:val="00D22C58"/>
    <w:rsid w:val="00D23654"/>
    <w:rsid w:val="00D302D5"/>
    <w:rsid w:val="00D302E7"/>
    <w:rsid w:val="00D311D5"/>
    <w:rsid w:val="00D363C1"/>
    <w:rsid w:val="00D37BD4"/>
    <w:rsid w:val="00D40031"/>
    <w:rsid w:val="00D44A17"/>
    <w:rsid w:val="00D51499"/>
    <w:rsid w:val="00D51B32"/>
    <w:rsid w:val="00D521D5"/>
    <w:rsid w:val="00D52CE8"/>
    <w:rsid w:val="00D52E22"/>
    <w:rsid w:val="00D54E2B"/>
    <w:rsid w:val="00D55532"/>
    <w:rsid w:val="00D55E4A"/>
    <w:rsid w:val="00D6021B"/>
    <w:rsid w:val="00D609F7"/>
    <w:rsid w:val="00D61B9D"/>
    <w:rsid w:val="00D66300"/>
    <w:rsid w:val="00D72720"/>
    <w:rsid w:val="00D761F6"/>
    <w:rsid w:val="00D76638"/>
    <w:rsid w:val="00D77521"/>
    <w:rsid w:val="00D77672"/>
    <w:rsid w:val="00D77FC1"/>
    <w:rsid w:val="00D82076"/>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10E9"/>
    <w:rsid w:val="00DC3AD7"/>
    <w:rsid w:val="00DC5D0B"/>
    <w:rsid w:val="00DC7767"/>
    <w:rsid w:val="00DD0784"/>
    <w:rsid w:val="00DD2311"/>
    <w:rsid w:val="00DD34FB"/>
    <w:rsid w:val="00DD3899"/>
    <w:rsid w:val="00DD68C9"/>
    <w:rsid w:val="00DD78F5"/>
    <w:rsid w:val="00DD7C6C"/>
    <w:rsid w:val="00DE260D"/>
    <w:rsid w:val="00DE38CC"/>
    <w:rsid w:val="00DE413C"/>
    <w:rsid w:val="00DE55E7"/>
    <w:rsid w:val="00DE787B"/>
    <w:rsid w:val="00DE7A63"/>
    <w:rsid w:val="00DF0A47"/>
    <w:rsid w:val="00DF120D"/>
    <w:rsid w:val="00DF13EC"/>
    <w:rsid w:val="00DF3CF6"/>
    <w:rsid w:val="00DF4757"/>
    <w:rsid w:val="00E0054F"/>
    <w:rsid w:val="00E0397C"/>
    <w:rsid w:val="00E03FF5"/>
    <w:rsid w:val="00E04B8E"/>
    <w:rsid w:val="00E21F5F"/>
    <w:rsid w:val="00E30C88"/>
    <w:rsid w:val="00E316A5"/>
    <w:rsid w:val="00E42AAA"/>
    <w:rsid w:val="00E42C79"/>
    <w:rsid w:val="00E45C51"/>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1BF2"/>
    <w:rsid w:val="00EE5C4F"/>
    <w:rsid w:val="00EF1C61"/>
    <w:rsid w:val="00EF4D85"/>
    <w:rsid w:val="00EF7352"/>
    <w:rsid w:val="00F01D8F"/>
    <w:rsid w:val="00F04196"/>
    <w:rsid w:val="00F06302"/>
    <w:rsid w:val="00F07632"/>
    <w:rsid w:val="00F104DE"/>
    <w:rsid w:val="00F11013"/>
    <w:rsid w:val="00F12E4B"/>
    <w:rsid w:val="00F145ED"/>
    <w:rsid w:val="00F15515"/>
    <w:rsid w:val="00F16535"/>
    <w:rsid w:val="00F21613"/>
    <w:rsid w:val="00F24EC2"/>
    <w:rsid w:val="00F315A5"/>
    <w:rsid w:val="00F35A3D"/>
    <w:rsid w:val="00F363E8"/>
    <w:rsid w:val="00F379A2"/>
    <w:rsid w:val="00F37C26"/>
    <w:rsid w:val="00F450AB"/>
    <w:rsid w:val="00F45EF7"/>
    <w:rsid w:val="00F50C05"/>
    <w:rsid w:val="00F54675"/>
    <w:rsid w:val="00F5640B"/>
    <w:rsid w:val="00F61B67"/>
    <w:rsid w:val="00F61CB9"/>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A08"/>
    <w:rsid w:val="00FA6B1A"/>
    <w:rsid w:val="00FB241A"/>
    <w:rsid w:val="00FB2D6B"/>
    <w:rsid w:val="00FB4792"/>
    <w:rsid w:val="00FB6140"/>
    <w:rsid w:val="00FC0238"/>
    <w:rsid w:val="00FC6FD2"/>
    <w:rsid w:val="00FC71DD"/>
    <w:rsid w:val="00FC7AE7"/>
    <w:rsid w:val="00FD006C"/>
    <w:rsid w:val="00FD0D5C"/>
    <w:rsid w:val="00FD1029"/>
    <w:rsid w:val="00FD5266"/>
    <w:rsid w:val="00FD71A3"/>
    <w:rsid w:val="00FD7C0B"/>
    <w:rsid w:val="00FE03E1"/>
    <w:rsid w:val="00FF0084"/>
    <w:rsid w:val="00FF1227"/>
    <w:rsid w:val="00FF2E2F"/>
    <w:rsid w:val="00FF3314"/>
    <w:rsid w:val="00FF3666"/>
    <w:rsid w:val="00FF447A"/>
    <w:rsid w:val="00FF5777"/>
    <w:rsid w:val="01C84ACF"/>
    <w:rsid w:val="01FF6BA9"/>
    <w:rsid w:val="02D159D1"/>
    <w:rsid w:val="034155E9"/>
    <w:rsid w:val="04712AB4"/>
    <w:rsid w:val="054A1175"/>
    <w:rsid w:val="06291FC7"/>
    <w:rsid w:val="06974D24"/>
    <w:rsid w:val="07E0325B"/>
    <w:rsid w:val="08210266"/>
    <w:rsid w:val="0858402D"/>
    <w:rsid w:val="0994675E"/>
    <w:rsid w:val="09A55995"/>
    <w:rsid w:val="0AD51A28"/>
    <w:rsid w:val="0B1D5B5E"/>
    <w:rsid w:val="0C762DC1"/>
    <w:rsid w:val="0CE70ED2"/>
    <w:rsid w:val="0D9C069D"/>
    <w:rsid w:val="0E1034C8"/>
    <w:rsid w:val="0E9555F6"/>
    <w:rsid w:val="116F7B99"/>
    <w:rsid w:val="11874FBE"/>
    <w:rsid w:val="11CA62F8"/>
    <w:rsid w:val="11F9626D"/>
    <w:rsid w:val="12441A2F"/>
    <w:rsid w:val="128B44DB"/>
    <w:rsid w:val="12A1740C"/>
    <w:rsid w:val="12B27391"/>
    <w:rsid w:val="12C372BA"/>
    <w:rsid w:val="12E20848"/>
    <w:rsid w:val="131258B0"/>
    <w:rsid w:val="13C67FD4"/>
    <w:rsid w:val="14CF5540"/>
    <w:rsid w:val="158D7F1F"/>
    <w:rsid w:val="15B048EF"/>
    <w:rsid w:val="15CB2BCA"/>
    <w:rsid w:val="15D73229"/>
    <w:rsid w:val="164E12CF"/>
    <w:rsid w:val="167D26E9"/>
    <w:rsid w:val="17DA3CAD"/>
    <w:rsid w:val="189669D2"/>
    <w:rsid w:val="18E011D9"/>
    <w:rsid w:val="19942538"/>
    <w:rsid w:val="1A90434E"/>
    <w:rsid w:val="1A9D17F9"/>
    <w:rsid w:val="1AF736B3"/>
    <w:rsid w:val="1B545730"/>
    <w:rsid w:val="1B8148BC"/>
    <w:rsid w:val="1BA06EA1"/>
    <w:rsid w:val="1CA7361F"/>
    <w:rsid w:val="1CDC12E6"/>
    <w:rsid w:val="1D0E0CA7"/>
    <w:rsid w:val="1E0D3178"/>
    <w:rsid w:val="1E120C67"/>
    <w:rsid w:val="2088262E"/>
    <w:rsid w:val="20A13576"/>
    <w:rsid w:val="21A26BDD"/>
    <w:rsid w:val="2247415A"/>
    <w:rsid w:val="228215B9"/>
    <w:rsid w:val="23044152"/>
    <w:rsid w:val="231A58BB"/>
    <w:rsid w:val="24332D1E"/>
    <w:rsid w:val="24A93E4E"/>
    <w:rsid w:val="24DC54B3"/>
    <w:rsid w:val="27BD29B1"/>
    <w:rsid w:val="28B94C71"/>
    <w:rsid w:val="296D600F"/>
    <w:rsid w:val="2AF32F8C"/>
    <w:rsid w:val="2B5257FF"/>
    <w:rsid w:val="2CB7248E"/>
    <w:rsid w:val="2D194A73"/>
    <w:rsid w:val="2D28362B"/>
    <w:rsid w:val="2D8C1A45"/>
    <w:rsid w:val="2D911AC4"/>
    <w:rsid w:val="2D9E167E"/>
    <w:rsid w:val="2DD65AFA"/>
    <w:rsid w:val="2DFD1CC9"/>
    <w:rsid w:val="2EED7377"/>
    <w:rsid w:val="31347A94"/>
    <w:rsid w:val="31BE7FF5"/>
    <w:rsid w:val="325A3A14"/>
    <w:rsid w:val="325C2FDC"/>
    <w:rsid w:val="32BD343E"/>
    <w:rsid w:val="346E158D"/>
    <w:rsid w:val="35087B02"/>
    <w:rsid w:val="358940BB"/>
    <w:rsid w:val="36900730"/>
    <w:rsid w:val="38095242"/>
    <w:rsid w:val="38860C34"/>
    <w:rsid w:val="38E839A5"/>
    <w:rsid w:val="39E569E8"/>
    <w:rsid w:val="3AAA7DB1"/>
    <w:rsid w:val="3B6038D2"/>
    <w:rsid w:val="3C8A61F2"/>
    <w:rsid w:val="3D0E417C"/>
    <w:rsid w:val="3E5C3996"/>
    <w:rsid w:val="3F0432D7"/>
    <w:rsid w:val="3F1D5B21"/>
    <w:rsid w:val="3F2C0B45"/>
    <w:rsid w:val="42680D91"/>
    <w:rsid w:val="439249A4"/>
    <w:rsid w:val="43A115C2"/>
    <w:rsid w:val="44AB4958"/>
    <w:rsid w:val="44C95E4D"/>
    <w:rsid w:val="458E49BA"/>
    <w:rsid w:val="45915284"/>
    <w:rsid w:val="46726930"/>
    <w:rsid w:val="46A369EF"/>
    <w:rsid w:val="46BC1807"/>
    <w:rsid w:val="46C24A73"/>
    <w:rsid w:val="47815855"/>
    <w:rsid w:val="47A22569"/>
    <w:rsid w:val="487F2A35"/>
    <w:rsid w:val="48B673C6"/>
    <w:rsid w:val="495D6541"/>
    <w:rsid w:val="4A3E7AAC"/>
    <w:rsid w:val="4A422225"/>
    <w:rsid w:val="4C916798"/>
    <w:rsid w:val="4CDD7942"/>
    <w:rsid w:val="4D1F0574"/>
    <w:rsid w:val="4D273696"/>
    <w:rsid w:val="4E95688E"/>
    <w:rsid w:val="4F2C382D"/>
    <w:rsid w:val="4F947BD2"/>
    <w:rsid w:val="50683BF9"/>
    <w:rsid w:val="519C31EF"/>
    <w:rsid w:val="51A95397"/>
    <w:rsid w:val="520E5239"/>
    <w:rsid w:val="523D231B"/>
    <w:rsid w:val="531373EA"/>
    <w:rsid w:val="53634631"/>
    <w:rsid w:val="53675695"/>
    <w:rsid w:val="53CF11CD"/>
    <w:rsid w:val="55034069"/>
    <w:rsid w:val="5539570C"/>
    <w:rsid w:val="55C65745"/>
    <w:rsid w:val="574F208F"/>
    <w:rsid w:val="57CB2D78"/>
    <w:rsid w:val="57CE2535"/>
    <w:rsid w:val="57DD63F9"/>
    <w:rsid w:val="58CC1B7A"/>
    <w:rsid w:val="58E6777D"/>
    <w:rsid w:val="58EF734E"/>
    <w:rsid w:val="59F471C6"/>
    <w:rsid w:val="5A106B3E"/>
    <w:rsid w:val="5AB71FF9"/>
    <w:rsid w:val="5ADA4713"/>
    <w:rsid w:val="5B7E4B0D"/>
    <w:rsid w:val="5B857A67"/>
    <w:rsid w:val="5B894E42"/>
    <w:rsid w:val="5BA31905"/>
    <w:rsid w:val="5BA6437E"/>
    <w:rsid w:val="5CCA6CF3"/>
    <w:rsid w:val="5CF94CC8"/>
    <w:rsid w:val="5DFC4D91"/>
    <w:rsid w:val="600318B5"/>
    <w:rsid w:val="60427BE4"/>
    <w:rsid w:val="61A92371"/>
    <w:rsid w:val="61B612ED"/>
    <w:rsid w:val="62D82485"/>
    <w:rsid w:val="63401DB2"/>
    <w:rsid w:val="66463CD1"/>
    <w:rsid w:val="682F49FC"/>
    <w:rsid w:val="69325DE5"/>
    <w:rsid w:val="6A636C9A"/>
    <w:rsid w:val="6ADA181C"/>
    <w:rsid w:val="6BA71178"/>
    <w:rsid w:val="6C9331E3"/>
    <w:rsid w:val="6DD7078C"/>
    <w:rsid w:val="6E024D7E"/>
    <w:rsid w:val="6E771456"/>
    <w:rsid w:val="6E8359FA"/>
    <w:rsid w:val="6F26173F"/>
    <w:rsid w:val="700B19B6"/>
    <w:rsid w:val="70DD729C"/>
    <w:rsid w:val="71101551"/>
    <w:rsid w:val="71D92BDF"/>
    <w:rsid w:val="72050762"/>
    <w:rsid w:val="72122E05"/>
    <w:rsid w:val="72455CBC"/>
    <w:rsid w:val="73E91CC6"/>
    <w:rsid w:val="746F3DF1"/>
    <w:rsid w:val="75C37045"/>
    <w:rsid w:val="76D506A4"/>
    <w:rsid w:val="780D2EC9"/>
    <w:rsid w:val="79236EA2"/>
    <w:rsid w:val="7A406952"/>
    <w:rsid w:val="7B913B8F"/>
    <w:rsid w:val="7C387A49"/>
    <w:rsid w:val="7C591904"/>
    <w:rsid w:val="7C92478F"/>
    <w:rsid w:val="7CBF510C"/>
    <w:rsid w:val="7CDB12D7"/>
    <w:rsid w:val="7DE35C30"/>
    <w:rsid w:val="7DFE679C"/>
    <w:rsid w:val="7E1068A1"/>
    <w:rsid w:val="7E710884"/>
    <w:rsid w:val="7F82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widowControl/>
      <w:jc w:val="left"/>
      <w:outlineLvl w:val="0"/>
    </w:pPr>
    <w:rPr>
      <w:b/>
      <w:bCs/>
      <w:kern w:val="0"/>
      <w:sz w:val="2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outlineLvl w:val="2"/>
    </w:pPr>
    <w:rPr>
      <w:rFonts w:ascii="楷体_GB2312" w:hAnsi="宋体" w:eastAsia="楷体_GB2312"/>
      <w:b/>
      <w:bCs/>
      <w:sz w:val="32"/>
    </w:rPr>
  </w:style>
  <w:style w:type="paragraph" w:styleId="5">
    <w:name w:val="heading 4"/>
    <w:basedOn w:val="1"/>
    <w:next w:val="1"/>
    <w:link w:val="50"/>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1"/>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2"/>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3"/>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4"/>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5"/>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105"/>
    <w:qFormat/>
    <w:uiPriority w:val="0"/>
    <w:pPr>
      <w:ind w:firstLine="420" w:firstLineChars="200"/>
    </w:pPr>
    <w:rPr>
      <w:szCs w:val="21"/>
    </w:rPr>
  </w:style>
  <w:style w:type="paragraph" w:styleId="13">
    <w:name w:val="Document Map"/>
    <w:basedOn w:val="1"/>
    <w:link w:val="87"/>
    <w:qFormat/>
    <w:uiPriority w:val="0"/>
    <w:pPr>
      <w:shd w:val="clear" w:color="auto" w:fill="000080"/>
    </w:pPr>
    <w:rPr>
      <w:szCs w:val="20"/>
    </w:rPr>
  </w:style>
  <w:style w:type="paragraph" w:styleId="14">
    <w:name w:val="annotation text"/>
    <w:basedOn w:val="1"/>
    <w:link w:val="62"/>
    <w:qFormat/>
    <w:uiPriority w:val="0"/>
    <w:pPr>
      <w:jc w:val="left"/>
    </w:pPr>
    <w:rPr>
      <w:rFonts w:asciiTheme="minorHAnsi" w:hAnsiTheme="minorHAnsi" w:eastAsiaTheme="minorEastAsia" w:cstheme="minorBidi"/>
    </w:rPr>
  </w:style>
  <w:style w:type="paragraph" w:styleId="15">
    <w:name w:val="Body Text 3"/>
    <w:basedOn w:val="1"/>
    <w:link w:val="80"/>
    <w:qFormat/>
    <w:uiPriority w:val="0"/>
    <w:pPr>
      <w:spacing w:after="120"/>
    </w:pPr>
    <w:rPr>
      <w:sz w:val="16"/>
      <w:szCs w:val="16"/>
    </w:rPr>
  </w:style>
  <w:style w:type="paragraph" w:styleId="16">
    <w:name w:val="Body Text"/>
    <w:basedOn w:val="1"/>
    <w:link w:val="90"/>
    <w:qFormat/>
    <w:uiPriority w:val="0"/>
    <w:pPr>
      <w:spacing w:after="120"/>
    </w:pPr>
  </w:style>
  <w:style w:type="paragraph" w:styleId="17">
    <w:name w:val="Body Text Indent"/>
    <w:basedOn w:val="1"/>
    <w:link w:val="75"/>
    <w:qFormat/>
    <w:uiPriority w:val="0"/>
    <w:pPr>
      <w:spacing w:line="560" w:lineRule="exact"/>
      <w:ind w:left="300"/>
    </w:pPr>
    <w:rPr>
      <w:sz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39"/>
    <w:pPr>
      <w:ind w:left="420"/>
      <w:jc w:val="left"/>
    </w:pPr>
    <w:rPr>
      <w:rFonts w:ascii="Calibri" w:hAnsi="Calibri" w:cs="Calibri"/>
      <w:i/>
      <w:iCs/>
      <w:sz w:val="20"/>
      <w:szCs w:val="20"/>
    </w:rPr>
  </w:style>
  <w:style w:type="paragraph" w:styleId="20">
    <w:name w:val="Plain Text"/>
    <w:basedOn w:val="1"/>
    <w:link w:val="61"/>
    <w:qFormat/>
    <w:uiPriority w:val="0"/>
    <w:rPr>
      <w:rFonts w:ascii="宋体" w:hAnsi="Courier New" w:cs="Courier New" w:eastAsiaTheme="minorEastAsia"/>
      <w:szCs w:val="21"/>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link w:val="93"/>
    <w:qFormat/>
    <w:uiPriority w:val="0"/>
    <w:pPr>
      <w:widowControl/>
    </w:pPr>
    <w:rPr>
      <w:rFonts w:ascii="宋体"/>
      <w:kern w:val="0"/>
      <w:szCs w:val="20"/>
    </w:rPr>
  </w:style>
  <w:style w:type="paragraph" w:styleId="23">
    <w:name w:val="Body Text Indent 2"/>
    <w:basedOn w:val="1"/>
    <w:link w:val="91"/>
    <w:qFormat/>
    <w:uiPriority w:val="0"/>
    <w:pPr>
      <w:spacing w:line="540" w:lineRule="exact"/>
      <w:ind w:left="462" w:leftChars="220"/>
    </w:pPr>
    <w:rPr>
      <w:sz w:val="24"/>
    </w:rPr>
  </w:style>
  <w:style w:type="paragraph" w:styleId="24">
    <w:name w:val="Balloon Text"/>
    <w:basedOn w:val="1"/>
    <w:link w:val="58"/>
    <w:qFormat/>
    <w:uiPriority w:val="0"/>
    <w:rPr>
      <w:rFonts w:asciiTheme="minorHAnsi" w:hAnsiTheme="minorHAnsi" w:cstheme="minorBidi"/>
      <w:sz w:val="18"/>
      <w:szCs w:val="22"/>
    </w:rPr>
  </w:style>
  <w:style w:type="paragraph" w:styleId="25">
    <w:name w:val="footer"/>
    <w:basedOn w:val="1"/>
    <w:link w:val="46"/>
    <w:unhideWhenUsed/>
    <w:qFormat/>
    <w:uiPriority w:val="0"/>
    <w:pPr>
      <w:tabs>
        <w:tab w:val="center" w:pos="4153"/>
        <w:tab w:val="right" w:pos="8306"/>
      </w:tabs>
      <w:snapToGrid w:val="0"/>
      <w:jc w:val="left"/>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0"/>
    <w:pPr>
      <w:ind w:left="630"/>
      <w:jc w:val="left"/>
    </w:pPr>
    <w:rPr>
      <w:rFonts w:ascii="Calibri" w:hAnsi="Calibri" w:cs="Calibri"/>
      <w:sz w:val="18"/>
      <w:szCs w:val="18"/>
    </w:rPr>
  </w:style>
  <w:style w:type="paragraph" w:styleId="29">
    <w:name w:val="toc 6"/>
    <w:basedOn w:val="1"/>
    <w:next w:val="1"/>
    <w:qFormat/>
    <w:uiPriority w:val="0"/>
    <w:pPr>
      <w:ind w:left="1050"/>
      <w:jc w:val="left"/>
    </w:pPr>
    <w:rPr>
      <w:rFonts w:ascii="Calibri" w:hAnsi="Calibri" w:cs="Calibri"/>
      <w:sz w:val="18"/>
      <w:szCs w:val="18"/>
    </w:rPr>
  </w:style>
  <w:style w:type="paragraph" w:styleId="30">
    <w:name w:val="Body Text Indent 3"/>
    <w:basedOn w:val="1"/>
    <w:link w:val="96"/>
    <w:qFormat/>
    <w:uiPriority w:val="0"/>
    <w:pPr>
      <w:spacing w:after="120"/>
      <w:ind w:left="420" w:leftChars="200"/>
    </w:pPr>
    <w:rPr>
      <w:sz w:val="16"/>
      <w:szCs w:val="16"/>
    </w:rPr>
  </w:style>
  <w:style w:type="paragraph" w:styleId="31">
    <w:name w:val="toc 2"/>
    <w:basedOn w:val="1"/>
    <w:next w:val="1"/>
    <w:qFormat/>
    <w:uiPriority w:val="39"/>
    <w:pPr>
      <w:ind w:left="210"/>
      <w:jc w:val="left"/>
    </w:pPr>
    <w:rPr>
      <w:rFonts w:ascii="Calibri" w:hAnsi="Calibri" w:cs="Calibri"/>
      <w:smallCaps/>
      <w:szCs w:val="20"/>
    </w:rPr>
  </w:style>
  <w:style w:type="paragraph" w:styleId="32">
    <w:name w:val="toc 9"/>
    <w:basedOn w:val="1"/>
    <w:next w:val="1"/>
    <w:qFormat/>
    <w:uiPriority w:val="0"/>
    <w:pPr>
      <w:ind w:left="1680"/>
      <w:jc w:val="left"/>
    </w:pPr>
    <w:rPr>
      <w:rFonts w:ascii="Calibri" w:hAnsi="Calibri" w:cs="Calibri"/>
      <w:sz w:val="18"/>
      <w:szCs w:val="18"/>
    </w:rPr>
  </w:style>
  <w:style w:type="paragraph" w:styleId="33">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86"/>
    <w:semiHidden/>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unhideWhenUsed/>
    <w:qFormat/>
    <w:uiPriority w:val="99"/>
    <w:rPr>
      <w:color w:val="800080" w:themeColor="followedHyperlink"/>
      <w:u w:val="single"/>
      <w14:textFill>
        <w14:solidFill>
          <w14:schemeClr w14:val="folHlink"/>
        </w14:solidFill>
      </w14:textFill>
    </w:rPr>
  </w:style>
  <w:style w:type="character" w:styleId="42">
    <w:name w:val="Emphasis"/>
    <w:qFormat/>
    <w:uiPriority w:val="2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character" w:customStyle="1" w:styleId="45">
    <w:name w:val="页眉 字符"/>
    <w:basedOn w:val="38"/>
    <w:link w:val="26"/>
    <w:qFormat/>
    <w:uiPriority w:val="0"/>
    <w:rPr>
      <w:sz w:val="18"/>
      <w:szCs w:val="18"/>
    </w:rPr>
  </w:style>
  <w:style w:type="character" w:customStyle="1" w:styleId="46">
    <w:name w:val="页脚 字符"/>
    <w:basedOn w:val="38"/>
    <w:link w:val="25"/>
    <w:qFormat/>
    <w:uiPriority w:val="0"/>
    <w:rPr>
      <w:sz w:val="18"/>
      <w:szCs w:val="18"/>
    </w:rPr>
  </w:style>
  <w:style w:type="character" w:customStyle="1" w:styleId="47">
    <w:name w:val="标题 1 字符"/>
    <w:basedOn w:val="38"/>
    <w:link w:val="2"/>
    <w:qFormat/>
    <w:uiPriority w:val="0"/>
    <w:rPr>
      <w:rFonts w:ascii="Times New Roman" w:hAnsi="Times New Roman" w:eastAsia="宋体" w:cs="Times New Roman"/>
      <w:b/>
      <w:bCs/>
      <w:kern w:val="0"/>
      <w:sz w:val="24"/>
      <w:szCs w:val="24"/>
    </w:rPr>
  </w:style>
  <w:style w:type="character" w:customStyle="1" w:styleId="48">
    <w:name w:val="标题 2 字符"/>
    <w:basedOn w:val="38"/>
    <w:link w:val="3"/>
    <w:qFormat/>
    <w:uiPriority w:val="0"/>
    <w:rPr>
      <w:rFonts w:ascii="Arial" w:hAnsi="Arial" w:eastAsia="黑体" w:cs="Times New Roman"/>
      <w:b/>
      <w:bCs/>
      <w:sz w:val="32"/>
      <w:szCs w:val="32"/>
    </w:rPr>
  </w:style>
  <w:style w:type="character" w:customStyle="1" w:styleId="49">
    <w:name w:val="标题 3 字符"/>
    <w:basedOn w:val="38"/>
    <w:link w:val="4"/>
    <w:qFormat/>
    <w:uiPriority w:val="0"/>
    <w:rPr>
      <w:rFonts w:ascii="楷体_GB2312" w:hAnsi="宋体" w:eastAsia="楷体_GB2312" w:cs="Times New Roman"/>
      <w:b/>
      <w:bCs/>
      <w:sz w:val="32"/>
      <w:szCs w:val="24"/>
    </w:rPr>
  </w:style>
  <w:style w:type="character" w:customStyle="1" w:styleId="50">
    <w:name w:val="标题 4 字符"/>
    <w:basedOn w:val="38"/>
    <w:link w:val="5"/>
    <w:qFormat/>
    <w:uiPriority w:val="0"/>
    <w:rPr>
      <w:rFonts w:ascii="Arial" w:hAnsi="Arial" w:eastAsia="黑体" w:cs="Times New Roman"/>
      <w:b/>
      <w:bCs/>
      <w:kern w:val="0"/>
      <w:sz w:val="28"/>
      <w:szCs w:val="28"/>
    </w:rPr>
  </w:style>
  <w:style w:type="character" w:customStyle="1" w:styleId="51">
    <w:name w:val="标题 5 字符"/>
    <w:basedOn w:val="38"/>
    <w:link w:val="6"/>
    <w:qFormat/>
    <w:uiPriority w:val="0"/>
    <w:rPr>
      <w:rFonts w:ascii="Times New Roman" w:hAnsi="Times New Roman" w:eastAsia="宋体" w:cs="Times New Roman"/>
      <w:b/>
      <w:bCs/>
      <w:kern w:val="0"/>
      <w:sz w:val="28"/>
      <w:szCs w:val="28"/>
    </w:rPr>
  </w:style>
  <w:style w:type="character" w:customStyle="1" w:styleId="52">
    <w:name w:val="标题 6 字符"/>
    <w:basedOn w:val="38"/>
    <w:link w:val="7"/>
    <w:qFormat/>
    <w:uiPriority w:val="0"/>
    <w:rPr>
      <w:rFonts w:ascii="Arial" w:hAnsi="Arial" w:eastAsia="黑体" w:cs="Times New Roman"/>
      <w:b/>
      <w:bCs/>
      <w:kern w:val="0"/>
      <w:sz w:val="24"/>
      <w:szCs w:val="24"/>
    </w:rPr>
  </w:style>
  <w:style w:type="character" w:customStyle="1" w:styleId="53">
    <w:name w:val="标题 7 字符"/>
    <w:basedOn w:val="38"/>
    <w:link w:val="8"/>
    <w:qFormat/>
    <w:uiPriority w:val="0"/>
    <w:rPr>
      <w:rFonts w:ascii="Times New Roman" w:hAnsi="Times New Roman" w:eastAsia="宋体" w:cs="Times New Roman"/>
      <w:b/>
      <w:bCs/>
      <w:kern w:val="0"/>
      <w:sz w:val="24"/>
      <w:szCs w:val="24"/>
    </w:rPr>
  </w:style>
  <w:style w:type="character" w:customStyle="1" w:styleId="54">
    <w:name w:val="标题 8 字符"/>
    <w:basedOn w:val="38"/>
    <w:link w:val="9"/>
    <w:qFormat/>
    <w:uiPriority w:val="0"/>
    <w:rPr>
      <w:rFonts w:ascii="Arial" w:hAnsi="Arial" w:eastAsia="黑体" w:cs="Times New Roman"/>
      <w:kern w:val="0"/>
      <w:sz w:val="24"/>
      <w:szCs w:val="24"/>
    </w:rPr>
  </w:style>
  <w:style w:type="character" w:customStyle="1" w:styleId="55">
    <w:name w:val="标题 9 字符"/>
    <w:basedOn w:val="38"/>
    <w:link w:val="10"/>
    <w:qFormat/>
    <w:uiPriority w:val="0"/>
    <w:rPr>
      <w:rFonts w:ascii="Arial" w:hAnsi="Arial" w:eastAsia="黑体" w:cs="Times New Roman"/>
      <w:kern w:val="0"/>
      <w:szCs w:val="21"/>
    </w:rPr>
  </w:style>
  <w:style w:type="character" w:customStyle="1" w:styleId="56">
    <w:name w:val="f141"/>
    <w:qFormat/>
    <w:uiPriority w:val="0"/>
    <w:rPr>
      <w:sz w:val="21"/>
      <w:szCs w:val="21"/>
    </w:rPr>
  </w:style>
  <w:style w:type="character" w:customStyle="1" w:styleId="57">
    <w:name w:val="p141"/>
    <w:qFormat/>
    <w:uiPriority w:val="0"/>
    <w:rPr>
      <w:sz w:val="21"/>
      <w:szCs w:val="21"/>
    </w:rPr>
  </w:style>
  <w:style w:type="character" w:customStyle="1" w:styleId="58">
    <w:name w:val="批注框文本 字符"/>
    <w:link w:val="24"/>
    <w:qFormat/>
    <w:locked/>
    <w:uiPriority w:val="0"/>
    <w:rPr>
      <w:rFonts w:eastAsia="宋体"/>
      <w:sz w:val="18"/>
    </w:rPr>
  </w:style>
  <w:style w:type="paragraph" w:customStyle="1" w:styleId="59">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s10pv000000"/>
    <w:basedOn w:val="38"/>
    <w:qFormat/>
    <w:uiPriority w:val="0"/>
  </w:style>
  <w:style w:type="character" w:customStyle="1" w:styleId="61">
    <w:name w:val="纯文本 字符"/>
    <w:link w:val="20"/>
    <w:qFormat/>
    <w:uiPriority w:val="0"/>
    <w:rPr>
      <w:rFonts w:ascii="宋体" w:hAnsi="Courier New" w:cs="Courier New"/>
      <w:szCs w:val="21"/>
    </w:rPr>
  </w:style>
  <w:style w:type="character" w:customStyle="1" w:styleId="62">
    <w:name w:val="批注文字 字符"/>
    <w:link w:val="14"/>
    <w:qFormat/>
    <w:uiPriority w:val="0"/>
    <w:rPr>
      <w:szCs w:val="24"/>
    </w:rPr>
  </w:style>
  <w:style w:type="paragraph" w:customStyle="1" w:styleId="63">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
    <w:name w:val="样式4"/>
    <w:basedOn w:val="1"/>
    <w:qFormat/>
    <w:uiPriority w:val="0"/>
    <w:pPr>
      <w:tabs>
        <w:tab w:val="left" w:pos="2328"/>
      </w:tabs>
      <w:ind w:left="2328" w:hanging="708"/>
    </w:pPr>
  </w:style>
  <w:style w:type="paragraph" w:customStyle="1" w:styleId="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0">
    <w:name w:val="3 Char"/>
    <w:basedOn w:val="1"/>
    <w:qFormat/>
    <w:uiPriority w:val="0"/>
    <w:pPr>
      <w:widowControl/>
      <w:spacing w:line="400" w:lineRule="exact"/>
      <w:jc w:val="center"/>
    </w:pPr>
    <w:rPr>
      <w:rFonts w:ascii="Verdana" w:hAnsi="Verdana"/>
      <w:kern w:val="0"/>
      <w:szCs w:val="20"/>
      <w:lang w:eastAsia="en-US"/>
    </w:rPr>
  </w:style>
  <w:style w:type="character" w:customStyle="1" w:styleId="71">
    <w:name w:val="批注文字 Char1"/>
    <w:basedOn w:val="38"/>
    <w:semiHidden/>
    <w:qFormat/>
    <w:uiPriority w:val="99"/>
    <w:rPr>
      <w:rFonts w:ascii="Times New Roman" w:hAnsi="Times New Roman" w:eastAsia="宋体" w:cs="Times New Roman"/>
      <w:szCs w:val="24"/>
    </w:rPr>
  </w:style>
  <w:style w:type="paragraph" w:customStyle="1" w:styleId="72">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3">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5">
    <w:name w:val="正文文本缩进 字符"/>
    <w:basedOn w:val="38"/>
    <w:link w:val="17"/>
    <w:qFormat/>
    <w:uiPriority w:val="0"/>
    <w:rPr>
      <w:rFonts w:ascii="Times New Roman" w:hAnsi="Times New Roman" w:eastAsia="宋体" w:cs="Times New Roman"/>
      <w:sz w:val="24"/>
      <w:szCs w:val="24"/>
    </w:rPr>
  </w:style>
  <w:style w:type="paragraph" w:customStyle="1" w:styleId="76">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9">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0">
    <w:name w:val="正文文本 3 字符"/>
    <w:basedOn w:val="38"/>
    <w:link w:val="15"/>
    <w:qFormat/>
    <w:uiPriority w:val="0"/>
    <w:rPr>
      <w:rFonts w:ascii="Times New Roman" w:hAnsi="Times New Roman" w:eastAsia="宋体" w:cs="Times New Roman"/>
      <w:sz w:val="16"/>
      <w:szCs w:val="16"/>
    </w:rPr>
  </w:style>
  <w:style w:type="paragraph" w:customStyle="1" w:styleId="81">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2">
    <w:name w:val="列出段落1"/>
    <w:basedOn w:val="1"/>
    <w:qFormat/>
    <w:uiPriority w:val="34"/>
    <w:pPr>
      <w:ind w:firstLine="420" w:firstLineChars="200"/>
    </w:pPr>
  </w:style>
  <w:style w:type="paragraph" w:customStyle="1" w:styleId="83">
    <w:name w:val="默认段落字体 Para Char Char Char Char"/>
    <w:basedOn w:val="1"/>
    <w:qFormat/>
    <w:uiPriority w:val="0"/>
    <w:rPr>
      <w:szCs w:val="20"/>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86">
    <w:name w:val="批注主题 字符"/>
    <w:basedOn w:val="71"/>
    <w:link w:val="35"/>
    <w:semiHidden/>
    <w:qFormat/>
    <w:uiPriority w:val="0"/>
    <w:rPr>
      <w:rFonts w:ascii="Times New Roman" w:hAnsi="Times New Roman" w:eastAsia="宋体" w:cs="Times New Roman"/>
      <w:b/>
      <w:bCs/>
      <w:szCs w:val="24"/>
    </w:rPr>
  </w:style>
  <w:style w:type="character" w:customStyle="1" w:styleId="87">
    <w:name w:val="文档结构图 字符"/>
    <w:basedOn w:val="38"/>
    <w:link w:val="13"/>
    <w:qFormat/>
    <w:uiPriority w:val="0"/>
    <w:rPr>
      <w:rFonts w:ascii="Times New Roman" w:hAnsi="Times New Roman" w:eastAsia="宋体" w:cs="Times New Roman"/>
      <w:szCs w:val="20"/>
      <w:shd w:val="clear" w:color="auto" w:fill="000080"/>
    </w:rPr>
  </w:style>
  <w:style w:type="paragraph" w:customStyle="1" w:styleId="88">
    <w:name w:val="Char Char Char Char Char Char Char"/>
    <w:basedOn w:val="1"/>
    <w:qFormat/>
    <w:uiPriority w:val="0"/>
    <w:rPr>
      <w:rFonts w:ascii="Tahoma" w:hAnsi="Tahoma" w:cs="Tahoma"/>
      <w:sz w:val="30"/>
      <w:szCs w:val="30"/>
    </w:rPr>
  </w:style>
  <w:style w:type="paragraph" w:customStyle="1" w:styleId="89">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0">
    <w:name w:val="正文文本 字符"/>
    <w:basedOn w:val="38"/>
    <w:link w:val="16"/>
    <w:qFormat/>
    <w:uiPriority w:val="0"/>
    <w:rPr>
      <w:rFonts w:ascii="Times New Roman" w:hAnsi="Times New Roman" w:eastAsia="宋体" w:cs="Times New Roman"/>
      <w:szCs w:val="24"/>
    </w:rPr>
  </w:style>
  <w:style w:type="character" w:customStyle="1" w:styleId="91">
    <w:name w:val="正文文本缩进 2 字符"/>
    <w:basedOn w:val="38"/>
    <w:link w:val="23"/>
    <w:qFormat/>
    <w:uiPriority w:val="0"/>
    <w:rPr>
      <w:rFonts w:ascii="Times New Roman" w:hAnsi="Times New Roman" w:eastAsia="宋体" w:cs="Times New Roman"/>
      <w:sz w:val="24"/>
      <w:szCs w:val="24"/>
    </w:rPr>
  </w:style>
  <w:style w:type="character" w:customStyle="1" w:styleId="92">
    <w:name w:val="纯文本 Char1"/>
    <w:basedOn w:val="38"/>
    <w:qFormat/>
    <w:uiPriority w:val="0"/>
    <w:rPr>
      <w:rFonts w:ascii="宋体" w:hAnsi="Courier New" w:eastAsia="宋体" w:cs="Courier New"/>
      <w:szCs w:val="21"/>
    </w:rPr>
  </w:style>
  <w:style w:type="character" w:customStyle="1" w:styleId="93">
    <w:name w:val="日期 字符"/>
    <w:basedOn w:val="38"/>
    <w:link w:val="22"/>
    <w:qFormat/>
    <w:uiPriority w:val="0"/>
    <w:rPr>
      <w:rFonts w:ascii="宋体" w:hAnsi="Times New Roman" w:eastAsia="宋体" w:cs="Times New Roman"/>
      <w:kern w:val="0"/>
      <w:szCs w:val="20"/>
    </w:rPr>
  </w:style>
  <w:style w:type="character" w:customStyle="1" w:styleId="94">
    <w:name w:val="批注框文本 Char1"/>
    <w:basedOn w:val="38"/>
    <w:semiHidden/>
    <w:qFormat/>
    <w:uiPriority w:val="99"/>
    <w:rPr>
      <w:rFonts w:ascii="Times New Roman" w:hAnsi="Times New Roman" w:eastAsia="宋体" w:cs="Times New Roman"/>
      <w:sz w:val="18"/>
      <w:szCs w:val="18"/>
    </w:rPr>
  </w:style>
  <w:style w:type="character" w:customStyle="1" w:styleId="95">
    <w:name w:val="HTML 预设格式 字符"/>
    <w:basedOn w:val="38"/>
    <w:link w:val="33"/>
    <w:qFormat/>
    <w:uiPriority w:val="0"/>
    <w:rPr>
      <w:rFonts w:ascii="黑体" w:hAnsi="Courier New" w:eastAsia="黑体" w:cs="Courier New"/>
      <w:kern w:val="0"/>
      <w:sz w:val="20"/>
      <w:szCs w:val="20"/>
    </w:rPr>
  </w:style>
  <w:style w:type="character" w:customStyle="1" w:styleId="96">
    <w:name w:val="正文文本缩进 3 字符"/>
    <w:basedOn w:val="38"/>
    <w:link w:val="30"/>
    <w:qFormat/>
    <w:uiPriority w:val="0"/>
    <w:rPr>
      <w:rFonts w:ascii="Times New Roman" w:hAnsi="Times New Roman" w:eastAsia="宋体" w:cs="Times New Roman"/>
      <w:sz w:val="16"/>
      <w:szCs w:val="16"/>
    </w:rPr>
  </w:style>
  <w:style w:type="paragraph" w:customStyle="1" w:styleId="97">
    <w:name w:val="Char1 Char Char Char"/>
    <w:basedOn w:val="1"/>
    <w:qFormat/>
    <w:uiPriority w:val="0"/>
    <w:rPr>
      <w:szCs w:val="20"/>
    </w:rPr>
  </w:style>
  <w:style w:type="paragraph" w:customStyle="1" w:styleId="98">
    <w:name w:val="Char1"/>
    <w:basedOn w:val="1"/>
    <w:qFormat/>
    <w:uiPriority w:val="0"/>
    <w:pPr>
      <w:widowControl/>
      <w:spacing w:after="160" w:line="240" w:lineRule="exact"/>
      <w:jc w:val="left"/>
    </w:pPr>
    <w:rPr>
      <w:sz w:val="24"/>
    </w:rPr>
  </w:style>
  <w:style w:type="paragraph" w:customStyle="1" w:styleId="99">
    <w:name w:val="默认段落字体 Para Char"/>
    <w:basedOn w:val="1"/>
    <w:qFormat/>
    <w:uiPriority w:val="0"/>
  </w:style>
  <w:style w:type="paragraph" w:customStyle="1" w:styleId="10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1">
    <w:name w:val="TOC 标题1"/>
    <w:basedOn w:val="2"/>
    <w:next w:val="1"/>
    <w:qFormat/>
    <w:uiPriority w:val="39"/>
    <w:pPr>
      <w:keepLines/>
      <w:spacing w:before="480" w:line="276" w:lineRule="auto"/>
      <w:outlineLvl w:val="9"/>
    </w:pPr>
    <w:rPr>
      <w:rFonts w:ascii="Cambria" w:hAnsi="Cambria"/>
      <w:color w:val="365F91"/>
      <w:sz w:val="28"/>
      <w:szCs w:val="28"/>
    </w:rPr>
  </w:style>
  <w:style w:type="paragraph" w:customStyle="1" w:styleId="10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Char Char2 Char"/>
    <w:basedOn w:val="1"/>
    <w:qFormat/>
    <w:uiPriority w:val="0"/>
    <w:rPr>
      <w:rFonts w:ascii="宋体" w:hAnsi="宋体"/>
      <w:b/>
      <w:sz w:val="28"/>
      <w:szCs w:val="28"/>
    </w:rPr>
  </w:style>
  <w:style w:type="character" w:customStyle="1" w:styleId="105">
    <w:name w:val="正文缩进 字符"/>
    <w:link w:val="12"/>
    <w:qFormat/>
    <w:uiPriority w:val="0"/>
    <w:rPr>
      <w:rFonts w:ascii="Times New Roman" w:hAnsi="Times New Roman" w:eastAsia="宋体" w:cs="Times New Roman"/>
      <w:szCs w:val="21"/>
    </w:rPr>
  </w:style>
  <w:style w:type="paragraph" w:customStyle="1" w:styleId="106">
    <w:name w:val="Char Char Char"/>
    <w:basedOn w:val="1"/>
    <w:qFormat/>
    <w:uiPriority w:val="0"/>
    <w:rPr>
      <w:rFonts w:ascii="宋体" w:hAnsi="宋体"/>
      <w:b/>
      <w:sz w:val="28"/>
      <w:szCs w:val="28"/>
    </w:rPr>
  </w:style>
  <w:style w:type="paragraph" w:customStyle="1" w:styleId="107">
    <w:name w:val="Char2"/>
    <w:basedOn w:val="1"/>
    <w:qFormat/>
    <w:uiPriority w:val="0"/>
    <w:pPr>
      <w:widowControl/>
      <w:spacing w:after="160" w:line="240" w:lineRule="exact"/>
      <w:jc w:val="left"/>
    </w:pPr>
    <w:rPr>
      <w:szCs w:val="20"/>
    </w:rPr>
  </w:style>
  <w:style w:type="paragraph" w:customStyle="1" w:styleId="10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明显参考1"/>
    <w:qFormat/>
    <w:uiPriority w:val="32"/>
    <w:rPr>
      <w:b/>
      <w:bCs/>
      <w:smallCaps/>
      <w:color w:val="C0504D"/>
      <w:spacing w:val="5"/>
      <w:u w:val="single"/>
    </w:r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列出段落11"/>
    <w:basedOn w:val="1"/>
    <w:qFormat/>
    <w:uiPriority w:val="34"/>
    <w:pPr>
      <w:ind w:firstLine="420" w:firstLineChars="200"/>
    </w:pPr>
  </w:style>
  <w:style w:type="paragraph" w:styleId="112">
    <w:name w:val="List Paragraph"/>
    <w:basedOn w:val="1"/>
    <w:link w:val="119"/>
    <w:qFormat/>
    <w:uiPriority w:val="34"/>
    <w:pPr>
      <w:ind w:firstLine="420" w:firstLineChars="200"/>
    </w:pPr>
  </w:style>
  <w:style w:type="character" w:customStyle="1" w:styleId="113">
    <w:name w:val="rec-status-desc"/>
    <w:basedOn w:val="38"/>
    <w:qFormat/>
    <w:uiPriority w:val="0"/>
  </w:style>
  <w:style w:type="character" w:customStyle="1" w:styleId="114">
    <w:name w:val="rec-volume"/>
    <w:basedOn w:val="38"/>
    <w:qFormat/>
    <w:uiPriority w:val="0"/>
  </w:style>
  <w:style w:type="character" w:customStyle="1" w:styleId="115">
    <w:name w:val="rec-time"/>
    <w:basedOn w:val="38"/>
    <w:qFormat/>
    <w:uiPriority w:val="0"/>
  </w:style>
  <w:style w:type="paragraph" w:customStyle="1" w:styleId="116">
    <w:name w:val="WPSOffice手动目录 1"/>
    <w:qFormat/>
    <w:uiPriority w:val="0"/>
    <w:rPr>
      <w:rFonts w:ascii="Times New Roman" w:hAnsi="Times New Roman" w:eastAsia="宋体" w:cs="Times New Roman"/>
      <w:lang w:val="en-US" w:eastAsia="zh-CN" w:bidi="ar-SA"/>
    </w:rPr>
  </w:style>
  <w:style w:type="paragraph" w:customStyle="1" w:styleId="1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19">
    <w:name w:val="列表段落 字符"/>
    <w:link w:val="112"/>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97B0-3748-4BD1-A56C-2FA65ED4848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21808</Words>
  <Characters>22459</Characters>
  <Lines>180</Lines>
  <Paragraphs>50</Paragraphs>
  <TotalTime>1</TotalTime>
  <ScaleCrop>false</ScaleCrop>
  <LinksUpToDate>false</LinksUpToDate>
  <CharactersWithSpaces>23163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2021-07-26T03:02:00Z</dcterms:created>
  <dc:creator>HXM</dc:creator>
  <cp:lastModifiedBy>微信用户</cp:lastModifiedBy>
  <cp:lastPrinted>2017-09-29T09:31:00Z</cp:lastPrinted>
  <dcterms:modified xsi:type="dcterms:W3CDTF">2023-10-18T09:38:39Z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552999DEFE5D439DB70CBACC711C2EF7</vt:lpwstr>
  </property>
</Properties>
</file>