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p>
    <w:p>
      <w:pPr>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深圳市南山区沙河街道老旧小区除“四害”消杀及白蚁防治服务项目询价采购文件</w:t>
      </w: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采购单位：深圳市南山区沙河街道办事处</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2"/>
        <w:spacing w:line="540" w:lineRule="exact"/>
      </w:pPr>
      <w:r>
        <w:rPr>
          <w:rFonts w:hint="eastAsia"/>
        </w:rPr>
        <w:t>一、项目背景</w:t>
      </w:r>
    </w:p>
    <w:p>
      <w:pPr>
        <w:spacing w:after="0" w:line="540" w:lineRule="exact"/>
        <w:ind w:firstLine="640" w:firstLineChars="200"/>
        <w:rPr>
          <w:rFonts w:hint="eastAsia" w:ascii="仿宋_GB2312" w:eastAsia="仿宋_GB2312"/>
          <w:sz w:val="32"/>
          <w:szCs w:val="32"/>
        </w:rPr>
      </w:pPr>
      <w:r>
        <w:rPr>
          <w:rFonts w:hint="eastAsia" w:ascii="仿宋_GB2312" w:eastAsia="仿宋_GB2312"/>
          <w:sz w:val="32"/>
          <w:szCs w:val="32"/>
        </w:rPr>
        <w:t>根据《南山区卫生健康局关于调拨老旧住宅小区“四害”防治工作的通知》要求，2022年3月起将老旧住宅小区“四害”防制工作调拨到各街道统一实行管理，为有序开展老旧小区除“四害”消杀工作，确保病媒生物防治工作持续进行，我街道拟通过公开招标方式聘请有资质专业消杀公司开展此项服务工作。</w:t>
      </w:r>
    </w:p>
    <w:p>
      <w:pPr>
        <w:pStyle w:val="2"/>
        <w:rPr>
          <w:rFonts w:hint="eastAsia"/>
        </w:rPr>
      </w:pPr>
      <w:r>
        <w:rPr>
          <w:rFonts w:hint="eastAsia"/>
        </w:rPr>
        <w:t>二、供应商资格要求</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w:t>
      </w:r>
      <w:bookmarkStart w:id="0" w:name="_GoBack"/>
      <w:bookmarkEnd w:id="0"/>
      <w:r>
        <w:rPr>
          <w:rFonts w:hint="eastAsia" w:ascii="仿宋_GB2312" w:eastAsia="仿宋_GB2312"/>
          <w:sz w:val="32"/>
          <w:szCs w:val="32"/>
        </w:rPr>
        <w:t>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附件、承诺函”)；</w:t>
      </w:r>
    </w:p>
    <w:p>
      <w:pPr>
        <w:spacing w:after="0" w:line="54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pPr>
        <w:pStyle w:val="2"/>
        <w:spacing w:line="540" w:lineRule="exact"/>
      </w:pPr>
      <w:r>
        <w:rPr>
          <w:rFonts w:hint="eastAsia"/>
        </w:rPr>
        <w:t>三、项目预算</w:t>
      </w:r>
    </w:p>
    <w:p>
      <w:pPr>
        <w:pStyle w:val="14"/>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22.5</w:t>
      </w:r>
      <w:r>
        <w:rPr>
          <w:rFonts w:hint="eastAsia" w:ascii="仿宋_GB2312" w:hAnsi="仿宋_GB2312" w:eastAsia="仿宋_GB2312" w:cs="仿宋_GB2312"/>
          <w:sz w:val="32"/>
          <w:szCs w:val="32"/>
        </w:rPr>
        <w:t>万元。</w:t>
      </w:r>
    </w:p>
    <w:p>
      <w:pPr>
        <w:pStyle w:val="2"/>
        <w:spacing w:line="540" w:lineRule="exact"/>
      </w:pPr>
      <w:r>
        <w:rPr>
          <w:rFonts w:hint="eastAsia"/>
        </w:rPr>
        <w:t>四、项目服务时间</w:t>
      </w:r>
    </w:p>
    <w:p>
      <w:pPr>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本项目为长期服务项目，服务期为自合同签订之日起或合同约定之日起一年。合同期满后可根据投标人履约情况，根据双方协商可延长合同期，最长不超过三年。</w:t>
      </w:r>
    </w:p>
    <w:p>
      <w:pPr>
        <w:pStyle w:val="2"/>
        <w:spacing w:line="540" w:lineRule="exact"/>
      </w:pPr>
      <w:r>
        <w:rPr>
          <w:rFonts w:hint="eastAsia"/>
        </w:rPr>
        <w:t>五、服务标准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（一）《南山区病媒生物防制服务质量考评办法》</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（二）《南山区爱卫办病媒生物防制服务质量奖惩办法》</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（三）《南山区公共场所白蚁防治服务质量考评办法》</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（四）除“四害”标准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（1）灭鼠标准: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1）防鼠设施合格率大于或等于97％；</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2）鼠迹阳性率小于或等于1％；3.路径指数小于或等于1；</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（2）灭蚊标准: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1）路径指数小于或等于0.1；</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2）采样勺指数小于或等于 1%，平均每阳性勺少于3只蚊虫幼虫和蛹；</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3）停落指数小于或等于0.5；</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（3）灭蝇标准: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1）有蝇房间阳性率小于或等于 3%，阳性间蝇密度小于或等于3只/间；</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2）蝇类孳生地阳性率小于或等于1%；</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3）防蝇设施合格率大于或等于 98%；</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（4）灭蟑螂标准: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蟑迹查获率小于或等于 3%；</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（5）白蚁防治标准:</w:t>
      </w:r>
    </w:p>
    <w:p>
      <w:pPr>
        <w:spacing w:after="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防治范围内树木白蚁为害率≤3% (为害率=白蚁为害树木数/检查 树木总数×100%)，为害率将按月进行检查</w:t>
      </w:r>
      <w:r>
        <w:rPr>
          <w:rFonts w:ascii="仿宋_GB2312" w:hAnsi="仿宋_GB2312" w:eastAsia="仿宋_GB2312" w:cs="仿宋_GB2312"/>
          <w:sz w:val="32"/>
          <w:szCs w:val="32"/>
        </w:rPr>
        <w:t>。</w:t>
      </w:r>
    </w:p>
    <w:p>
      <w:pPr>
        <w:pStyle w:val="2"/>
        <w:spacing w:line="540" w:lineRule="exact"/>
      </w:pPr>
      <w:r>
        <w:rPr>
          <w:rFonts w:hint="eastAsia"/>
        </w:rPr>
        <w:t>六、服务内容</w:t>
      </w:r>
    </w:p>
    <w:p>
      <w:pPr>
        <w:pStyle w:val="3"/>
        <w:spacing w:before="312" w:after="312" w:line="540" w:lineRule="exact"/>
        <w:ind w:firstLine="643"/>
      </w:pPr>
      <w:r>
        <w:rPr>
          <w:rFonts w:hint="eastAsia"/>
        </w:rPr>
        <w:t>（一）</w:t>
      </w:r>
      <w:r>
        <w:t>服务范围</w:t>
      </w:r>
    </w:p>
    <w:p>
      <w:pPr>
        <w:spacing w:line="540" w:lineRule="exact"/>
        <w:ind w:firstLine="640" w:firstLineChars="200"/>
        <w:rPr>
          <w:rFonts w:ascii="仿宋" w:hAnsi="仿宋" w:eastAsia="仿宋"/>
          <w:sz w:val="32"/>
          <w:szCs w:val="32"/>
        </w:rPr>
      </w:pPr>
      <w:r>
        <w:rPr>
          <w:rFonts w:ascii="仿宋" w:hAnsi="仿宋" w:eastAsia="仿宋"/>
          <w:sz w:val="32"/>
          <w:szCs w:val="32"/>
        </w:rPr>
        <w:t>本项目服务范围为</w:t>
      </w:r>
      <w:r>
        <w:rPr>
          <w:rFonts w:hint="eastAsia" w:ascii="仿宋" w:hAnsi="仿宋" w:eastAsia="仿宋"/>
          <w:sz w:val="32"/>
          <w:szCs w:val="32"/>
        </w:rPr>
        <w:t>沙河街道15个老旧小区，防治面积为116654㎡</w:t>
      </w:r>
      <w:r>
        <w:rPr>
          <w:rFonts w:ascii="仿宋" w:hAnsi="仿宋" w:eastAsia="仿宋"/>
          <w:sz w:val="32"/>
          <w:szCs w:val="32"/>
        </w:rPr>
        <w:t>。</w:t>
      </w:r>
    </w:p>
    <w:p>
      <w:pPr>
        <w:pStyle w:val="3"/>
        <w:spacing w:before="312" w:after="312" w:line="540" w:lineRule="exact"/>
        <w:ind w:firstLine="643"/>
      </w:pPr>
      <w:r>
        <w:rPr>
          <w:rFonts w:hint="eastAsia"/>
        </w:rPr>
        <w:t>（二）</w:t>
      </w:r>
      <w:r>
        <w:t>人员及设备配置最低要求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544"/>
        <w:gridCol w:w="1549"/>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40" w:lineRule="exact"/>
              <w:jc w:val="center"/>
              <w:rPr>
                <w:rFonts w:ascii="仿宋" w:hAnsi="仿宋" w:eastAsia="仿宋"/>
                <w:sz w:val="32"/>
                <w:szCs w:val="32"/>
              </w:rPr>
            </w:pPr>
            <w:r>
              <w:rPr>
                <w:rFonts w:hint="eastAsia" w:ascii="仿宋" w:hAnsi="仿宋" w:eastAsia="仿宋"/>
                <w:sz w:val="32"/>
                <w:szCs w:val="32"/>
              </w:rPr>
              <w:t>序号</w:t>
            </w:r>
          </w:p>
        </w:tc>
        <w:tc>
          <w:tcPr>
            <w:tcW w:w="3544" w:type="dxa"/>
          </w:tcPr>
          <w:p>
            <w:pPr>
              <w:spacing w:line="540" w:lineRule="exact"/>
              <w:jc w:val="center"/>
              <w:rPr>
                <w:rFonts w:ascii="仿宋" w:hAnsi="仿宋" w:eastAsia="仿宋"/>
                <w:sz w:val="32"/>
                <w:szCs w:val="32"/>
              </w:rPr>
            </w:pPr>
            <w:r>
              <w:rPr>
                <w:rFonts w:hint="eastAsia" w:ascii="仿宋" w:hAnsi="仿宋" w:eastAsia="仿宋"/>
                <w:sz w:val="32"/>
                <w:szCs w:val="32"/>
              </w:rPr>
              <w:t>人员及设备类别</w:t>
            </w:r>
          </w:p>
        </w:tc>
        <w:tc>
          <w:tcPr>
            <w:tcW w:w="1549" w:type="dxa"/>
          </w:tcPr>
          <w:p>
            <w:pPr>
              <w:spacing w:line="540" w:lineRule="exact"/>
              <w:jc w:val="center"/>
              <w:rPr>
                <w:rFonts w:ascii="仿宋" w:hAnsi="仿宋" w:eastAsia="仿宋"/>
                <w:sz w:val="32"/>
                <w:szCs w:val="32"/>
              </w:rPr>
            </w:pPr>
            <w:r>
              <w:rPr>
                <w:rFonts w:hint="eastAsia" w:ascii="仿宋" w:hAnsi="仿宋" w:eastAsia="仿宋"/>
                <w:sz w:val="32"/>
                <w:szCs w:val="32"/>
              </w:rPr>
              <w:t>数量</w:t>
            </w:r>
          </w:p>
        </w:tc>
        <w:tc>
          <w:tcPr>
            <w:tcW w:w="2074" w:type="dxa"/>
          </w:tcPr>
          <w:p>
            <w:pPr>
              <w:spacing w:line="54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40" w:lineRule="exact"/>
              <w:jc w:val="center"/>
              <w:rPr>
                <w:rFonts w:ascii="仿宋" w:hAnsi="仿宋" w:eastAsia="仿宋"/>
                <w:sz w:val="32"/>
                <w:szCs w:val="32"/>
              </w:rPr>
            </w:pPr>
            <w:r>
              <w:rPr>
                <w:rFonts w:hint="eastAsia" w:ascii="仿宋" w:hAnsi="仿宋" w:eastAsia="仿宋"/>
                <w:sz w:val="32"/>
                <w:szCs w:val="32"/>
              </w:rPr>
              <w:t>1</w:t>
            </w:r>
          </w:p>
        </w:tc>
        <w:tc>
          <w:tcPr>
            <w:tcW w:w="3544" w:type="dxa"/>
          </w:tcPr>
          <w:p>
            <w:pPr>
              <w:spacing w:line="540" w:lineRule="exact"/>
              <w:jc w:val="center"/>
              <w:rPr>
                <w:rFonts w:ascii="仿宋" w:hAnsi="仿宋" w:eastAsia="仿宋"/>
                <w:sz w:val="32"/>
                <w:szCs w:val="32"/>
              </w:rPr>
            </w:pPr>
            <w:r>
              <w:rPr>
                <w:rFonts w:hint="eastAsia" w:ascii="仿宋" w:hAnsi="仿宋" w:eastAsia="仿宋"/>
                <w:sz w:val="32"/>
                <w:szCs w:val="32"/>
              </w:rPr>
              <w:t>专职服务人员</w:t>
            </w:r>
          </w:p>
        </w:tc>
        <w:tc>
          <w:tcPr>
            <w:tcW w:w="1549" w:type="dxa"/>
          </w:tcPr>
          <w:p>
            <w:pPr>
              <w:spacing w:line="540" w:lineRule="exact"/>
              <w:jc w:val="center"/>
              <w:rPr>
                <w:rFonts w:ascii="仿宋" w:hAnsi="仿宋" w:eastAsia="仿宋"/>
                <w:sz w:val="32"/>
                <w:szCs w:val="32"/>
              </w:rPr>
            </w:pPr>
            <w:r>
              <w:rPr>
                <w:rFonts w:hint="eastAsia" w:ascii="仿宋" w:hAnsi="仿宋" w:eastAsia="仿宋"/>
                <w:sz w:val="32"/>
                <w:szCs w:val="32"/>
              </w:rPr>
              <w:t>5人</w:t>
            </w:r>
          </w:p>
        </w:tc>
        <w:tc>
          <w:tcPr>
            <w:tcW w:w="2074" w:type="dxa"/>
            <w:vMerge w:val="restart"/>
          </w:tcPr>
          <w:p>
            <w:pPr>
              <w:spacing w:line="540" w:lineRule="exact"/>
              <w:jc w:val="center"/>
              <w:rPr>
                <w:rFonts w:ascii="仿宋" w:hAnsi="仿宋" w:eastAsia="仿宋"/>
                <w:sz w:val="32"/>
                <w:szCs w:val="32"/>
              </w:rPr>
            </w:pPr>
            <w:r>
              <w:rPr>
                <w:rFonts w:hint="eastAsia" w:ascii="仿宋" w:hAnsi="仿宋" w:eastAsia="仿宋"/>
                <w:sz w:val="32"/>
                <w:szCs w:val="32"/>
              </w:rPr>
              <w:t>专职人员必须具有市级及以上政府劳动部门办法的有害生物</w:t>
            </w:r>
            <w:r>
              <w:rPr>
                <w:rFonts w:ascii="仿宋" w:hAnsi="仿宋" w:eastAsia="仿宋"/>
                <w:sz w:val="32"/>
                <w:szCs w:val="32"/>
              </w:rPr>
              <w:t>防制</w:t>
            </w:r>
            <w:r>
              <w:rPr>
                <w:rFonts w:hint="eastAsia" w:ascii="仿宋" w:hAnsi="仿宋" w:eastAsia="仿宋"/>
                <w:sz w:val="32"/>
                <w:szCs w:val="32"/>
              </w:rPr>
              <w:t>员职业资格证书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40" w:lineRule="exact"/>
              <w:jc w:val="center"/>
              <w:rPr>
                <w:rFonts w:ascii="仿宋" w:hAnsi="仿宋" w:eastAsia="仿宋"/>
                <w:sz w:val="32"/>
                <w:szCs w:val="32"/>
              </w:rPr>
            </w:pPr>
            <w:r>
              <w:rPr>
                <w:rFonts w:hint="eastAsia" w:ascii="仿宋" w:hAnsi="仿宋" w:eastAsia="仿宋"/>
                <w:sz w:val="32"/>
                <w:szCs w:val="32"/>
              </w:rPr>
              <w:t>2</w:t>
            </w:r>
          </w:p>
        </w:tc>
        <w:tc>
          <w:tcPr>
            <w:tcW w:w="3544" w:type="dxa"/>
          </w:tcPr>
          <w:p>
            <w:pPr>
              <w:spacing w:line="540" w:lineRule="exact"/>
              <w:jc w:val="center"/>
              <w:rPr>
                <w:rFonts w:ascii="仿宋" w:hAnsi="仿宋" w:eastAsia="仿宋"/>
                <w:sz w:val="32"/>
                <w:szCs w:val="32"/>
              </w:rPr>
            </w:pPr>
            <w:r>
              <w:rPr>
                <w:rFonts w:hint="eastAsia" w:ascii="仿宋" w:hAnsi="仿宋" w:eastAsia="仿宋"/>
                <w:sz w:val="32"/>
                <w:szCs w:val="32"/>
              </w:rPr>
              <w:t>工作车辆</w:t>
            </w:r>
          </w:p>
        </w:tc>
        <w:tc>
          <w:tcPr>
            <w:tcW w:w="1549" w:type="dxa"/>
          </w:tcPr>
          <w:p>
            <w:pPr>
              <w:spacing w:line="540" w:lineRule="exact"/>
              <w:jc w:val="center"/>
              <w:rPr>
                <w:rFonts w:ascii="仿宋" w:hAnsi="仿宋" w:eastAsia="仿宋"/>
                <w:sz w:val="32"/>
                <w:szCs w:val="32"/>
              </w:rPr>
            </w:pPr>
            <w:r>
              <w:rPr>
                <w:rFonts w:hint="eastAsia" w:ascii="仿宋" w:hAnsi="仿宋" w:eastAsia="仿宋"/>
                <w:sz w:val="32"/>
                <w:szCs w:val="32"/>
              </w:rPr>
              <w:t>1台</w:t>
            </w:r>
          </w:p>
        </w:tc>
        <w:tc>
          <w:tcPr>
            <w:tcW w:w="2074" w:type="dxa"/>
            <w:vMerge w:val="continue"/>
          </w:tcPr>
          <w:p>
            <w:pPr>
              <w:spacing w:line="5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40" w:lineRule="exact"/>
              <w:jc w:val="center"/>
              <w:rPr>
                <w:rFonts w:ascii="仿宋" w:hAnsi="仿宋" w:eastAsia="仿宋"/>
                <w:sz w:val="32"/>
                <w:szCs w:val="32"/>
              </w:rPr>
            </w:pPr>
            <w:r>
              <w:rPr>
                <w:rFonts w:hint="eastAsia" w:ascii="仿宋" w:hAnsi="仿宋" w:eastAsia="仿宋"/>
                <w:sz w:val="32"/>
                <w:szCs w:val="32"/>
              </w:rPr>
              <w:t>3</w:t>
            </w:r>
          </w:p>
        </w:tc>
        <w:tc>
          <w:tcPr>
            <w:tcW w:w="3544" w:type="dxa"/>
          </w:tcPr>
          <w:p>
            <w:pPr>
              <w:spacing w:line="540" w:lineRule="exact"/>
              <w:jc w:val="center"/>
              <w:rPr>
                <w:rFonts w:ascii="仿宋" w:hAnsi="仿宋" w:eastAsia="仿宋"/>
                <w:sz w:val="32"/>
                <w:szCs w:val="32"/>
              </w:rPr>
            </w:pPr>
            <w:r>
              <w:rPr>
                <w:rFonts w:ascii="仿宋" w:hAnsi="仿宋" w:eastAsia="仿宋"/>
                <w:sz w:val="32"/>
                <w:szCs w:val="32"/>
              </w:rPr>
              <w:t>防制</w:t>
            </w:r>
            <w:r>
              <w:rPr>
                <w:rFonts w:hint="eastAsia" w:ascii="仿宋" w:hAnsi="仿宋" w:eastAsia="仿宋"/>
                <w:sz w:val="32"/>
                <w:szCs w:val="32"/>
              </w:rPr>
              <w:t>作业车</w:t>
            </w:r>
          </w:p>
        </w:tc>
        <w:tc>
          <w:tcPr>
            <w:tcW w:w="1549" w:type="dxa"/>
          </w:tcPr>
          <w:p>
            <w:pPr>
              <w:spacing w:line="540" w:lineRule="exact"/>
              <w:jc w:val="center"/>
              <w:rPr>
                <w:rFonts w:ascii="仿宋" w:hAnsi="仿宋" w:eastAsia="仿宋"/>
                <w:sz w:val="32"/>
                <w:szCs w:val="32"/>
              </w:rPr>
            </w:pPr>
            <w:r>
              <w:rPr>
                <w:rFonts w:hint="eastAsia" w:ascii="仿宋" w:hAnsi="仿宋" w:eastAsia="仿宋"/>
                <w:sz w:val="32"/>
                <w:szCs w:val="32"/>
              </w:rPr>
              <w:t>1台</w:t>
            </w:r>
          </w:p>
        </w:tc>
        <w:tc>
          <w:tcPr>
            <w:tcW w:w="2074" w:type="dxa"/>
            <w:vMerge w:val="continue"/>
          </w:tcPr>
          <w:p>
            <w:pPr>
              <w:spacing w:line="5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40" w:lineRule="exact"/>
              <w:jc w:val="center"/>
              <w:rPr>
                <w:rFonts w:ascii="仿宋" w:hAnsi="仿宋" w:eastAsia="仿宋"/>
                <w:sz w:val="32"/>
                <w:szCs w:val="32"/>
              </w:rPr>
            </w:pPr>
            <w:r>
              <w:rPr>
                <w:rFonts w:hint="eastAsia" w:ascii="仿宋" w:hAnsi="仿宋" w:eastAsia="仿宋"/>
                <w:sz w:val="32"/>
                <w:szCs w:val="32"/>
              </w:rPr>
              <w:t>4</w:t>
            </w:r>
          </w:p>
        </w:tc>
        <w:tc>
          <w:tcPr>
            <w:tcW w:w="3544" w:type="dxa"/>
          </w:tcPr>
          <w:p>
            <w:pPr>
              <w:spacing w:line="540" w:lineRule="exact"/>
              <w:jc w:val="center"/>
              <w:rPr>
                <w:rFonts w:ascii="仿宋" w:hAnsi="仿宋" w:eastAsia="仿宋"/>
                <w:sz w:val="32"/>
                <w:szCs w:val="32"/>
              </w:rPr>
            </w:pPr>
            <w:r>
              <w:rPr>
                <w:rFonts w:hint="eastAsia" w:ascii="仿宋" w:hAnsi="仿宋" w:eastAsia="仿宋"/>
                <w:sz w:val="32"/>
                <w:szCs w:val="32"/>
              </w:rPr>
              <w:t>烟雾机</w:t>
            </w:r>
          </w:p>
        </w:tc>
        <w:tc>
          <w:tcPr>
            <w:tcW w:w="1549" w:type="dxa"/>
          </w:tcPr>
          <w:p>
            <w:pPr>
              <w:spacing w:line="540" w:lineRule="exact"/>
              <w:jc w:val="center"/>
              <w:rPr>
                <w:rFonts w:ascii="仿宋" w:hAnsi="仿宋" w:eastAsia="仿宋"/>
                <w:sz w:val="32"/>
                <w:szCs w:val="32"/>
              </w:rPr>
            </w:pPr>
            <w:r>
              <w:rPr>
                <w:rFonts w:hint="eastAsia" w:ascii="仿宋" w:hAnsi="仿宋" w:eastAsia="仿宋"/>
                <w:sz w:val="32"/>
                <w:szCs w:val="32"/>
              </w:rPr>
              <w:t>3台</w:t>
            </w:r>
          </w:p>
        </w:tc>
        <w:tc>
          <w:tcPr>
            <w:tcW w:w="2074" w:type="dxa"/>
            <w:vMerge w:val="continue"/>
          </w:tcPr>
          <w:p>
            <w:pPr>
              <w:spacing w:line="5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40" w:lineRule="exact"/>
              <w:jc w:val="center"/>
              <w:rPr>
                <w:rFonts w:ascii="仿宋" w:hAnsi="仿宋" w:eastAsia="仿宋"/>
                <w:sz w:val="32"/>
                <w:szCs w:val="32"/>
              </w:rPr>
            </w:pPr>
            <w:r>
              <w:rPr>
                <w:rFonts w:hint="eastAsia" w:ascii="仿宋" w:hAnsi="仿宋" w:eastAsia="仿宋"/>
                <w:sz w:val="32"/>
                <w:szCs w:val="32"/>
              </w:rPr>
              <w:t>5</w:t>
            </w:r>
          </w:p>
        </w:tc>
        <w:tc>
          <w:tcPr>
            <w:tcW w:w="3544" w:type="dxa"/>
          </w:tcPr>
          <w:p>
            <w:pPr>
              <w:spacing w:line="540" w:lineRule="exact"/>
              <w:jc w:val="center"/>
              <w:rPr>
                <w:rFonts w:ascii="仿宋" w:hAnsi="仿宋" w:eastAsia="仿宋"/>
                <w:b/>
                <w:sz w:val="32"/>
                <w:szCs w:val="32"/>
              </w:rPr>
            </w:pPr>
            <w:r>
              <w:rPr>
                <w:rFonts w:hint="eastAsia" w:ascii="仿宋" w:hAnsi="仿宋" w:eastAsia="仿宋"/>
                <w:sz w:val="32"/>
                <w:szCs w:val="32"/>
              </w:rPr>
              <w:t>高压动力打药车</w:t>
            </w:r>
          </w:p>
        </w:tc>
        <w:tc>
          <w:tcPr>
            <w:tcW w:w="1549" w:type="dxa"/>
          </w:tcPr>
          <w:p>
            <w:pPr>
              <w:spacing w:line="540" w:lineRule="exact"/>
              <w:jc w:val="center"/>
              <w:rPr>
                <w:rFonts w:ascii="仿宋" w:hAnsi="仿宋" w:eastAsia="仿宋"/>
                <w:sz w:val="32"/>
                <w:szCs w:val="32"/>
              </w:rPr>
            </w:pPr>
            <w:r>
              <w:rPr>
                <w:rFonts w:hint="eastAsia" w:ascii="仿宋" w:hAnsi="仿宋" w:eastAsia="仿宋"/>
                <w:sz w:val="32"/>
                <w:szCs w:val="32"/>
              </w:rPr>
              <w:t>1台</w:t>
            </w:r>
          </w:p>
        </w:tc>
        <w:tc>
          <w:tcPr>
            <w:tcW w:w="2074" w:type="dxa"/>
            <w:vMerge w:val="continue"/>
          </w:tcPr>
          <w:p>
            <w:pPr>
              <w:spacing w:line="54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line="540" w:lineRule="exact"/>
              <w:jc w:val="center"/>
              <w:rPr>
                <w:rFonts w:ascii="仿宋" w:hAnsi="仿宋" w:eastAsia="仿宋"/>
                <w:sz w:val="32"/>
                <w:szCs w:val="32"/>
              </w:rPr>
            </w:pPr>
            <w:r>
              <w:rPr>
                <w:rFonts w:hint="eastAsia" w:ascii="仿宋" w:hAnsi="仿宋" w:eastAsia="仿宋"/>
                <w:sz w:val="32"/>
                <w:szCs w:val="32"/>
              </w:rPr>
              <w:t>6</w:t>
            </w:r>
          </w:p>
        </w:tc>
        <w:tc>
          <w:tcPr>
            <w:tcW w:w="3544" w:type="dxa"/>
          </w:tcPr>
          <w:p>
            <w:pPr>
              <w:spacing w:line="540" w:lineRule="exact"/>
              <w:jc w:val="center"/>
              <w:rPr>
                <w:rFonts w:ascii="仿宋" w:hAnsi="仿宋" w:eastAsia="仿宋"/>
                <w:b/>
                <w:sz w:val="32"/>
                <w:szCs w:val="32"/>
              </w:rPr>
            </w:pPr>
            <w:r>
              <w:rPr>
                <w:rFonts w:ascii="仿宋" w:hAnsi="仿宋" w:eastAsia="仿宋"/>
                <w:sz w:val="32"/>
                <w:szCs w:val="32"/>
              </w:rPr>
              <w:t>背负式机动超低容量喷雾器</w:t>
            </w:r>
          </w:p>
        </w:tc>
        <w:tc>
          <w:tcPr>
            <w:tcW w:w="1549" w:type="dxa"/>
          </w:tcPr>
          <w:p>
            <w:pPr>
              <w:spacing w:line="540" w:lineRule="exact"/>
              <w:jc w:val="center"/>
              <w:rPr>
                <w:rFonts w:ascii="仿宋" w:hAnsi="仿宋" w:eastAsia="仿宋"/>
                <w:sz w:val="32"/>
                <w:szCs w:val="32"/>
              </w:rPr>
            </w:pPr>
            <w:r>
              <w:rPr>
                <w:rFonts w:hint="eastAsia" w:ascii="仿宋" w:hAnsi="仿宋" w:eastAsia="仿宋"/>
                <w:sz w:val="32"/>
                <w:szCs w:val="32"/>
              </w:rPr>
              <w:t>3台</w:t>
            </w:r>
          </w:p>
        </w:tc>
        <w:tc>
          <w:tcPr>
            <w:tcW w:w="2074" w:type="dxa"/>
            <w:vMerge w:val="continue"/>
          </w:tcPr>
          <w:p>
            <w:pPr>
              <w:spacing w:line="540" w:lineRule="exact"/>
              <w:jc w:val="center"/>
              <w:rPr>
                <w:rFonts w:ascii="仿宋" w:hAnsi="仿宋" w:eastAsia="仿宋"/>
                <w:sz w:val="32"/>
                <w:szCs w:val="32"/>
              </w:rPr>
            </w:pPr>
          </w:p>
        </w:tc>
      </w:tr>
    </w:tbl>
    <w:p>
      <w:pPr>
        <w:pStyle w:val="3"/>
        <w:spacing w:before="312" w:after="312" w:line="540" w:lineRule="exact"/>
        <w:ind w:firstLine="643"/>
      </w:pPr>
      <w:r>
        <w:rPr>
          <w:rFonts w:hint="eastAsia"/>
        </w:rPr>
        <w:t>（三）</w:t>
      </w:r>
      <w:r>
        <w:t>除“四害”消杀服务作业要求</w:t>
      </w:r>
    </w:p>
    <w:p>
      <w:pPr>
        <w:pStyle w:val="4"/>
        <w:spacing w:line="540" w:lineRule="exact"/>
        <w:ind w:firstLine="643"/>
      </w:pPr>
      <w:r>
        <w:rPr>
          <w:rFonts w:hint="eastAsia"/>
        </w:rPr>
        <w:t>1、</w:t>
      </w:r>
      <w:r>
        <w:t>作业要求:</w:t>
      </w:r>
    </w:p>
    <w:p>
      <w:pPr>
        <w:spacing w:after="0" w:line="540" w:lineRule="exact"/>
        <w:ind w:firstLine="640" w:firstLineChars="200"/>
        <w:rPr>
          <w:rFonts w:ascii="仿宋" w:hAnsi="仿宋" w:eastAsia="仿宋"/>
          <w:sz w:val="32"/>
          <w:szCs w:val="32"/>
        </w:rPr>
      </w:pPr>
      <w:r>
        <w:rPr>
          <w:rFonts w:ascii="仿宋" w:hAnsi="仿宋" w:eastAsia="仿宋"/>
          <w:sz w:val="32"/>
          <w:szCs w:val="32"/>
        </w:rPr>
        <w:t>（1）实施杀灭作业前，必须先到现场调查“四害”的本地情况，应对卫生害虫种类、栖息部位、密度状况及孳生环境等情况有全面的了解，因地制宜制订合理的害虫综合控制方案。</w:t>
      </w:r>
    </w:p>
    <w:p>
      <w:pPr>
        <w:spacing w:after="0" w:line="540" w:lineRule="exact"/>
        <w:ind w:firstLine="640" w:firstLineChars="200"/>
        <w:rPr>
          <w:rFonts w:ascii="仿宋" w:hAnsi="仿宋" w:eastAsia="仿宋"/>
          <w:sz w:val="32"/>
          <w:szCs w:val="32"/>
        </w:rPr>
      </w:pPr>
      <w:r>
        <w:rPr>
          <w:rFonts w:ascii="仿宋" w:hAnsi="仿宋" w:eastAsia="仿宋"/>
          <w:sz w:val="32"/>
          <w:szCs w:val="32"/>
        </w:rPr>
        <w:t>（2）配备相应数量的药品、器械和个人防护用品。</w:t>
      </w:r>
    </w:p>
    <w:p>
      <w:pPr>
        <w:spacing w:after="0" w:line="540" w:lineRule="exact"/>
        <w:ind w:firstLine="640" w:firstLineChars="200"/>
        <w:rPr>
          <w:rFonts w:ascii="仿宋" w:hAnsi="仿宋" w:eastAsia="仿宋"/>
          <w:sz w:val="32"/>
          <w:szCs w:val="32"/>
        </w:rPr>
      </w:pPr>
      <w:r>
        <w:rPr>
          <w:rFonts w:ascii="仿宋" w:hAnsi="仿宋" w:eastAsia="仿宋"/>
          <w:sz w:val="32"/>
          <w:szCs w:val="32"/>
        </w:rPr>
        <w:t>（3）实施消杀作业，应遵守安全操作规定，合理用药，施工到位，保证防制效果，并防止药物污染环境。</w:t>
      </w:r>
    </w:p>
    <w:p>
      <w:pPr>
        <w:spacing w:after="0" w:line="540" w:lineRule="exact"/>
        <w:ind w:firstLine="640" w:firstLineChars="200"/>
        <w:rPr>
          <w:rFonts w:ascii="仿宋" w:hAnsi="仿宋" w:eastAsia="仿宋"/>
          <w:sz w:val="32"/>
          <w:szCs w:val="32"/>
        </w:rPr>
      </w:pPr>
      <w:r>
        <w:rPr>
          <w:rFonts w:ascii="仿宋" w:hAnsi="仿宋" w:eastAsia="仿宋"/>
          <w:sz w:val="32"/>
          <w:szCs w:val="32"/>
        </w:rPr>
        <w:t>（4）消杀作业完成后应认真填写除“四害”消杀工作记录，并做消杀记录等相关资料的 归档和整理。从事消杀的作业人员必须穿着统一公司标识的工作服装，佩带《上岗证》。</w:t>
      </w:r>
    </w:p>
    <w:p>
      <w:pPr>
        <w:spacing w:after="0" w:line="540" w:lineRule="exact"/>
        <w:ind w:firstLine="640" w:firstLineChars="200"/>
        <w:rPr>
          <w:rFonts w:ascii="仿宋" w:hAnsi="仿宋" w:eastAsia="仿宋"/>
          <w:sz w:val="32"/>
          <w:szCs w:val="32"/>
        </w:rPr>
      </w:pPr>
      <w:r>
        <w:rPr>
          <w:rFonts w:ascii="仿宋" w:hAnsi="仿宋" w:eastAsia="仿宋"/>
          <w:sz w:val="32"/>
          <w:szCs w:val="32"/>
        </w:rPr>
        <w:t>（5）根据“四害”种类和有关规定，定期进行密度监测或防制效果监测，资料及时统计分析上报并归档保存。</w:t>
      </w:r>
    </w:p>
    <w:p>
      <w:pPr>
        <w:pStyle w:val="4"/>
        <w:spacing w:line="540" w:lineRule="exact"/>
        <w:ind w:firstLine="643"/>
      </w:pPr>
      <w:r>
        <w:rPr>
          <w:rFonts w:hint="eastAsia"/>
        </w:rPr>
        <w:t>2、</w:t>
      </w:r>
      <w:r>
        <w:t>药物和器械要求</w:t>
      </w:r>
    </w:p>
    <w:p>
      <w:pPr>
        <w:spacing w:after="0" w:line="540" w:lineRule="exact"/>
        <w:ind w:firstLine="640" w:firstLineChars="200"/>
        <w:rPr>
          <w:rFonts w:ascii="仿宋" w:hAnsi="仿宋" w:eastAsia="仿宋"/>
          <w:sz w:val="32"/>
          <w:szCs w:val="32"/>
        </w:rPr>
      </w:pPr>
      <w:r>
        <w:rPr>
          <w:rFonts w:ascii="仿宋" w:hAnsi="仿宋" w:eastAsia="仿宋"/>
          <w:sz w:val="32"/>
          <w:szCs w:val="32"/>
        </w:rPr>
        <w:t>（1）使用的药物和器械优先选用微生物制剂一类生态环保药物，使用化学消杀药物必须是国家规定允许使用的卫生杀虫剂，确保病媒生物控制达到“安全、有效、环保”的要 求，用于本服务项目的消杀药物购置金额不低于中标金额的 20%；以上承诺，投标人须提 供承诺函（承诺函格式详见招标文件第四章投标文件格式、附件中的“承诺函”），否则视为对招标文件不响应。</w:t>
      </w:r>
    </w:p>
    <w:p>
      <w:pPr>
        <w:spacing w:after="0" w:line="540" w:lineRule="exact"/>
        <w:ind w:firstLine="640" w:firstLineChars="200"/>
        <w:rPr>
          <w:rFonts w:ascii="仿宋" w:hAnsi="仿宋" w:eastAsia="仿宋"/>
          <w:sz w:val="32"/>
          <w:szCs w:val="32"/>
        </w:rPr>
      </w:pPr>
      <w:r>
        <w:rPr>
          <w:rFonts w:ascii="仿宋" w:hAnsi="仿宋" w:eastAsia="仿宋"/>
          <w:sz w:val="32"/>
          <w:szCs w:val="32"/>
        </w:rPr>
        <w:t>（2）服务区域内不得发生人、畜中毒等事故，杜绝污染环境，符合绿色环保的有关要求；</w:t>
      </w:r>
    </w:p>
    <w:p>
      <w:pPr>
        <w:spacing w:after="0" w:line="540" w:lineRule="exact"/>
        <w:ind w:firstLine="640" w:firstLineChars="200"/>
        <w:rPr>
          <w:rFonts w:ascii="仿宋" w:hAnsi="仿宋" w:eastAsia="仿宋"/>
          <w:sz w:val="32"/>
          <w:szCs w:val="32"/>
        </w:rPr>
      </w:pPr>
      <w:r>
        <w:rPr>
          <w:rFonts w:ascii="仿宋" w:hAnsi="仿宋" w:eastAsia="仿宋"/>
          <w:sz w:val="32"/>
          <w:szCs w:val="32"/>
        </w:rPr>
        <w:t>（3）不同类型药物的混合配伍用药，应注意到会否产生增效作用，并进行相应的测 试，避免两用配伍产生拮抗作用影响防制效果；</w:t>
      </w:r>
    </w:p>
    <w:p>
      <w:pPr>
        <w:spacing w:after="0" w:line="540" w:lineRule="exact"/>
        <w:ind w:firstLine="640" w:firstLineChars="200"/>
        <w:rPr>
          <w:rFonts w:ascii="仿宋" w:hAnsi="仿宋" w:eastAsia="仿宋"/>
          <w:sz w:val="32"/>
          <w:szCs w:val="32"/>
        </w:rPr>
      </w:pPr>
      <w:r>
        <w:rPr>
          <w:rFonts w:ascii="仿宋" w:hAnsi="仿宋" w:eastAsia="仿宋"/>
          <w:sz w:val="32"/>
          <w:szCs w:val="32"/>
        </w:rPr>
        <w:t>（4）药物在不同环境用于不同的防制对象时，应采用相配套的喷洒器械，滞留喷洒应 用手动或背负式、手推式机动喷雾器，特殊环境（下水道、电缆 沟、地下室、防空洞、垃圾场）喷杀应用热烟雾发生机或机动喷雾器。</w:t>
      </w:r>
    </w:p>
    <w:p>
      <w:pPr>
        <w:spacing w:after="0" w:line="540" w:lineRule="exact"/>
        <w:ind w:firstLine="640" w:firstLineChars="200"/>
        <w:rPr>
          <w:rFonts w:ascii="仿宋" w:hAnsi="仿宋" w:eastAsia="仿宋"/>
          <w:sz w:val="32"/>
          <w:szCs w:val="32"/>
        </w:rPr>
      </w:pPr>
      <w:r>
        <w:rPr>
          <w:rFonts w:ascii="仿宋" w:hAnsi="仿宋" w:eastAsia="仿宋"/>
          <w:sz w:val="32"/>
          <w:szCs w:val="32"/>
        </w:rPr>
        <w:t>（5）用病媒生物防制的药物，其性质应符合化学性质稳定，残效期长、高效低毒、安全，对人、畜及环境无害，且有显著的击倒和致死作用等要求；</w:t>
      </w:r>
    </w:p>
    <w:p>
      <w:pPr>
        <w:spacing w:after="0" w:line="540" w:lineRule="exact"/>
        <w:ind w:firstLine="640" w:firstLineChars="200"/>
        <w:rPr>
          <w:rFonts w:ascii="仿宋" w:hAnsi="仿宋" w:eastAsia="仿宋"/>
          <w:sz w:val="32"/>
          <w:szCs w:val="32"/>
        </w:rPr>
      </w:pPr>
      <w:r>
        <w:rPr>
          <w:rFonts w:ascii="仿宋" w:hAnsi="仿宋" w:eastAsia="仿宋"/>
          <w:sz w:val="32"/>
          <w:szCs w:val="32"/>
        </w:rPr>
        <w:t>（6）药物必须存放在专用仓库，分类离墙离地存放，并设专人负责管理，药物采购及进出仓库制度健全，存放药物的专用仓库应符合消防安全的有关规定，设置相应的通风、防火、防爆、报警等安全设施，并随时接受抽查和监管；</w:t>
      </w:r>
    </w:p>
    <w:p>
      <w:pPr>
        <w:spacing w:after="0" w:line="540" w:lineRule="exact"/>
        <w:ind w:firstLine="640" w:firstLineChars="200"/>
        <w:rPr>
          <w:rFonts w:ascii="仿宋" w:hAnsi="仿宋" w:eastAsia="仿宋"/>
          <w:sz w:val="32"/>
          <w:szCs w:val="32"/>
        </w:rPr>
      </w:pPr>
      <w:r>
        <w:rPr>
          <w:rFonts w:ascii="仿宋" w:hAnsi="仿宋" w:eastAsia="仿宋"/>
          <w:sz w:val="32"/>
          <w:szCs w:val="32"/>
        </w:rPr>
        <w:t>（7）盛装药物的容器入库时须检查包装是否完好无损，药物使用完毕，应按照环境保护的有关规定，妥善处理；</w:t>
      </w:r>
    </w:p>
    <w:p>
      <w:pPr>
        <w:pStyle w:val="4"/>
        <w:spacing w:line="540" w:lineRule="exact"/>
        <w:ind w:firstLine="643"/>
      </w:pPr>
      <w:r>
        <w:rPr>
          <w:rFonts w:hint="eastAsia"/>
        </w:rPr>
        <w:t>3、</w:t>
      </w:r>
      <w:r>
        <w:t>安全防护措施</w:t>
      </w:r>
    </w:p>
    <w:p>
      <w:pPr>
        <w:spacing w:after="0" w:line="540" w:lineRule="exact"/>
        <w:ind w:firstLine="640" w:firstLineChars="200"/>
        <w:rPr>
          <w:rFonts w:ascii="仿宋" w:hAnsi="仿宋" w:eastAsia="仿宋"/>
          <w:sz w:val="32"/>
          <w:szCs w:val="32"/>
        </w:rPr>
      </w:pPr>
      <w:r>
        <w:rPr>
          <w:rFonts w:ascii="仿宋" w:hAnsi="仿宋" w:eastAsia="仿宋"/>
          <w:sz w:val="32"/>
          <w:szCs w:val="32"/>
        </w:rPr>
        <w:t>（1）消杀作业前须熟悉现场工作情况，明确工作安全要求，做好安全防护工作；</w:t>
      </w:r>
    </w:p>
    <w:p>
      <w:pPr>
        <w:spacing w:after="0" w:line="540" w:lineRule="exact"/>
        <w:ind w:firstLine="640" w:firstLineChars="200"/>
        <w:rPr>
          <w:rFonts w:ascii="仿宋" w:hAnsi="仿宋" w:eastAsia="仿宋"/>
          <w:sz w:val="32"/>
          <w:szCs w:val="32"/>
        </w:rPr>
      </w:pPr>
      <w:r>
        <w:rPr>
          <w:rFonts w:ascii="仿宋" w:hAnsi="仿宋" w:eastAsia="仿宋"/>
          <w:sz w:val="32"/>
          <w:szCs w:val="32"/>
        </w:rPr>
        <w:t>（2）从事卫生虫害防治从业人员必须经过职业培训，熟悉卫生杀虫器械的使用，并熟知所用药物说明书上的注意事项和急救措施；</w:t>
      </w:r>
    </w:p>
    <w:p>
      <w:pPr>
        <w:spacing w:after="0" w:line="540" w:lineRule="exact"/>
        <w:ind w:firstLine="640" w:firstLineChars="200"/>
        <w:rPr>
          <w:rFonts w:ascii="仿宋" w:hAnsi="仿宋" w:eastAsia="仿宋"/>
          <w:sz w:val="32"/>
          <w:szCs w:val="32"/>
        </w:rPr>
      </w:pPr>
      <w:r>
        <w:rPr>
          <w:rFonts w:ascii="仿宋" w:hAnsi="仿宋" w:eastAsia="仿宋"/>
          <w:sz w:val="32"/>
          <w:szCs w:val="32"/>
        </w:rPr>
        <w:t>（3）药物稀释喷杀，操作人员应熟悉药物的性质和配制方法，使用专门的量具，按要求正确配制使用；</w:t>
      </w:r>
    </w:p>
    <w:p>
      <w:pPr>
        <w:spacing w:after="0" w:line="540" w:lineRule="exact"/>
        <w:ind w:firstLine="640" w:firstLineChars="200"/>
        <w:rPr>
          <w:rFonts w:ascii="仿宋" w:hAnsi="仿宋" w:eastAsia="仿宋"/>
          <w:sz w:val="32"/>
          <w:szCs w:val="32"/>
        </w:rPr>
      </w:pPr>
      <w:r>
        <w:rPr>
          <w:rFonts w:ascii="仿宋" w:hAnsi="仿宋" w:eastAsia="仿宋"/>
          <w:sz w:val="32"/>
          <w:szCs w:val="32"/>
        </w:rPr>
        <w:t>（4）防制人员应以体魄健康的中青年为宜，凡皮肤病患者、有禁忌症及“三期”（即经期、孕期、哺乳期）妇女不得从事配药施药工作；</w:t>
      </w:r>
    </w:p>
    <w:p>
      <w:pPr>
        <w:spacing w:after="0" w:line="540" w:lineRule="exact"/>
        <w:ind w:firstLine="640" w:firstLineChars="200"/>
        <w:rPr>
          <w:rFonts w:ascii="仿宋" w:hAnsi="仿宋" w:eastAsia="仿宋"/>
          <w:sz w:val="32"/>
          <w:szCs w:val="32"/>
        </w:rPr>
      </w:pPr>
      <w:r>
        <w:rPr>
          <w:rFonts w:ascii="仿宋" w:hAnsi="仿宋" w:eastAsia="仿宋"/>
          <w:sz w:val="32"/>
          <w:szCs w:val="32"/>
        </w:rPr>
        <w:t>（5）禁止使用国家禁用药物，使用灭鼠及其他有危险的药物时设置施（投）药警告标志；</w:t>
      </w:r>
    </w:p>
    <w:p>
      <w:pPr>
        <w:spacing w:after="0" w:line="540" w:lineRule="exact"/>
        <w:ind w:firstLine="640" w:firstLineChars="200"/>
        <w:rPr>
          <w:rFonts w:ascii="仿宋" w:hAnsi="仿宋" w:eastAsia="仿宋"/>
          <w:sz w:val="32"/>
          <w:szCs w:val="32"/>
        </w:rPr>
      </w:pPr>
      <w:r>
        <w:rPr>
          <w:rFonts w:ascii="仿宋" w:hAnsi="仿宋" w:eastAsia="仿宋"/>
          <w:sz w:val="32"/>
          <w:szCs w:val="32"/>
        </w:rPr>
        <w:t>（6）提醒服务区域有关单位对易被污染的食物、用品、衣物等做好防护工作，对不能 施药的地方不得施用任何药物；</w:t>
      </w:r>
    </w:p>
    <w:p>
      <w:pPr>
        <w:spacing w:after="0" w:line="540" w:lineRule="exact"/>
        <w:ind w:firstLine="640" w:firstLineChars="200"/>
        <w:rPr>
          <w:rFonts w:ascii="仿宋" w:hAnsi="仿宋" w:eastAsia="仿宋"/>
          <w:sz w:val="32"/>
          <w:szCs w:val="32"/>
        </w:rPr>
      </w:pPr>
      <w:r>
        <w:rPr>
          <w:rFonts w:ascii="仿宋" w:hAnsi="仿宋" w:eastAsia="仿宋"/>
          <w:sz w:val="32"/>
          <w:szCs w:val="32"/>
        </w:rPr>
        <w:t>（7）在操作及施工过程中必须穿着长袖衣、长裤和鞋袜，戴手套和防护口罩，佩带上岗证；</w:t>
      </w:r>
    </w:p>
    <w:p>
      <w:pPr>
        <w:spacing w:after="0" w:line="540" w:lineRule="exact"/>
        <w:ind w:firstLine="640" w:firstLineChars="200"/>
        <w:rPr>
          <w:rFonts w:ascii="仿宋" w:hAnsi="仿宋" w:eastAsia="仿宋"/>
          <w:sz w:val="32"/>
          <w:szCs w:val="32"/>
        </w:rPr>
      </w:pPr>
      <w:r>
        <w:rPr>
          <w:rFonts w:ascii="仿宋" w:hAnsi="仿宋" w:eastAsia="仿宋"/>
          <w:sz w:val="32"/>
          <w:szCs w:val="32"/>
        </w:rPr>
        <w:t>（8）施药期间严禁吸烟、饮水和用餐，确实需要饮水时必须洗手，工作结束后要及时进行清洗；</w:t>
      </w:r>
    </w:p>
    <w:p>
      <w:pPr>
        <w:spacing w:after="0" w:line="540" w:lineRule="exact"/>
        <w:ind w:firstLine="640" w:firstLineChars="200"/>
        <w:rPr>
          <w:rFonts w:ascii="仿宋" w:hAnsi="仿宋" w:eastAsia="仿宋"/>
          <w:sz w:val="32"/>
          <w:szCs w:val="32"/>
        </w:rPr>
      </w:pPr>
      <w:r>
        <w:rPr>
          <w:rFonts w:ascii="仿宋" w:hAnsi="仿宋" w:eastAsia="仿宋"/>
          <w:sz w:val="32"/>
          <w:szCs w:val="32"/>
        </w:rPr>
        <w:t>（9）施药时应按照药物的使用说明正确施用,施药前检查施药器械能否正常使用,各接头有无渗漏。药物喷洒时作业人员应在上风位,遵循顺风、退步、换班的喷洒原则，36</w:t>
      </w:r>
      <w:r>
        <w:rPr>
          <w:rFonts w:hint="eastAsia" w:ascii="仿宋" w:hAnsi="仿宋" w:eastAsia="仿宋"/>
          <w:sz w:val="32"/>
          <w:szCs w:val="32"/>
        </w:rPr>
        <w:t>℃</w:t>
      </w:r>
      <w:r>
        <w:rPr>
          <w:rFonts w:ascii="仿宋" w:hAnsi="仿宋" w:eastAsia="仿宋"/>
          <w:sz w:val="32"/>
          <w:szCs w:val="32"/>
        </w:rPr>
        <w:t>以上 高温或三级以上风力时暂停作业</w:t>
      </w:r>
      <w:r>
        <w:rPr>
          <w:rFonts w:hint="eastAsia" w:ascii="仿宋" w:hAnsi="仿宋" w:eastAsia="仿宋"/>
          <w:sz w:val="32"/>
          <w:szCs w:val="32"/>
        </w:rPr>
        <w:t>；</w:t>
      </w:r>
    </w:p>
    <w:p>
      <w:pPr>
        <w:spacing w:after="0" w:line="540" w:lineRule="exact"/>
        <w:ind w:firstLine="640" w:firstLineChars="200"/>
        <w:rPr>
          <w:rFonts w:ascii="仿宋" w:hAnsi="仿宋" w:eastAsia="仿宋"/>
          <w:sz w:val="32"/>
          <w:szCs w:val="32"/>
        </w:rPr>
      </w:pPr>
      <w:r>
        <w:rPr>
          <w:rFonts w:ascii="仿宋" w:hAnsi="仿宋" w:eastAsia="仿宋"/>
          <w:sz w:val="32"/>
          <w:szCs w:val="32"/>
        </w:rPr>
        <w:t>（10）妥善保管药物,作业完成后及时检查和核对剩余药物的品种和数量是否与携带量 及消耗量相符。消杀器械、器具不得在施工现场清洗，以免污染室内外环境。</w:t>
      </w:r>
    </w:p>
    <w:p>
      <w:pPr>
        <w:pStyle w:val="4"/>
        <w:spacing w:line="540" w:lineRule="exact"/>
        <w:ind w:firstLine="643"/>
      </w:pPr>
      <w:r>
        <w:t>4</w:t>
      </w:r>
      <w:r>
        <w:rPr>
          <w:rFonts w:hint="eastAsia"/>
        </w:rPr>
        <w:t>、</w:t>
      </w:r>
      <w:r>
        <w:t>劳动保障要求</w:t>
      </w:r>
    </w:p>
    <w:p>
      <w:pPr>
        <w:spacing w:after="0" w:line="540" w:lineRule="exact"/>
        <w:ind w:firstLine="640" w:firstLineChars="200"/>
        <w:rPr>
          <w:rFonts w:ascii="仿宋" w:hAnsi="仿宋" w:eastAsia="仿宋"/>
          <w:sz w:val="32"/>
          <w:szCs w:val="32"/>
        </w:rPr>
      </w:pPr>
      <w:r>
        <w:rPr>
          <w:rFonts w:ascii="仿宋" w:hAnsi="仿宋" w:eastAsia="仿宋"/>
          <w:sz w:val="32"/>
          <w:szCs w:val="32"/>
        </w:rPr>
        <w:t>（1）遵守劳动保障有关要求，与员工签定书面劳动合同；</w:t>
      </w:r>
    </w:p>
    <w:p>
      <w:pPr>
        <w:spacing w:after="0" w:line="540" w:lineRule="exact"/>
        <w:ind w:firstLine="640" w:firstLineChars="200"/>
        <w:rPr>
          <w:rFonts w:ascii="仿宋" w:hAnsi="仿宋" w:eastAsia="仿宋"/>
          <w:sz w:val="32"/>
          <w:szCs w:val="32"/>
        </w:rPr>
      </w:pPr>
      <w:r>
        <w:rPr>
          <w:rFonts w:ascii="仿宋" w:hAnsi="仿宋" w:eastAsia="仿宋"/>
          <w:sz w:val="32"/>
          <w:szCs w:val="32"/>
        </w:rPr>
        <w:t>（2）工资标准须符合深圳市最低工资标准，并根据当年最低标准的变动作出调整；</w:t>
      </w:r>
    </w:p>
    <w:p>
      <w:pPr>
        <w:spacing w:after="0" w:line="540" w:lineRule="exact"/>
        <w:ind w:firstLine="640" w:firstLineChars="200"/>
        <w:rPr>
          <w:rFonts w:ascii="仿宋" w:hAnsi="仿宋" w:eastAsia="仿宋"/>
          <w:sz w:val="32"/>
          <w:szCs w:val="32"/>
        </w:rPr>
      </w:pPr>
      <w:r>
        <w:rPr>
          <w:rFonts w:ascii="仿宋" w:hAnsi="仿宋" w:eastAsia="仿宋"/>
          <w:sz w:val="32"/>
          <w:szCs w:val="32"/>
        </w:rPr>
        <w:t>（3）根据从业人员数量购买社会保险；</w:t>
      </w:r>
    </w:p>
    <w:p>
      <w:pPr>
        <w:spacing w:after="0" w:line="540" w:lineRule="exact"/>
        <w:ind w:firstLine="640" w:firstLineChars="200"/>
        <w:rPr>
          <w:rFonts w:ascii="仿宋" w:hAnsi="仿宋" w:eastAsia="仿宋"/>
          <w:sz w:val="32"/>
          <w:szCs w:val="32"/>
        </w:rPr>
      </w:pPr>
      <w:r>
        <w:rPr>
          <w:rFonts w:ascii="仿宋" w:hAnsi="仿宋" w:eastAsia="仿宋"/>
          <w:sz w:val="32"/>
          <w:szCs w:val="32"/>
        </w:rPr>
        <w:t>（4）确保从业人员有正常休息的时间，不违反《劳动法》。</w:t>
      </w:r>
    </w:p>
    <w:p>
      <w:pPr>
        <w:pStyle w:val="4"/>
        <w:spacing w:line="540" w:lineRule="exact"/>
        <w:ind w:firstLine="643"/>
      </w:pPr>
      <w:r>
        <w:rPr>
          <w:rFonts w:hint="eastAsia"/>
        </w:rPr>
        <w:t>5、</w:t>
      </w:r>
      <w:r>
        <w:t>服务组织方案</w:t>
      </w:r>
    </w:p>
    <w:p>
      <w:pPr>
        <w:spacing w:after="0" w:line="540" w:lineRule="exact"/>
        <w:ind w:firstLine="640" w:firstLineChars="200"/>
        <w:rPr>
          <w:rFonts w:ascii="仿宋" w:hAnsi="仿宋" w:eastAsia="仿宋"/>
          <w:sz w:val="32"/>
          <w:szCs w:val="32"/>
        </w:rPr>
      </w:pPr>
      <w:r>
        <w:rPr>
          <w:rFonts w:ascii="仿宋" w:hAnsi="仿宋" w:eastAsia="仿宋"/>
          <w:sz w:val="32"/>
          <w:szCs w:val="32"/>
        </w:rPr>
        <w:t>投标人必须制定完整、可行、详细的消杀组织方案，明确组织机构、人员配备、消杀要求、质量标准、检查考核办法、安全措施、奖罚措施、应急预案等。</w:t>
      </w:r>
    </w:p>
    <w:p>
      <w:pPr>
        <w:pStyle w:val="4"/>
        <w:spacing w:line="540" w:lineRule="exact"/>
        <w:ind w:firstLine="643"/>
      </w:pPr>
      <w:r>
        <w:rPr>
          <w:rFonts w:hint="eastAsia"/>
        </w:rPr>
        <w:t>6、</w:t>
      </w:r>
      <w:r>
        <w:t>质量管理和监督措施</w:t>
      </w:r>
    </w:p>
    <w:p>
      <w:pPr>
        <w:spacing w:after="0" w:line="540" w:lineRule="exact"/>
        <w:ind w:firstLine="640" w:firstLineChars="200"/>
        <w:rPr>
          <w:rFonts w:ascii="仿宋" w:hAnsi="仿宋" w:eastAsia="仿宋"/>
          <w:sz w:val="32"/>
          <w:szCs w:val="32"/>
        </w:rPr>
      </w:pPr>
      <w:r>
        <w:rPr>
          <w:rFonts w:ascii="仿宋" w:hAnsi="仿宋" w:eastAsia="仿宋"/>
          <w:sz w:val="32"/>
          <w:szCs w:val="32"/>
        </w:rPr>
        <w:t>（1）接受采购方监督检查, 服务质量考核评分按照《关于印发《南山区病媒生物防制服务质量考评办法》的通知》（深南爱卫办[2016]8号）和《南山区爱卫办病媒生物防制服 务质量奖惩办法》执行，采购方有权根据主管部门的有关要求对有关条款作出调整；</w:t>
      </w:r>
    </w:p>
    <w:p>
      <w:pPr>
        <w:spacing w:after="0" w:line="540" w:lineRule="exact"/>
        <w:ind w:firstLine="640" w:firstLineChars="200"/>
        <w:rPr>
          <w:rFonts w:ascii="仿宋" w:hAnsi="仿宋" w:eastAsia="仿宋"/>
          <w:sz w:val="32"/>
          <w:szCs w:val="32"/>
        </w:rPr>
      </w:pPr>
      <w:r>
        <w:rPr>
          <w:rFonts w:ascii="仿宋" w:hAnsi="仿宋" w:eastAsia="仿宋"/>
          <w:sz w:val="32"/>
          <w:szCs w:val="32"/>
        </w:rPr>
        <w:t>（2）积极配合主管单位开展爱国卫生运动，服从采购方因特殊情况下对消杀范围作相 应调整的安排，增加投药范围或使用指定药物；</w:t>
      </w:r>
    </w:p>
    <w:p>
      <w:pPr>
        <w:spacing w:after="0" w:line="540" w:lineRule="exact"/>
        <w:ind w:firstLine="640" w:firstLineChars="200"/>
        <w:rPr>
          <w:rFonts w:ascii="仿宋" w:hAnsi="仿宋" w:eastAsia="仿宋"/>
          <w:sz w:val="32"/>
          <w:szCs w:val="32"/>
        </w:rPr>
      </w:pPr>
      <w:r>
        <w:rPr>
          <w:rFonts w:ascii="仿宋" w:hAnsi="仿宋" w:eastAsia="仿宋"/>
          <w:sz w:val="32"/>
          <w:szCs w:val="32"/>
        </w:rPr>
        <w:t>（3）因违规使用药物或施工不当造成人员伤亡及经济损失的，中标人承担一切经济损 失和法律责任，且采购方有权立即终止合同；</w:t>
      </w:r>
    </w:p>
    <w:p>
      <w:pPr>
        <w:spacing w:after="0" w:line="540" w:lineRule="exact"/>
        <w:ind w:firstLine="640" w:firstLineChars="200"/>
        <w:rPr>
          <w:rFonts w:ascii="仿宋" w:hAnsi="仿宋" w:eastAsia="仿宋"/>
          <w:sz w:val="32"/>
          <w:szCs w:val="32"/>
        </w:rPr>
      </w:pPr>
      <w:r>
        <w:rPr>
          <w:rFonts w:ascii="仿宋" w:hAnsi="仿宋" w:eastAsia="仿宋"/>
          <w:sz w:val="32"/>
          <w:szCs w:val="32"/>
        </w:rPr>
        <w:t>（4）不得将本服务项目进行分包或转包给任何单位和个人。否则，采购方有权立即终 止合同，并要求中标人赔偿相应损失；</w:t>
      </w:r>
    </w:p>
    <w:p>
      <w:pPr>
        <w:spacing w:after="0" w:line="540" w:lineRule="exact"/>
        <w:ind w:firstLine="640" w:firstLineChars="200"/>
        <w:rPr>
          <w:rFonts w:ascii="仿宋" w:hAnsi="仿宋" w:eastAsia="仿宋"/>
          <w:sz w:val="32"/>
          <w:szCs w:val="32"/>
        </w:rPr>
      </w:pPr>
      <w:r>
        <w:rPr>
          <w:rFonts w:ascii="仿宋" w:hAnsi="仿宋" w:eastAsia="仿宋"/>
          <w:sz w:val="32"/>
          <w:szCs w:val="32"/>
        </w:rPr>
        <w:t>（5）对本服务项目的实施不得弄虚作假，否则终止合同；</w:t>
      </w:r>
    </w:p>
    <w:p>
      <w:pPr>
        <w:spacing w:after="0" w:line="540" w:lineRule="exact"/>
        <w:ind w:firstLine="640" w:firstLineChars="200"/>
        <w:rPr>
          <w:rFonts w:ascii="仿宋" w:hAnsi="仿宋" w:eastAsia="仿宋"/>
          <w:sz w:val="32"/>
          <w:szCs w:val="32"/>
        </w:rPr>
      </w:pPr>
      <w:r>
        <w:rPr>
          <w:rFonts w:ascii="仿宋" w:hAnsi="仿宋" w:eastAsia="仿宋"/>
          <w:sz w:val="32"/>
          <w:szCs w:val="32"/>
        </w:rPr>
        <w:t>（6）不得违反劳动法的有关规定，否则终止合同；</w:t>
      </w:r>
    </w:p>
    <w:p>
      <w:pPr>
        <w:spacing w:after="0" w:line="540" w:lineRule="exact"/>
        <w:ind w:firstLine="640" w:firstLineChars="200"/>
        <w:rPr>
          <w:rFonts w:ascii="仿宋" w:hAnsi="仿宋" w:eastAsia="仿宋"/>
          <w:sz w:val="32"/>
          <w:szCs w:val="32"/>
        </w:rPr>
      </w:pPr>
      <w:r>
        <w:rPr>
          <w:rFonts w:ascii="仿宋" w:hAnsi="仿宋" w:eastAsia="仿宋"/>
          <w:sz w:val="32"/>
          <w:szCs w:val="32"/>
        </w:rPr>
        <w:t>（7）消杀服务质量考评不达标，经整改无明显改善的，按照《南山区病媒生物防制服 务质量考评办法》和《南山区爱卫办病媒生物防制服务质量奖惩办法》有关的处罚条款进行 扣款处罚。</w:t>
      </w:r>
    </w:p>
    <w:p>
      <w:pPr>
        <w:pStyle w:val="3"/>
        <w:spacing w:before="312" w:after="312" w:line="540" w:lineRule="exact"/>
        <w:ind w:firstLine="643"/>
      </w:pPr>
      <w:r>
        <w:rPr>
          <w:rFonts w:hint="eastAsia"/>
        </w:rPr>
        <w:t>（四）</w:t>
      </w:r>
      <w:r>
        <w:t>白蚁防治作业要求</w:t>
      </w:r>
    </w:p>
    <w:p>
      <w:pPr>
        <w:pStyle w:val="4"/>
        <w:spacing w:line="540" w:lineRule="exact"/>
        <w:ind w:firstLine="643"/>
      </w:pPr>
      <w:r>
        <w:rPr>
          <w:rFonts w:hint="eastAsia"/>
        </w:rPr>
        <w:t>1、</w:t>
      </w:r>
      <w:r>
        <w:t>作业要求:</w:t>
      </w:r>
    </w:p>
    <w:p>
      <w:pPr>
        <w:spacing w:after="0" w:line="540" w:lineRule="exact"/>
        <w:ind w:firstLine="640" w:firstLineChars="200"/>
        <w:rPr>
          <w:rFonts w:ascii="仿宋" w:hAnsi="仿宋" w:eastAsia="仿宋"/>
          <w:sz w:val="32"/>
          <w:szCs w:val="32"/>
        </w:rPr>
      </w:pPr>
      <w:r>
        <w:rPr>
          <w:rFonts w:ascii="仿宋" w:hAnsi="仿宋" w:eastAsia="仿宋"/>
          <w:sz w:val="32"/>
          <w:szCs w:val="32"/>
        </w:rPr>
        <w:t>（1）全面登记造册。本项目中标方须在招标完成后一个月内向采购方提交中标标段市 政道路行道树、城中村古树及公园树木白蚁侵蚀的本底调查资料，并因地制宜制订合理的害虫综合控制方案。</w:t>
      </w:r>
    </w:p>
    <w:p>
      <w:pPr>
        <w:spacing w:after="0" w:line="540" w:lineRule="exact"/>
        <w:ind w:firstLine="640" w:firstLineChars="200"/>
        <w:rPr>
          <w:rFonts w:ascii="仿宋" w:hAnsi="仿宋" w:eastAsia="仿宋"/>
          <w:sz w:val="32"/>
          <w:szCs w:val="32"/>
        </w:rPr>
      </w:pPr>
      <w:r>
        <w:rPr>
          <w:rFonts w:ascii="仿宋" w:hAnsi="仿宋" w:eastAsia="仿宋"/>
          <w:sz w:val="32"/>
          <w:szCs w:val="32"/>
        </w:rPr>
        <w:t>（2）全面进行灭治和预防，防重于治。每月对防治范围进行全面检查，发现白蚁害情 即施传染性药物或采取其他有效灭杀措施。加强对景观路段、景观节点、市政公园等重点 场所，以及古树、名贵树、易受白蚁为害等重点树木的管理，进行全面和有效的药物预防 处理。采用的药物应对树木生长无害，不污染环境的高效和低毒药物。</w:t>
      </w:r>
    </w:p>
    <w:p>
      <w:pPr>
        <w:spacing w:after="0" w:line="540" w:lineRule="exact"/>
        <w:ind w:firstLine="640" w:firstLineChars="200"/>
        <w:rPr>
          <w:rFonts w:ascii="仿宋" w:hAnsi="仿宋" w:eastAsia="仿宋"/>
          <w:sz w:val="32"/>
          <w:szCs w:val="32"/>
        </w:rPr>
      </w:pPr>
      <w:r>
        <w:rPr>
          <w:rFonts w:ascii="仿宋" w:hAnsi="仿宋" w:eastAsia="仿宋"/>
          <w:sz w:val="32"/>
          <w:szCs w:val="32"/>
        </w:rPr>
        <w:t>（3）进行施工前应与施工范围相应的管理部门联系，做好白蚁防治作业记录，详细记 录白蚁危害情况、白蚁种类、蚁巢位置、施药种类、药量、效果情况等，并做好资料的归档 和管理，巡查工作记录须每月提交采购方签字确认， 作为考核验收的重要依据。每半年须 向采购方提交半年度工作总结。</w:t>
      </w:r>
    </w:p>
    <w:p>
      <w:pPr>
        <w:spacing w:after="0" w:line="540" w:lineRule="exact"/>
        <w:ind w:firstLine="640" w:firstLineChars="200"/>
        <w:rPr>
          <w:rFonts w:ascii="仿宋" w:hAnsi="仿宋" w:eastAsia="仿宋"/>
          <w:sz w:val="32"/>
          <w:szCs w:val="32"/>
        </w:rPr>
      </w:pPr>
      <w:r>
        <w:rPr>
          <w:rFonts w:ascii="仿宋" w:hAnsi="仿宋" w:eastAsia="仿宋"/>
          <w:sz w:val="32"/>
          <w:szCs w:val="32"/>
        </w:rPr>
        <w:t>（4）消杀作业完成后应认真填写消杀工作记录，并做消杀记录等相关资料的归档和整 理。从事消杀的作业人员必须穿着统一公司标识的工作服装，佩带《上岗证》。</w:t>
      </w:r>
    </w:p>
    <w:p>
      <w:pPr>
        <w:spacing w:after="0" w:line="540" w:lineRule="exact"/>
        <w:ind w:firstLine="640" w:firstLineChars="200"/>
        <w:rPr>
          <w:rFonts w:ascii="仿宋" w:hAnsi="仿宋" w:eastAsia="仿宋"/>
          <w:b/>
          <w:sz w:val="32"/>
          <w:szCs w:val="32"/>
        </w:rPr>
      </w:pPr>
      <w:r>
        <w:rPr>
          <w:rFonts w:hint="eastAsia" w:ascii="仿宋" w:hAnsi="仿宋" w:eastAsia="仿宋"/>
          <w:b/>
          <w:sz w:val="32"/>
          <w:szCs w:val="32"/>
        </w:rPr>
        <w:t>投标人中标后无条件参加街道各区域应急。</w:t>
      </w:r>
    </w:p>
    <w:p>
      <w:pPr>
        <w:pStyle w:val="2"/>
        <w:spacing w:line="540" w:lineRule="exact"/>
      </w:pPr>
      <w:r>
        <w:rPr>
          <w:rFonts w:hint="eastAsia"/>
        </w:rPr>
        <w:t>七、评审方式</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供应商需按要求提供高质量的报价文件，我单位将对各个供应商报价文件按照以下因素进行横向比较，综合评审出一家中标供应商。</w:t>
      </w:r>
    </w:p>
    <w:tbl>
      <w:tblPr>
        <w:tblStyle w:val="9"/>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序号</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权重</w:t>
            </w:r>
          </w:p>
        </w:tc>
        <w:tc>
          <w:tcPr>
            <w:tcW w:w="6996" w:type="dxa"/>
            <w:shd w:val="clear" w:color="auto" w:fill="auto"/>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10</w:t>
            </w:r>
          </w:p>
        </w:tc>
        <w:tc>
          <w:tcPr>
            <w:tcW w:w="6996"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报价的合理程度进行评判，由评审委员进行优劣打分，报价全面贴合项目需求，能够最大限度提升项目服务质量的，最优得10分，最低0分。（评判标准包括但不限于：报价详细程度、报价合理性、报价与项目需求贴合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服务团队情况进行评判，由评审委员进行优劣打分，服务团队资质齐全，能够最大限度提升项目服务质量的，最优得20分，最低0分。（评判标准包括但不限于：服务团队人员数量、学历、人员具备与“除四害”相关的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资质和通过认证情况以及拥有其他项目相关的著作权等与项目的贴合程度及级别和数量进行评判，由评审委员进行优劣打分。最优的得20分，依次递减5分，最低0分。（评判标准包括但不限于：企业取得的质量体系等认证、除四害专业资质、企业专利、著作权、企业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6996"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根据供应商提供的项目业绩的数量及贴合项目程度，由评审委员进行优劣打分。最优的得20分，依次递减5分，最低0分。（评判标准包括但不限于：业绩数量、业绩与项目贴合程度、采购单位、履约评价等）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5</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30</w:t>
            </w:r>
          </w:p>
        </w:tc>
        <w:tc>
          <w:tcPr>
            <w:tcW w:w="6996"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要求投标人充分理解本项目需求情况及业务情况，评审委员根据各投标人的服务方案进行横向比较项目总体概述的全面性、具体性、详实性、准确性和透彻性。</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（一）评分依据：</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1.总体规划科学合理，能根据采购单位需求进行详细分析，配套措施完善，服务实施方案合理，评价为优得30分；</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2.总体规划有一定特点，分析合理、切合现场实际情况，配套措施比较完善，服务方案比较合理，评价为良得20分；</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3.总体规划无突出特点，分析合理，配套措施一般，服务方案一般，评价为中得10分；</w:t>
            </w:r>
            <w:r>
              <w:rPr>
                <w:rFonts w:hint="eastAsia" w:ascii="仿宋_GB2312" w:hAnsi="宋体" w:eastAsia="仿宋_GB2312" w:cs="宋体"/>
                <w:color w:val="000000"/>
                <w:sz w:val="32"/>
                <w:szCs w:val="32"/>
              </w:rPr>
              <w:br w:type="textWrapping"/>
            </w:r>
            <w:r>
              <w:rPr>
                <w:rFonts w:hint="eastAsia" w:ascii="仿宋_GB2312" w:hAnsi="宋体" w:eastAsia="仿宋_GB2312" w:cs="宋体"/>
                <w:color w:val="000000"/>
                <w:sz w:val="32"/>
                <w:szCs w:val="32"/>
              </w:rPr>
              <w:t>4.总体规划无特点，配套措施较差，服务方案较差的，评价为差不得分。</w:t>
            </w:r>
          </w:p>
        </w:tc>
      </w:tr>
    </w:tbl>
    <w:p>
      <w:pPr>
        <w:spacing w:line="540" w:lineRule="exact"/>
      </w:pPr>
    </w:p>
    <w:p>
      <w:pPr>
        <w:pStyle w:val="2"/>
        <w:spacing w:line="540" w:lineRule="exact"/>
      </w:pPr>
      <w:r>
        <w:rPr>
          <w:rFonts w:hint="eastAsia"/>
        </w:rPr>
        <w:t>八、报价文件格式及递交要求</w:t>
      </w:r>
    </w:p>
    <w:tbl>
      <w:tblPr>
        <w:tblStyle w:val="9"/>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621"/>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21"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337"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21"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格式要求</w:t>
            </w:r>
          </w:p>
        </w:tc>
        <w:tc>
          <w:tcPr>
            <w:tcW w:w="6337"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编制条理清晰，须含目录、页码，装订齐整。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2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递交要求</w:t>
            </w:r>
          </w:p>
        </w:tc>
        <w:tc>
          <w:tcPr>
            <w:tcW w:w="6337" w:type="dxa"/>
          </w:tcPr>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供应商需认真阅读《深圳市南山区沙河街道老旧小区除“四害”消杀及白蚁防治服务项目》，报价文件需包含目录并加盖单位公章和密封，在封面注明项目名称和报价单位名称后，于202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年3月9日北京时间17：00前送到如下地址：</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深圳市南山区博达大厦408室</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联系人：李先生</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联系方式：18588249557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8"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21" w:type="dxa"/>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报价要求</w:t>
            </w:r>
          </w:p>
        </w:tc>
        <w:tc>
          <w:tcPr>
            <w:tcW w:w="6337" w:type="dxa"/>
          </w:tcPr>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1、投标语言、币种及计量单位：投标文件的语言为中文，以人民币为使用币种。</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本项目服务费用采用包干制。投标供应商应充分了解项目情况及任何其他足以影响报价的情况并根据采购文件所提供的资料合理报价，一经中标，投标报价总价作为中标单位与采购单位签定的合同金额，合同期限内不做调整。</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4、报价要求：投标人应根据本企业的成本自行决定报价，但不得以低于其企业成本的报价投标。</w:t>
            </w:r>
          </w:p>
          <w:p>
            <w:pPr>
              <w:spacing w:after="0"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5、本项目财政控制金额为人民币为22.5万元，投标人的投标报价高于财政控制金额为无效投标。</w:t>
            </w:r>
          </w:p>
        </w:tc>
      </w:tr>
    </w:tbl>
    <w:p>
      <w:pPr>
        <w:spacing w:line="540" w:lineRule="exact"/>
      </w:pPr>
    </w:p>
    <w:p>
      <w:pPr>
        <w:pStyle w:val="2"/>
        <w:spacing w:line="540" w:lineRule="exact"/>
      </w:pPr>
      <w:r>
        <w:rPr>
          <w:rFonts w:hint="eastAsia"/>
        </w:rPr>
        <w:t>九、报价文件内容要求</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1.报价文件需一正两副、报价文件封面需注明项目名称和报价单位名称。</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2.报价文件第一页需按照以下格式编写：</w:t>
      </w:r>
    </w:p>
    <w:p>
      <w:pPr>
        <w:pStyle w:val="14"/>
        <w:snapToGrid w:val="0"/>
        <w:spacing w:line="500" w:lineRule="exact"/>
        <w:ind w:firstLine="0"/>
        <w:jc w:val="center"/>
        <w:rPr>
          <w:rFonts w:asciiTheme="minorEastAsia" w:hAnsiTheme="minorEastAsia"/>
          <w:b/>
          <w:sz w:val="44"/>
          <w:szCs w:val="44"/>
        </w:rPr>
      </w:pPr>
    </w:p>
    <w:p>
      <w:pPr>
        <w:pStyle w:val="14"/>
        <w:snapToGrid w:val="0"/>
        <w:spacing w:line="500" w:lineRule="exact"/>
        <w:ind w:firstLine="0"/>
        <w:jc w:val="center"/>
        <w:rPr>
          <w:rFonts w:asciiTheme="minorEastAsia" w:hAnsiTheme="minorEastAsia"/>
          <w:b/>
          <w:sz w:val="44"/>
          <w:szCs w:val="44"/>
        </w:rPr>
      </w:pPr>
      <w:r>
        <w:rPr>
          <w:rFonts w:hint="eastAsia" w:cs="宋体" w:asciiTheme="minorEastAsia" w:hAnsiTheme="minorEastAsia"/>
          <w:b/>
          <w:sz w:val="44"/>
          <w:szCs w:val="44"/>
        </w:rPr>
        <w:t>深圳市南山区沙河街道老旧小区除“四害”消杀及白蚁防治服务项目</w:t>
      </w:r>
    </w:p>
    <w:p>
      <w:pPr>
        <w:pStyle w:val="14"/>
        <w:snapToGrid w:val="0"/>
        <w:spacing w:line="500" w:lineRule="exact"/>
        <w:ind w:firstLine="419" w:firstLineChars="131"/>
        <w:rPr>
          <w:rFonts w:ascii="仿宋_GB2312" w:hAnsi="仿宋_GB2312" w:eastAsia="仿宋_GB2312" w:cs="仿宋_GB2312"/>
          <w:sz w:val="32"/>
          <w:szCs w:val="32"/>
        </w:rPr>
      </w:pPr>
    </w:p>
    <w:p>
      <w:pPr>
        <w:pStyle w:val="14"/>
        <w:snapToGrid w:val="0"/>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我司完全理解贵单位询价文件的各项内容，承诺完全满足本项目服务内容及其要求，按时保质保量完成本项目，完全接受贵单位关于本项目询价文件中的要求。对于本项目，我司报价为人民币   元，该报价已包含了本项目的所有费用，贵单位无需再为本项目支付其他费用。</w:t>
      </w:r>
    </w:p>
    <w:p>
      <w:pPr>
        <w:pStyle w:val="14"/>
        <w:snapToGrid w:val="0"/>
        <w:spacing w:line="500" w:lineRule="exact"/>
        <w:ind w:firstLine="640" w:firstLineChars="200"/>
        <w:rPr>
          <w:rFonts w:ascii="仿宋_GB2312" w:hAnsi="仿宋_GB2312" w:eastAsia="仿宋_GB2312" w:cs="仿宋_GB2312"/>
          <w:sz w:val="32"/>
          <w:szCs w:val="32"/>
        </w:rPr>
      </w:pPr>
    </w:p>
    <w:p>
      <w:pPr>
        <w:spacing w:line="500" w:lineRule="exact"/>
        <w:rPr>
          <w:rFonts w:ascii="仿宋_GB2312" w:eastAsia="仿宋_GB2312"/>
          <w:sz w:val="32"/>
          <w:szCs w:val="32"/>
          <w:u w:val="single"/>
        </w:rPr>
      </w:pPr>
      <w:r>
        <w:rPr>
          <w:rFonts w:hint="eastAsia" w:ascii="仿宋_GB2312" w:eastAsia="仿宋_GB2312"/>
          <w:sz w:val="32"/>
          <w:szCs w:val="32"/>
        </w:rPr>
        <w:t>公司名称：（加盖公章）</w:t>
      </w:r>
    </w:p>
    <w:p>
      <w:pPr>
        <w:spacing w:line="500" w:lineRule="exact"/>
        <w:rPr>
          <w:rFonts w:ascii="仿宋_GB2312" w:eastAsia="仿宋_GB2312"/>
          <w:sz w:val="32"/>
          <w:szCs w:val="32"/>
          <w:u w:val="single"/>
        </w:rPr>
      </w:pPr>
      <w:r>
        <w:rPr>
          <w:rFonts w:hint="eastAsia" w:ascii="仿宋_GB2312" w:eastAsia="仿宋_GB2312"/>
          <w:sz w:val="32"/>
          <w:szCs w:val="32"/>
        </w:rPr>
        <w:t>办公地址：</w:t>
      </w:r>
    </w:p>
    <w:p>
      <w:pPr>
        <w:spacing w:line="500" w:lineRule="exact"/>
        <w:rPr>
          <w:rFonts w:ascii="仿宋_GB2312" w:eastAsia="仿宋_GB2312"/>
          <w:sz w:val="32"/>
          <w:szCs w:val="32"/>
        </w:rPr>
      </w:pPr>
      <w:r>
        <w:rPr>
          <w:rFonts w:hint="eastAsia" w:ascii="仿宋_GB2312" w:eastAsia="仿宋_GB2312"/>
          <w:sz w:val="32"/>
          <w:szCs w:val="32"/>
        </w:rPr>
        <w:t>联系人：</w:t>
      </w:r>
    </w:p>
    <w:p>
      <w:pPr>
        <w:spacing w:line="500" w:lineRule="exact"/>
        <w:rPr>
          <w:rFonts w:ascii="仿宋_GB2312" w:eastAsia="仿宋_GB2312"/>
          <w:sz w:val="32"/>
          <w:szCs w:val="32"/>
          <w:u w:val="single"/>
        </w:rPr>
      </w:pPr>
      <w:r>
        <w:rPr>
          <w:rFonts w:hint="eastAsia" w:ascii="仿宋_GB2312" w:eastAsia="仿宋_GB2312"/>
          <w:sz w:val="32"/>
          <w:szCs w:val="32"/>
        </w:rPr>
        <w:t>固定电话：          手机：</w:t>
      </w:r>
    </w:p>
    <w:p>
      <w:pPr>
        <w:spacing w:line="500" w:lineRule="exact"/>
        <w:rPr>
          <w:rFonts w:ascii="仿宋_GB2312" w:eastAsia="仿宋_GB2312"/>
          <w:sz w:val="32"/>
          <w:szCs w:val="32"/>
        </w:rPr>
      </w:pPr>
      <w:r>
        <w:rPr>
          <w:rFonts w:hint="eastAsia" w:ascii="仿宋_GB2312" w:eastAsia="仿宋_GB2312"/>
          <w:sz w:val="32"/>
          <w:szCs w:val="32"/>
        </w:rPr>
        <w:t>电子邮箱：</w:t>
      </w:r>
    </w:p>
    <w:p>
      <w:pPr>
        <w:spacing w:line="500" w:lineRule="exact"/>
        <w:ind w:firstLine="640"/>
        <w:rPr>
          <w:rFonts w:hint="eastAsia" w:ascii="仿宋_GB2312" w:eastAsia="仿宋_GB2312"/>
          <w:sz w:val="32"/>
          <w:szCs w:val="32"/>
        </w:rPr>
      </w:pPr>
      <w:r>
        <w:rPr>
          <w:rFonts w:hint="eastAsia" w:ascii="仿宋_GB2312" w:eastAsia="仿宋_GB2312"/>
          <w:sz w:val="32"/>
          <w:szCs w:val="32"/>
        </w:rPr>
        <w:t>注：我司报价文件还需包含如下内容：1、服务方案；2、分项报价表；3、公司情况介绍及人员资质等；4、类似项目业绩。5、承诺函</w:t>
      </w:r>
    </w:p>
    <w:p>
      <w:pPr>
        <w:spacing w:line="500" w:lineRule="exact"/>
        <w:ind w:firstLine="640"/>
        <w:rPr>
          <w:rFonts w:ascii="仿宋_GB2312" w:eastAsia="仿宋_GB2312"/>
          <w:sz w:val="32"/>
          <w:szCs w:val="32"/>
        </w:rPr>
      </w:pPr>
    </w:p>
    <w:p>
      <w:pPr>
        <w:pStyle w:val="2"/>
        <w:spacing w:line="500" w:lineRule="exact"/>
      </w:pPr>
      <w:r>
        <w:rPr>
          <w:rFonts w:hint="eastAsia" w:ascii="仿宋_GB2312" w:eastAsia="仿宋_GB2312"/>
        </w:rPr>
        <w:t>附件：</w:t>
      </w:r>
      <w:r>
        <w:rPr>
          <w:rFonts w:hint="eastAsia"/>
        </w:rPr>
        <w:t>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pPr>
      <w:r>
        <w:rPr>
          <w:rFonts w:hint="eastAsia" w:ascii="仿宋_GB2312" w:eastAsia="仿宋_GB2312"/>
          <w:sz w:val="32"/>
          <w:szCs w:val="32"/>
        </w:rPr>
        <w:t>注意事项:投标人必须严格按照上述格式及内容提供承诺函，否则视为没有实质性满足招标文件要求</w:t>
      </w:r>
    </w:p>
    <w:sectPr>
      <w:pgSz w:w="11906" w:h="16838"/>
      <w:pgMar w:top="1327" w:right="1627" w:bottom="1327" w:left="162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F6"/>
    <w:rsid w:val="00016837"/>
    <w:rsid w:val="00052E80"/>
    <w:rsid w:val="0006098B"/>
    <w:rsid w:val="000649D2"/>
    <w:rsid w:val="000949AA"/>
    <w:rsid w:val="00095B7B"/>
    <w:rsid w:val="000A5C15"/>
    <w:rsid w:val="000D2DFA"/>
    <w:rsid w:val="000D671D"/>
    <w:rsid w:val="000E5B6E"/>
    <w:rsid w:val="000E62DB"/>
    <w:rsid w:val="000E741C"/>
    <w:rsid w:val="000F0BBC"/>
    <w:rsid w:val="000F44A9"/>
    <w:rsid w:val="0011148D"/>
    <w:rsid w:val="001172F8"/>
    <w:rsid w:val="00182E02"/>
    <w:rsid w:val="00183491"/>
    <w:rsid w:val="001B22F5"/>
    <w:rsid w:val="001B38E5"/>
    <w:rsid w:val="001B4BB3"/>
    <w:rsid w:val="001D6DAA"/>
    <w:rsid w:val="001D7949"/>
    <w:rsid w:val="002436A7"/>
    <w:rsid w:val="00253095"/>
    <w:rsid w:val="002F1282"/>
    <w:rsid w:val="002F6A70"/>
    <w:rsid w:val="003124D1"/>
    <w:rsid w:val="00317F16"/>
    <w:rsid w:val="00347E90"/>
    <w:rsid w:val="00394D58"/>
    <w:rsid w:val="00456D70"/>
    <w:rsid w:val="00473585"/>
    <w:rsid w:val="004A79A0"/>
    <w:rsid w:val="004F6908"/>
    <w:rsid w:val="00521FBD"/>
    <w:rsid w:val="0052326A"/>
    <w:rsid w:val="00530234"/>
    <w:rsid w:val="005311C5"/>
    <w:rsid w:val="00534FCA"/>
    <w:rsid w:val="0054324C"/>
    <w:rsid w:val="00545794"/>
    <w:rsid w:val="005642AC"/>
    <w:rsid w:val="00574245"/>
    <w:rsid w:val="005813A3"/>
    <w:rsid w:val="005A0AC8"/>
    <w:rsid w:val="005B7AFE"/>
    <w:rsid w:val="006473F6"/>
    <w:rsid w:val="00651211"/>
    <w:rsid w:val="00654E4A"/>
    <w:rsid w:val="00660023"/>
    <w:rsid w:val="006734D3"/>
    <w:rsid w:val="006A3E1D"/>
    <w:rsid w:val="00705A19"/>
    <w:rsid w:val="007263AE"/>
    <w:rsid w:val="007607C0"/>
    <w:rsid w:val="00810011"/>
    <w:rsid w:val="0084006F"/>
    <w:rsid w:val="00842928"/>
    <w:rsid w:val="008441E1"/>
    <w:rsid w:val="008A3890"/>
    <w:rsid w:val="008A7A78"/>
    <w:rsid w:val="0090583A"/>
    <w:rsid w:val="00915921"/>
    <w:rsid w:val="009243D4"/>
    <w:rsid w:val="009621B0"/>
    <w:rsid w:val="00991729"/>
    <w:rsid w:val="00992132"/>
    <w:rsid w:val="009B76B9"/>
    <w:rsid w:val="009F3274"/>
    <w:rsid w:val="00A10BD4"/>
    <w:rsid w:val="00A7278A"/>
    <w:rsid w:val="00A933C6"/>
    <w:rsid w:val="00B11397"/>
    <w:rsid w:val="00B71DA6"/>
    <w:rsid w:val="00B84254"/>
    <w:rsid w:val="00BF7D6C"/>
    <w:rsid w:val="00C13F74"/>
    <w:rsid w:val="00C40695"/>
    <w:rsid w:val="00C65F09"/>
    <w:rsid w:val="00C914CB"/>
    <w:rsid w:val="00CA0154"/>
    <w:rsid w:val="00CA4B91"/>
    <w:rsid w:val="00CC647C"/>
    <w:rsid w:val="00CE5FFB"/>
    <w:rsid w:val="00CE61BC"/>
    <w:rsid w:val="00D139D8"/>
    <w:rsid w:val="00D27514"/>
    <w:rsid w:val="00D37F40"/>
    <w:rsid w:val="00D63063"/>
    <w:rsid w:val="00D67EF8"/>
    <w:rsid w:val="00D931CA"/>
    <w:rsid w:val="00D936AD"/>
    <w:rsid w:val="00D93CD8"/>
    <w:rsid w:val="00DC79BE"/>
    <w:rsid w:val="00DD77AF"/>
    <w:rsid w:val="00E06E37"/>
    <w:rsid w:val="00E11D0F"/>
    <w:rsid w:val="00E54A3C"/>
    <w:rsid w:val="00E61016"/>
    <w:rsid w:val="00E704CE"/>
    <w:rsid w:val="00E90BDA"/>
    <w:rsid w:val="00EB4025"/>
    <w:rsid w:val="00EB50FF"/>
    <w:rsid w:val="00EB7629"/>
    <w:rsid w:val="00ED6612"/>
    <w:rsid w:val="00EE6E44"/>
    <w:rsid w:val="00F16B28"/>
    <w:rsid w:val="14291581"/>
    <w:rsid w:val="15E13D96"/>
    <w:rsid w:val="1BB851CF"/>
    <w:rsid w:val="1C0347B8"/>
    <w:rsid w:val="27F802DF"/>
    <w:rsid w:val="3E353D6E"/>
    <w:rsid w:val="403D7F05"/>
    <w:rsid w:val="4E167C6E"/>
    <w:rsid w:val="4FEA2793"/>
    <w:rsid w:val="50B103D4"/>
    <w:rsid w:val="54F31404"/>
    <w:rsid w:val="5A03569F"/>
    <w:rsid w:val="69973C8D"/>
    <w:rsid w:val="6A24525A"/>
    <w:rsid w:val="73027547"/>
    <w:rsid w:val="74870C1E"/>
    <w:rsid w:val="7D8A2BA8"/>
    <w:rsid w:val="7F0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2"/>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3">
    <w:name w:val="heading 3"/>
    <w:basedOn w:val="1"/>
    <w:next w:val="1"/>
    <w:link w:val="17"/>
    <w:unhideWhenUsed/>
    <w:qFormat/>
    <w:uiPriority w:val="9"/>
    <w:pPr>
      <w:keepNext/>
      <w:keepLines/>
      <w:spacing w:before="100" w:beforeLines="100" w:after="100" w:afterLines="100"/>
      <w:outlineLvl w:val="2"/>
    </w:pPr>
    <w:rPr>
      <w:rFonts w:eastAsia="黑体"/>
      <w:bCs/>
      <w:sz w:val="32"/>
      <w:szCs w:val="32"/>
    </w:rPr>
  </w:style>
  <w:style w:type="paragraph" w:styleId="4">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6"/>
    <w:qFormat/>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6">
    <w:name w:val="Balloon Text"/>
    <w:basedOn w:val="1"/>
    <w:link w:val="18"/>
    <w:unhideWhenUsed/>
    <w:qFormat/>
    <w:uiPriority w:val="99"/>
    <w:pPr>
      <w:spacing w:after="0"/>
    </w:pPr>
    <w:rPr>
      <w:sz w:val="18"/>
      <w:szCs w:val="18"/>
    </w:rPr>
  </w:style>
  <w:style w:type="paragraph" w:styleId="7">
    <w:name w:val="footer"/>
    <w:basedOn w:val="1"/>
    <w:link w:val="21"/>
    <w:unhideWhenUsed/>
    <w:qFormat/>
    <w:uiPriority w:val="99"/>
    <w:pPr>
      <w:tabs>
        <w:tab w:val="center" w:pos="4153"/>
        <w:tab w:val="right" w:pos="8306"/>
      </w:tabs>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basedOn w:val="11"/>
    <w:link w:val="2"/>
    <w:qFormat/>
    <w:uiPriority w:val="0"/>
    <w:rPr>
      <w:rFonts w:ascii="Arial" w:hAnsi="Arial" w:eastAsia="黑体" w:cs="Times New Roman"/>
      <w:bCs/>
      <w:sz w:val="32"/>
      <w:szCs w:val="32"/>
    </w:rPr>
  </w:style>
  <w:style w:type="character" w:customStyle="1" w:styleId="13">
    <w:name w:val="正文格式 Char"/>
    <w:link w:val="14"/>
    <w:qFormat/>
    <w:uiPriority w:val="0"/>
    <w:rPr>
      <w:szCs w:val="24"/>
    </w:rPr>
  </w:style>
  <w:style w:type="paragraph" w:customStyle="1" w:styleId="14">
    <w:name w:val="正文格式"/>
    <w:basedOn w:val="1"/>
    <w:link w:val="13"/>
    <w:qFormat/>
    <w:uiPriority w:val="0"/>
    <w:pPr>
      <w:widowControl w:val="0"/>
      <w:adjustRightInd/>
      <w:snapToGrid/>
      <w:spacing w:after="0"/>
      <w:ind w:firstLine="420"/>
      <w:jc w:val="both"/>
    </w:pPr>
    <w:rPr>
      <w:rFonts w:asciiTheme="minorHAnsi" w:hAnsiTheme="minorHAnsi" w:eastAsiaTheme="minorEastAsia"/>
      <w:kern w:val="2"/>
      <w:sz w:val="21"/>
      <w:szCs w:val="24"/>
    </w:rPr>
  </w:style>
  <w:style w:type="paragraph" w:customStyle="1" w:styleId="15">
    <w:name w:val="Table Paragraph"/>
    <w:basedOn w:val="1"/>
    <w:qFormat/>
    <w:uiPriority w:val="1"/>
    <w:pPr>
      <w:widowControl w:val="0"/>
      <w:autoSpaceDE w:val="0"/>
      <w:autoSpaceDN w:val="0"/>
      <w:adjustRightInd/>
      <w:snapToGrid/>
      <w:spacing w:after="0"/>
      <w:jc w:val="center"/>
    </w:pPr>
    <w:rPr>
      <w:rFonts w:ascii="宋体" w:hAnsi="宋体" w:eastAsia="宋体" w:cs="宋体"/>
      <w:lang w:val="zh-CN" w:bidi="zh-CN"/>
    </w:rPr>
  </w:style>
  <w:style w:type="character" w:customStyle="1" w:styleId="16">
    <w:name w:val="正文缩进 Char"/>
    <w:link w:val="5"/>
    <w:qFormat/>
    <w:uiPriority w:val="0"/>
    <w:rPr>
      <w:rFonts w:ascii="Times New Roman" w:hAnsi="Times New Roman" w:eastAsia="宋体" w:cs="Times New Roman"/>
      <w:szCs w:val="20"/>
    </w:rPr>
  </w:style>
  <w:style w:type="character" w:customStyle="1" w:styleId="17">
    <w:name w:val="标题 3 Char"/>
    <w:basedOn w:val="11"/>
    <w:link w:val="3"/>
    <w:qFormat/>
    <w:uiPriority w:val="9"/>
    <w:rPr>
      <w:rFonts w:ascii="Tahoma" w:hAnsi="Tahoma" w:eastAsia="黑体"/>
      <w:bCs/>
      <w:kern w:val="0"/>
      <w:sz w:val="32"/>
      <w:szCs w:val="32"/>
    </w:rPr>
  </w:style>
  <w:style w:type="character" w:customStyle="1" w:styleId="18">
    <w:name w:val="批注框文本 Char"/>
    <w:basedOn w:val="11"/>
    <w:link w:val="6"/>
    <w:semiHidden/>
    <w:qFormat/>
    <w:uiPriority w:val="99"/>
    <w:rPr>
      <w:rFonts w:ascii="Tahoma" w:hAnsi="Tahoma" w:eastAsia="微软雅黑"/>
      <w:kern w:val="0"/>
      <w:sz w:val="18"/>
      <w:szCs w:val="18"/>
    </w:rPr>
  </w:style>
  <w:style w:type="paragraph" w:customStyle="1" w:styleId="19">
    <w:name w:val="Char Char Char Char"/>
    <w:basedOn w:val="1"/>
    <w:qFormat/>
    <w:uiPriority w:val="0"/>
    <w:pPr>
      <w:adjustRightInd/>
      <w:snapToGrid/>
      <w:spacing w:after="160" w:line="240" w:lineRule="exact"/>
    </w:pPr>
    <w:rPr>
      <w:rFonts w:ascii="Times New Roman" w:hAnsi="Times New Roman" w:eastAsia="宋体" w:cs="Times New Roman"/>
      <w:kern w:val="2"/>
      <w:sz w:val="21"/>
      <w:szCs w:val="24"/>
    </w:rPr>
  </w:style>
  <w:style w:type="character" w:customStyle="1" w:styleId="20">
    <w:name w:val="页眉 Char"/>
    <w:basedOn w:val="11"/>
    <w:link w:val="8"/>
    <w:qFormat/>
    <w:uiPriority w:val="99"/>
    <w:rPr>
      <w:rFonts w:ascii="Tahoma" w:hAnsi="Tahoma" w:eastAsia="微软雅黑"/>
      <w:kern w:val="0"/>
      <w:sz w:val="18"/>
      <w:szCs w:val="18"/>
    </w:rPr>
  </w:style>
  <w:style w:type="character" w:customStyle="1" w:styleId="21">
    <w:name w:val="页脚 Char"/>
    <w:basedOn w:val="11"/>
    <w:link w:val="7"/>
    <w:qFormat/>
    <w:uiPriority w:val="99"/>
    <w:rPr>
      <w:rFonts w:ascii="Tahoma" w:hAnsi="Tahoma" w:eastAsia="微软雅黑"/>
      <w:kern w:val="0"/>
      <w:sz w:val="18"/>
      <w:szCs w:val="18"/>
    </w:rPr>
  </w:style>
  <w:style w:type="character" w:customStyle="1" w:styleId="22">
    <w:name w:val="标题 4 Char"/>
    <w:basedOn w:val="11"/>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0B507-40E4-4191-B45D-369AB89319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887</Words>
  <Characters>5059</Characters>
  <Lines>42</Lines>
  <Paragraphs>11</Paragraphs>
  <TotalTime>1</TotalTime>
  <ScaleCrop>false</ScaleCrop>
  <LinksUpToDate>false</LinksUpToDate>
  <CharactersWithSpaces>5935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2022-03-03T06:37:00Z</dcterms:created>
  <dc:creator>夏丰良</dc:creator>
  <cp:lastModifiedBy>李维</cp:lastModifiedBy>
  <cp:lastPrinted>2021-07-22T08:46:00Z</cp:lastPrinted>
  <dcterms:modified xsi:type="dcterms:W3CDTF">2023-04-25T02:31:36Z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77F90F3DA1F74510B1D282022704AC5B</vt:lpwstr>
  </property>
</Properties>
</file>