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color w:val="auto"/>
          <w:sz w:val="72"/>
          <w:highlight w:val="none"/>
        </w:rPr>
      </w:pPr>
    </w:p>
    <w:p>
      <w:pPr>
        <w:spacing w:line="480" w:lineRule="auto"/>
        <w:rPr>
          <w:rFonts w:ascii="华文中宋" w:hAnsi="华文中宋" w:eastAsia="华文中宋"/>
          <w:b/>
          <w:color w:val="auto"/>
          <w:sz w:val="72"/>
          <w:highlight w:val="none"/>
        </w:rPr>
      </w:pPr>
    </w:p>
    <w:p>
      <w:pPr>
        <w:snapToGrid w:val="0"/>
        <w:spacing w:before="156" w:beforeLines="50"/>
        <w:jc w:val="center"/>
        <w:rPr>
          <w:rFonts w:ascii="黑体" w:hAnsi="华文中宋" w:eastAsia="黑体" w:cs="华文中宋"/>
          <w:b/>
          <w:bCs/>
          <w:color w:val="auto"/>
          <w:sz w:val="72"/>
          <w:szCs w:val="72"/>
          <w:highlight w:val="none"/>
        </w:rPr>
      </w:pPr>
      <w:r>
        <w:rPr>
          <w:rFonts w:hint="eastAsia" w:ascii="黑体" w:hAnsi="华文中宋" w:eastAsia="黑体" w:cs="华文中宋"/>
          <w:b/>
          <w:bCs/>
          <w:color w:val="auto"/>
          <w:sz w:val="72"/>
          <w:szCs w:val="72"/>
          <w:highlight w:val="none"/>
        </w:rPr>
        <w:t>工程</w:t>
      </w:r>
    </w:p>
    <w:p>
      <w:pPr>
        <w:snapToGrid w:val="0"/>
        <w:spacing w:before="156" w:beforeLines="50"/>
        <w:jc w:val="center"/>
        <w:rPr>
          <w:rFonts w:ascii="仿宋_GB2312" w:eastAsia="仿宋_GB2312"/>
          <w:b/>
          <w:bCs/>
          <w:color w:val="auto"/>
          <w:sz w:val="72"/>
          <w:szCs w:val="72"/>
          <w:highlight w:val="none"/>
        </w:rPr>
      </w:pPr>
      <w:r>
        <w:rPr>
          <w:rFonts w:hint="eastAsia" w:ascii="黑体" w:hAnsi="华文中宋" w:eastAsia="黑体" w:cs="华文中宋"/>
          <w:b/>
          <w:bCs/>
          <w:color w:val="auto"/>
          <w:sz w:val="72"/>
          <w:szCs w:val="72"/>
          <w:highlight w:val="none"/>
        </w:rPr>
        <w:t>公开招标文件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5"/>
        <w:spacing w:line="360" w:lineRule="auto"/>
        <w:ind w:firstLine="422" w:firstLineChars="132"/>
        <w:rPr>
          <w:rFonts w:hint="default" w:ascii="仿宋_GB2312" w:eastAsia="仿宋_GB2312"/>
          <w:b/>
          <w:color w:val="auto"/>
          <w:sz w:val="32"/>
          <w:highlight w:val="none"/>
          <w:lang w:val="en" w:eastAsia="zh-CN"/>
        </w:rPr>
      </w:pPr>
      <w:r>
        <w:rPr>
          <w:rFonts w:hint="eastAsia" w:ascii="仿宋_GB2312" w:eastAsia="仿宋_GB2312"/>
          <w:b/>
          <w:color w:val="auto"/>
          <w:sz w:val="32"/>
          <w:highlight w:val="none"/>
        </w:rPr>
        <w:t>项目编号：</w:t>
      </w:r>
      <w:r>
        <w:rPr>
          <w:rFonts w:hint="default" w:ascii="仿宋_GB2312" w:eastAsia="仿宋_GB2312"/>
          <w:color w:val="auto"/>
          <w:sz w:val="32"/>
          <w:szCs w:val="32"/>
          <w:highlight w:val="none"/>
          <w:lang w:val="en" w:eastAsia="zh-CN"/>
        </w:rPr>
        <w:t>NSSHJDMSWSS20221107-2</w:t>
      </w:r>
    </w:p>
    <w:p>
      <w:pPr>
        <w:pStyle w:val="5"/>
        <w:spacing w:line="360" w:lineRule="auto"/>
        <w:ind w:firstLine="422" w:firstLineChars="132"/>
        <w:rPr>
          <w:rFonts w:hint="eastAsia" w:ascii="仿宋_GB2312" w:eastAsia="仿宋_GB2312"/>
          <w:b/>
          <w:color w:val="auto"/>
          <w:sz w:val="32"/>
          <w:highlight w:val="none"/>
          <w:lang w:eastAsia="zh-CN"/>
        </w:rPr>
      </w:pPr>
      <w:r>
        <w:rPr>
          <w:rFonts w:hint="eastAsia" w:ascii="仿宋_GB2312" w:eastAsia="仿宋_GB2312"/>
          <w:b/>
          <w:color w:val="auto"/>
          <w:sz w:val="32"/>
          <w:highlight w:val="none"/>
        </w:rPr>
        <w:t>项目名称：</w:t>
      </w:r>
      <w:r>
        <w:rPr>
          <w:rFonts w:hint="eastAsia" w:ascii="仿宋_GB2312" w:eastAsia="仿宋_GB2312"/>
          <w:b/>
          <w:color w:val="auto"/>
          <w:sz w:val="32"/>
          <w:highlight w:val="none"/>
          <w:lang w:eastAsia="zh-CN"/>
        </w:rPr>
        <w:t>华侨城中学（深圳湾部）交通安全提升项目</w:t>
      </w:r>
    </w:p>
    <w:p>
      <w:pPr>
        <w:pStyle w:val="5"/>
        <w:spacing w:line="360" w:lineRule="auto"/>
        <w:rPr>
          <w:rFonts w:ascii="仿宋_GB2312" w:eastAsia="仿宋_GB2312"/>
          <w:b/>
          <w:color w:val="auto"/>
          <w:sz w:val="32"/>
          <w:highlight w:val="none"/>
        </w:rPr>
      </w:pPr>
    </w:p>
    <w:p>
      <w:pPr>
        <w:snapToGrid w:val="0"/>
        <w:spacing w:line="360" w:lineRule="auto"/>
        <w:rPr>
          <w:rFonts w:ascii="仿宋_GB2312" w:eastAsia="仿宋_GB2312"/>
          <w:color w:val="auto"/>
          <w:sz w:val="32"/>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napToGrid w:val="0"/>
        <w:spacing w:line="360" w:lineRule="auto"/>
        <w:jc w:val="center"/>
        <w:rPr>
          <w:rFonts w:ascii="黑体" w:hAnsi="华文中宋" w:eastAsia="黑体" w:cs="华文中宋"/>
          <w:color w:val="auto"/>
          <w:sz w:val="30"/>
          <w:szCs w:val="30"/>
          <w:highlight w:val="none"/>
        </w:rPr>
      </w:pPr>
    </w:p>
    <w:p>
      <w:pPr>
        <w:snapToGrid w:val="0"/>
        <w:spacing w:line="360" w:lineRule="auto"/>
        <w:jc w:val="center"/>
        <w:rPr>
          <w:rFonts w:hint="default" w:ascii="黑体" w:hAnsi="华文中宋" w:eastAsia="黑体" w:cs="华文中宋"/>
          <w:color w:val="auto"/>
          <w:sz w:val="30"/>
          <w:szCs w:val="30"/>
          <w:highlight w:val="none"/>
          <w:lang w:val="en"/>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default" w:ascii="黑体" w:hAnsi="华文中宋" w:eastAsia="黑体" w:cs="华文中宋"/>
          <w:color w:val="auto"/>
          <w:sz w:val="30"/>
          <w:szCs w:val="30"/>
          <w:highlight w:val="none"/>
          <w:lang w:val="en"/>
        </w:rPr>
        <w:t>2022年11月</w:t>
      </w:r>
      <w:r>
        <w:rPr>
          <w:rFonts w:hint="eastAsia" w:ascii="黑体" w:hAnsi="华文中宋" w:eastAsia="黑体" w:cs="华文中宋"/>
          <w:color w:val="auto"/>
          <w:sz w:val="30"/>
          <w:szCs w:val="30"/>
          <w:highlight w:val="none"/>
          <w:lang w:val="en-US" w:eastAsia="zh-CN"/>
        </w:rPr>
        <w:t>8</w:t>
      </w:r>
      <w:r>
        <w:rPr>
          <w:rFonts w:hint="default" w:ascii="黑体" w:hAnsi="华文中宋" w:eastAsia="黑体" w:cs="华文中宋"/>
          <w:color w:val="auto"/>
          <w:sz w:val="30"/>
          <w:szCs w:val="30"/>
          <w:highlight w:val="none"/>
          <w:lang w:val="en"/>
        </w:rPr>
        <w:t>日</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9"/>
        <w:tabs>
          <w:tab w:val="right" w:leader="dot" w:pos="9170"/>
        </w:tabs>
        <w:rPr>
          <w:rFonts w:asciiTheme="minorHAnsi" w:hAnsiTheme="minorHAnsi" w:eastAsiaTheme="minorEastAsia" w:cstheme="minorBidi"/>
          <w:b w:val="0"/>
          <w:bCs w:val="0"/>
          <w:caps w:val="0"/>
          <w:color w:val="auto"/>
          <w:szCs w:val="22"/>
          <w:highlight w:val="none"/>
        </w:rPr>
      </w:pPr>
      <w:bookmarkStart w:id="0" w:name="_Toc435514842"/>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"1-2"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"_Toc77947870" </w:instrText>
      </w:r>
      <w:r>
        <w:rPr>
          <w:color w:val="auto"/>
          <w:highlight w:val="none"/>
        </w:rPr>
        <w:fldChar w:fldCharType="separate"/>
      </w:r>
      <w:r>
        <w:rPr>
          <w:rStyle w:val="15"/>
          <w:rFonts w:asciiTheme="majorEastAsia" w:hAnsiTheme="majorEastAsia" w:eastAsiaTheme="majorEastAsia" w:cstheme="majorEastAsia"/>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_Toc77947870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9"/>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"_Toc77947871" </w:instrText>
      </w:r>
      <w:r>
        <w:rPr>
          <w:color w:val="auto"/>
          <w:highlight w:val="none"/>
        </w:rPr>
        <w:fldChar w:fldCharType="separate"/>
      </w:r>
      <w:r>
        <w:rPr>
          <w:rStyle w:val="15"/>
          <w:rFonts w:asciiTheme="majorEastAsia" w:hAnsiTheme="majorEastAsia" w:eastAsiaTheme="majorEastAsia" w:cstheme="majorEastAsia"/>
          <w:color w:val="auto"/>
          <w:highlight w:val="none"/>
        </w:rPr>
        <w:t>第二章 投标资料表</w:t>
      </w:r>
      <w:r>
        <w:rPr>
          <w:color w:val="auto"/>
          <w:highlight w:val="none"/>
        </w:rPr>
        <w:tab/>
      </w:r>
      <w:r>
        <w:rPr>
          <w:color w:val="auto"/>
          <w:highlight w:val="none"/>
        </w:rPr>
        <w:fldChar w:fldCharType="begin"/>
      </w:r>
      <w:r>
        <w:rPr>
          <w:color w:val="auto"/>
          <w:highlight w:val="none"/>
        </w:rPr>
        <w:instrText xml:space="preserve"> PAGEREF _Toc77947871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9"/>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"_Toc77947872" </w:instrText>
      </w:r>
      <w:r>
        <w:rPr>
          <w:color w:val="auto"/>
          <w:highlight w:val="none"/>
        </w:rPr>
        <w:fldChar w:fldCharType="separate"/>
      </w:r>
      <w:r>
        <w:rPr>
          <w:rStyle w:val="15"/>
          <w:rFonts w:asciiTheme="majorEastAsia" w:hAnsiTheme="majorEastAsia" w:eastAsiaTheme="majorEastAsia" w:cstheme="majorEastAsia"/>
          <w:color w:val="auto"/>
          <w:highlight w:val="none"/>
        </w:rPr>
        <w:t>第三章 用户需求书</w:t>
      </w:r>
      <w:r>
        <w:rPr>
          <w:color w:val="auto"/>
          <w:highlight w:val="none"/>
        </w:rPr>
        <w:tab/>
      </w:r>
      <w:r>
        <w:rPr>
          <w:color w:val="auto"/>
          <w:highlight w:val="none"/>
        </w:rPr>
        <w:fldChar w:fldCharType="begin"/>
      </w:r>
      <w:r>
        <w:rPr>
          <w:color w:val="auto"/>
          <w:highlight w:val="none"/>
        </w:rPr>
        <w:instrText xml:space="preserve"> PAGEREF _Toc77947872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9"/>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"_Toc77947873" </w:instrText>
      </w:r>
      <w:r>
        <w:rPr>
          <w:color w:val="auto"/>
          <w:highlight w:val="none"/>
        </w:rPr>
        <w:fldChar w:fldCharType="separate"/>
      </w:r>
      <w:r>
        <w:rPr>
          <w:rStyle w:val="15"/>
          <w:rFonts w:asciiTheme="majorEastAsia" w:hAnsiTheme="majorEastAsia" w:eastAsiaTheme="majorEastAsia" w:cstheme="majorEastAsia"/>
          <w:color w:val="auto"/>
          <w:highlight w:val="none"/>
        </w:rPr>
        <w:t>第四章 评标、定标</w:t>
      </w:r>
      <w:r>
        <w:rPr>
          <w:color w:val="auto"/>
          <w:highlight w:val="none"/>
        </w:rPr>
        <w:tab/>
      </w:r>
      <w:r>
        <w:rPr>
          <w:color w:val="auto"/>
          <w:highlight w:val="none"/>
        </w:rPr>
        <w:fldChar w:fldCharType="begin"/>
      </w:r>
      <w:r>
        <w:rPr>
          <w:color w:val="auto"/>
          <w:highlight w:val="none"/>
        </w:rPr>
        <w:instrText xml:space="preserve"> PAGEREF _Toc77947873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"_Toc77947874" </w:instrText>
      </w:r>
      <w:r>
        <w:rPr>
          <w:color w:val="auto"/>
          <w:highlight w:val="none"/>
        </w:rPr>
        <w:fldChar w:fldCharType="separate"/>
      </w:r>
      <w:r>
        <w:rPr>
          <w:rStyle w:val="15"/>
          <w:rFonts w:asciiTheme="majorEastAsia" w:hAnsiTheme="majorEastAsia" w:eastAsiaTheme="majorEastAsia"/>
          <w:color w:val="auto"/>
          <w:highlight w:val="none"/>
        </w:rPr>
        <w:t>（一）</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资格性审查表</w:t>
      </w:r>
      <w:r>
        <w:rPr>
          <w:color w:val="auto"/>
          <w:highlight w:val="none"/>
        </w:rPr>
        <w:tab/>
      </w:r>
      <w:r>
        <w:rPr>
          <w:color w:val="auto"/>
          <w:highlight w:val="none"/>
        </w:rPr>
        <w:fldChar w:fldCharType="begin"/>
      </w:r>
      <w:r>
        <w:rPr>
          <w:color w:val="auto"/>
          <w:highlight w:val="none"/>
        </w:rPr>
        <w:instrText xml:space="preserve"> PAGEREF _Toc77947874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"_Toc77947875" </w:instrText>
      </w:r>
      <w:r>
        <w:rPr>
          <w:color w:val="auto"/>
          <w:highlight w:val="none"/>
        </w:rPr>
        <w:fldChar w:fldCharType="separate"/>
      </w:r>
      <w:r>
        <w:rPr>
          <w:rStyle w:val="15"/>
          <w:rFonts w:asciiTheme="majorEastAsia" w:hAnsiTheme="majorEastAsia" w:eastAsiaTheme="majorEastAsia"/>
          <w:color w:val="auto"/>
          <w:highlight w:val="none"/>
        </w:rPr>
        <w:t>（二）</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符合性审查表</w:t>
      </w:r>
      <w:r>
        <w:rPr>
          <w:color w:val="auto"/>
          <w:highlight w:val="none"/>
        </w:rPr>
        <w:tab/>
      </w:r>
      <w:r>
        <w:rPr>
          <w:color w:val="auto"/>
          <w:highlight w:val="none"/>
        </w:rPr>
        <w:fldChar w:fldCharType="begin"/>
      </w:r>
      <w:r>
        <w:rPr>
          <w:color w:val="auto"/>
          <w:highlight w:val="none"/>
        </w:rPr>
        <w:instrText xml:space="preserve"> PAGEREF _Toc77947875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"_Toc77947876" </w:instrText>
      </w:r>
      <w:r>
        <w:rPr>
          <w:color w:val="auto"/>
          <w:highlight w:val="none"/>
        </w:rPr>
        <w:fldChar w:fldCharType="separate"/>
      </w:r>
      <w:r>
        <w:rPr>
          <w:rStyle w:val="15"/>
          <w:rFonts w:ascii="黑体" w:hAnsi="宋体" w:cs="宋体"/>
          <w:color w:val="auto"/>
          <w:highlight w:val="none"/>
        </w:rPr>
        <w:t>（三）</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综合评分表</w:t>
      </w:r>
      <w:r>
        <w:rPr>
          <w:color w:val="auto"/>
          <w:highlight w:val="none"/>
        </w:rPr>
        <w:tab/>
      </w:r>
      <w:r>
        <w:rPr>
          <w:color w:val="auto"/>
          <w:highlight w:val="none"/>
        </w:rPr>
        <w:fldChar w:fldCharType="begin"/>
      </w:r>
      <w:r>
        <w:rPr>
          <w:color w:val="auto"/>
          <w:highlight w:val="none"/>
        </w:rPr>
        <w:instrText xml:space="preserve"> PAGEREF _Toc77947876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"_Toc77947877" </w:instrText>
      </w:r>
      <w:r>
        <w:rPr>
          <w:color w:val="auto"/>
          <w:highlight w:val="none"/>
        </w:rPr>
        <w:fldChar w:fldCharType="separate"/>
      </w:r>
      <w:r>
        <w:rPr>
          <w:rStyle w:val="15"/>
          <w:rFonts w:asciiTheme="majorEastAsia" w:hAnsiTheme="majorEastAsia" w:eastAsiaTheme="majorEastAsia"/>
          <w:color w:val="auto"/>
          <w:highlight w:val="none"/>
        </w:rPr>
        <w:t>（四）</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评标</w:t>
      </w:r>
      <w:r>
        <w:rPr>
          <w:rStyle w:val="15"/>
          <w:rFonts w:hint="eastAsia" w:asciiTheme="majorEastAsia" w:hAnsiTheme="majorEastAsia" w:eastAsiaTheme="majorEastAsia"/>
          <w:color w:val="auto"/>
          <w:highlight w:val="none"/>
        </w:rPr>
        <w:t>与定标</w:t>
      </w:r>
      <w:r>
        <w:rPr>
          <w:color w:val="auto"/>
          <w:highlight w:val="none"/>
        </w:rPr>
        <w:tab/>
      </w:r>
      <w:r>
        <w:rPr>
          <w:color w:val="auto"/>
          <w:highlight w:val="none"/>
        </w:rPr>
        <w:fldChar w:fldCharType="begin"/>
      </w:r>
      <w:r>
        <w:rPr>
          <w:color w:val="auto"/>
          <w:highlight w:val="none"/>
        </w:rPr>
        <w:instrText xml:space="preserve"> PAGEREF _Toc77947877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9"/>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"_Toc77947878" </w:instrText>
      </w:r>
      <w:r>
        <w:rPr>
          <w:color w:val="auto"/>
          <w:highlight w:val="none"/>
        </w:rPr>
        <w:fldChar w:fldCharType="separate"/>
      </w:r>
      <w:r>
        <w:rPr>
          <w:rStyle w:val="15"/>
          <w:color w:val="auto"/>
          <w:highlight w:val="none"/>
        </w:rPr>
        <w:t>第五章 合同文本</w:t>
      </w:r>
      <w:r>
        <w:rPr>
          <w:rStyle w:val="15"/>
          <w:rFonts w:ascii="宋体" w:hAnsi="宋体" w:cs="宋体"/>
          <w:color w:val="auto"/>
          <w:highlight w:val="none"/>
        </w:rPr>
        <w:t>（仅供参考）</w:t>
      </w:r>
      <w:r>
        <w:rPr>
          <w:color w:val="auto"/>
          <w:highlight w:val="none"/>
        </w:rPr>
        <w:tab/>
      </w:r>
      <w:r>
        <w:rPr>
          <w:color w:val="auto"/>
          <w:highlight w:val="none"/>
        </w:rPr>
        <w:fldChar w:fldCharType="begin"/>
      </w:r>
      <w:r>
        <w:rPr>
          <w:color w:val="auto"/>
          <w:highlight w:val="none"/>
        </w:rPr>
        <w:instrText xml:space="preserve"> PAGEREF _Toc77947878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9"/>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"_Toc77947879" </w:instrText>
      </w:r>
      <w:r>
        <w:rPr>
          <w:color w:val="auto"/>
          <w:highlight w:val="none"/>
        </w:rPr>
        <w:fldChar w:fldCharType="separate"/>
      </w:r>
      <w:r>
        <w:rPr>
          <w:rStyle w:val="15"/>
          <w:rFonts w:asciiTheme="majorEastAsia" w:hAnsiTheme="majorEastAsia" w:eastAsiaTheme="majorEastAsia" w:cstheme="major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_Toc77947879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"_Toc77947880" </w:instrText>
      </w:r>
      <w:r>
        <w:rPr>
          <w:color w:val="auto"/>
          <w:highlight w:val="none"/>
        </w:rPr>
        <w:fldChar w:fldCharType="separate"/>
      </w:r>
      <w:r>
        <w:rPr>
          <w:rStyle w:val="15"/>
          <w:rFonts w:asciiTheme="majorEastAsia" w:hAnsiTheme="majorEastAsia" w:eastAsiaTheme="majorEastAsia"/>
          <w:color w:val="auto"/>
          <w:highlight w:val="none"/>
        </w:rPr>
        <w:t>（一）</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投标文件包装封面参考</w:t>
      </w:r>
      <w:r>
        <w:rPr>
          <w:color w:val="auto"/>
          <w:highlight w:val="none"/>
        </w:rPr>
        <w:tab/>
      </w:r>
      <w:r>
        <w:rPr>
          <w:color w:val="auto"/>
          <w:highlight w:val="none"/>
        </w:rPr>
        <w:fldChar w:fldCharType="begin"/>
      </w:r>
      <w:r>
        <w:rPr>
          <w:color w:val="auto"/>
          <w:highlight w:val="none"/>
        </w:rPr>
        <w:instrText xml:space="preserve"> PAGEREF _Toc77947880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"_Toc77947881" </w:instrText>
      </w:r>
      <w:r>
        <w:rPr>
          <w:color w:val="auto"/>
          <w:highlight w:val="none"/>
        </w:rPr>
        <w:fldChar w:fldCharType="separate"/>
      </w:r>
      <w:r>
        <w:rPr>
          <w:rStyle w:val="15"/>
          <w:rFonts w:asciiTheme="majorEastAsia" w:hAnsiTheme="majorEastAsia" w:eastAsiaTheme="majorEastAsia"/>
          <w:color w:val="auto"/>
          <w:highlight w:val="none"/>
        </w:rPr>
        <w:t>（二）</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营业执照等资质文件</w:t>
      </w:r>
      <w:r>
        <w:rPr>
          <w:color w:val="auto"/>
          <w:highlight w:val="none"/>
        </w:rPr>
        <w:tab/>
      </w:r>
      <w:r>
        <w:rPr>
          <w:color w:val="auto"/>
          <w:highlight w:val="none"/>
        </w:rPr>
        <w:fldChar w:fldCharType="begin"/>
      </w:r>
      <w:r>
        <w:rPr>
          <w:color w:val="auto"/>
          <w:highlight w:val="none"/>
        </w:rPr>
        <w:instrText xml:space="preserve"> PAGEREF _Toc77947881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"_Toc77947882" </w:instrText>
      </w:r>
      <w:r>
        <w:rPr>
          <w:color w:val="auto"/>
          <w:highlight w:val="none"/>
        </w:rPr>
        <w:fldChar w:fldCharType="separate"/>
      </w:r>
      <w:r>
        <w:rPr>
          <w:rStyle w:val="15"/>
          <w:color w:val="auto"/>
          <w:highlight w:val="none"/>
        </w:rPr>
        <w:t>（三）</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_Toc77947882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"_Toc77947883" </w:instrText>
      </w:r>
      <w:r>
        <w:rPr>
          <w:color w:val="auto"/>
          <w:highlight w:val="none"/>
        </w:rPr>
        <w:fldChar w:fldCharType="separate"/>
      </w:r>
      <w:r>
        <w:rPr>
          <w:rStyle w:val="15"/>
          <w:rFonts w:asciiTheme="majorEastAsia" w:hAnsiTheme="majorEastAsia" w:eastAsiaTheme="majorEastAsia"/>
          <w:color w:val="auto"/>
          <w:highlight w:val="none"/>
        </w:rPr>
        <w:t>（四）</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投标人资格声明函</w:t>
      </w:r>
      <w:r>
        <w:rPr>
          <w:color w:val="auto"/>
          <w:highlight w:val="none"/>
        </w:rPr>
        <w:tab/>
      </w:r>
      <w:r>
        <w:rPr>
          <w:color w:val="auto"/>
          <w:highlight w:val="none"/>
        </w:rPr>
        <w:fldChar w:fldCharType="begin"/>
      </w:r>
      <w:r>
        <w:rPr>
          <w:color w:val="auto"/>
          <w:highlight w:val="none"/>
        </w:rPr>
        <w:instrText xml:space="preserve"> PAGEREF _Toc77947883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"_Toc77947884" </w:instrText>
      </w:r>
      <w:r>
        <w:rPr>
          <w:color w:val="auto"/>
          <w:highlight w:val="none"/>
        </w:rPr>
        <w:fldChar w:fldCharType="separate"/>
      </w:r>
      <w:r>
        <w:rPr>
          <w:rStyle w:val="15"/>
          <w:rFonts w:asciiTheme="majorEastAsia" w:hAnsiTheme="majorEastAsia" w:eastAsiaTheme="majorEastAsia"/>
          <w:color w:val="auto"/>
          <w:highlight w:val="none"/>
        </w:rPr>
        <w:t>（五）</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公章对投标专用章授权说明</w:t>
      </w:r>
      <w:r>
        <w:rPr>
          <w:color w:val="auto"/>
          <w:highlight w:val="none"/>
        </w:rPr>
        <w:tab/>
      </w:r>
      <w:r>
        <w:rPr>
          <w:color w:val="auto"/>
          <w:highlight w:val="none"/>
        </w:rPr>
        <w:fldChar w:fldCharType="begin"/>
      </w:r>
      <w:r>
        <w:rPr>
          <w:color w:val="auto"/>
          <w:highlight w:val="none"/>
        </w:rPr>
        <w:instrText xml:space="preserve"> PAGEREF _Toc77947884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"_Toc77947885" </w:instrText>
      </w:r>
      <w:r>
        <w:rPr>
          <w:color w:val="auto"/>
          <w:highlight w:val="none"/>
        </w:rPr>
        <w:fldChar w:fldCharType="separate"/>
      </w:r>
      <w:r>
        <w:rPr>
          <w:rStyle w:val="15"/>
          <w:rFonts w:asciiTheme="majorEastAsia" w:hAnsiTheme="majorEastAsia" w:eastAsiaTheme="majorEastAsia"/>
          <w:color w:val="auto"/>
          <w:highlight w:val="none"/>
        </w:rPr>
        <w:t>（六）</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_Toc77947885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"_Toc77947886" </w:instrText>
      </w:r>
      <w:r>
        <w:rPr>
          <w:color w:val="auto"/>
          <w:highlight w:val="none"/>
        </w:rPr>
        <w:fldChar w:fldCharType="separate"/>
      </w:r>
      <w:r>
        <w:rPr>
          <w:rStyle w:val="15"/>
          <w:rFonts w:asciiTheme="majorEastAsia" w:hAnsiTheme="majorEastAsia" w:eastAsiaTheme="majorEastAsia"/>
          <w:color w:val="auto"/>
          <w:highlight w:val="none"/>
        </w:rPr>
        <w:t>（七）</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法定代表人证明书</w:t>
      </w:r>
      <w:r>
        <w:rPr>
          <w:color w:val="auto"/>
          <w:highlight w:val="none"/>
        </w:rPr>
        <w:tab/>
      </w:r>
      <w:r>
        <w:rPr>
          <w:color w:val="auto"/>
          <w:highlight w:val="none"/>
        </w:rPr>
        <w:fldChar w:fldCharType="begin"/>
      </w:r>
      <w:r>
        <w:rPr>
          <w:color w:val="auto"/>
          <w:highlight w:val="none"/>
        </w:rPr>
        <w:instrText xml:space="preserve"> PAGEREF _Toc77947886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"_Toc77947887" </w:instrText>
      </w:r>
      <w:r>
        <w:rPr>
          <w:color w:val="auto"/>
          <w:highlight w:val="none"/>
        </w:rPr>
        <w:fldChar w:fldCharType="separate"/>
      </w:r>
      <w:r>
        <w:rPr>
          <w:rStyle w:val="15"/>
          <w:rFonts w:asciiTheme="majorEastAsia" w:hAnsiTheme="majorEastAsia" w:eastAsiaTheme="majorEastAsia"/>
          <w:color w:val="auto"/>
          <w:highlight w:val="none"/>
        </w:rPr>
        <w:t>（八）</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rPr>
        <w:t>用户需求书条款响应一览表</w:t>
      </w:r>
      <w:r>
        <w:rPr>
          <w:color w:val="auto"/>
          <w:highlight w:val="none"/>
        </w:rPr>
        <w:tab/>
      </w:r>
      <w:r>
        <w:rPr>
          <w:color w:val="auto"/>
          <w:highlight w:val="none"/>
        </w:rPr>
        <w:fldChar w:fldCharType="begin"/>
      </w:r>
      <w:r>
        <w:rPr>
          <w:color w:val="auto"/>
          <w:highlight w:val="none"/>
        </w:rPr>
        <w:instrText xml:space="preserve"> PAGEREF _Toc77947887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9"/>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"_Toc77947888" </w:instrText>
      </w:r>
      <w:r>
        <w:rPr>
          <w:color w:val="auto"/>
          <w:highlight w:val="none"/>
        </w:rPr>
        <w:fldChar w:fldCharType="separate"/>
      </w:r>
      <w:r>
        <w:rPr>
          <w:rStyle w:val="15"/>
          <w:rFonts w:asciiTheme="majorEastAsia" w:hAnsiTheme="majorEastAsia" w:eastAsiaTheme="majorEastAsia" w:cstheme="majorEastAsia"/>
          <w:color w:val="auto"/>
          <w:highlight w:val="none"/>
        </w:rPr>
        <w:t>第七章 投标人须知</w:t>
      </w:r>
      <w:r>
        <w:rPr>
          <w:color w:val="auto"/>
          <w:highlight w:val="none"/>
        </w:rPr>
        <w:tab/>
      </w:r>
      <w:r>
        <w:rPr>
          <w:color w:val="auto"/>
          <w:highlight w:val="none"/>
        </w:rPr>
        <w:fldChar w:fldCharType="begin"/>
      </w:r>
      <w:r>
        <w:rPr>
          <w:color w:val="auto"/>
          <w:highlight w:val="none"/>
        </w:rPr>
        <w:instrText xml:space="preserve"> PAGEREF _Toc77947888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"_Toc77947889" </w:instrText>
      </w:r>
      <w:r>
        <w:rPr>
          <w:color w:val="auto"/>
          <w:highlight w:val="none"/>
        </w:rPr>
        <w:fldChar w:fldCharType="separate"/>
      </w:r>
      <w:r>
        <w:rPr>
          <w:rStyle w:val="15"/>
          <w:rFonts w:asciiTheme="majorEastAsia" w:hAnsiTheme="majorEastAsia" w:eastAsiaTheme="majorEastAsia"/>
          <w:color w:val="auto"/>
          <w:highlight w:val="none"/>
        </w:rPr>
        <w:t>（一）</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lang w:eastAsia="zh-TW"/>
        </w:rPr>
        <w:t>说 明</w:t>
      </w:r>
      <w:r>
        <w:rPr>
          <w:color w:val="auto"/>
          <w:highlight w:val="none"/>
        </w:rPr>
        <w:tab/>
      </w:r>
      <w:r>
        <w:rPr>
          <w:color w:val="auto"/>
          <w:highlight w:val="none"/>
        </w:rPr>
        <w:fldChar w:fldCharType="begin"/>
      </w:r>
      <w:r>
        <w:rPr>
          <w:color w:val="auto"/>
          <w:highlight w:val="none"/>
        </w:rPr>
        <w:instrText xml:space="preserve"> PAGEREF _Toc77947889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"_Toc77947890" </w:instrText>
      </w:r>
      <w:r>
        <w:rPr>
          <w:color w:val="auto"/>
          <w:highlight w:val="none"/>
        </w:rPr>
        <w:fldChar w:fldCharType="separate"/>
      </w:r>
      <w:r>
        <w:rPr>
          <w:rStyle w:val="15"/>
          <w:rFonts w:asciiTheme="majorEastAsia" w:hAnsiTheme="majorEastAsia" w:eastAsiaTheme="majorEastAsia"/>
          <w:color w:val="auto"/>
          <w:highlight w:val="none"/>
          <w:lang w:eastAsia="zh-TW"/>
        </w:rPr>
        <w:t>（二）</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lang w:eastAsia="zh-TW"/>
        </w:rPr>
        <w:t>招标文件</w:t>
      </w:r>
      <w:r>
        <w:rPr>
          <w:color w:val="auto"/>
          <w:highlight w:val="none"/>
        </w:rPr>
        <w:tab/>
      </w:r>
      <w:r>
        <w:rPr>
          <w:color w:val="auto"/>
          <w:highlight w:val="none"/>
        </w:rPr>
        <w:fldChar w:fldCharType="begin"/>
      </w:r>
      <w:r>
        <w:rPr>
          <w:color w:val="auto"/>
          <w:highlight w:val="none"/>
        </w:rPr>
        <w:instrText xml:space="preserve"> PAGEREF _Toc77947890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"_Toc77947891" </w:instrText>
      </w:r>
      <w:r>
        <w:rPr>
          <w:color w:val="auto"/>
          <w:highlight w:val="none"/>
        </w:rPr>
        <w:fldChar w:fldCharType="separate"/>
      </w:r>
      <w:r>
        <w:rPr>
          <w:rStyle w:val="15"/>
          <w:rFonts w:asciiTheme="majorEastAsia" w:hAnsiTheme="majorEastAsia" w:eastAsiaTheme="majorEastAsia"/>
          <w:color w:val="auto"/>
          <w:highlight w:val="none"/>
          <w:lang w:eastAsia="zh-TW"/>
        </w:rPr>
        <w:t>（三）</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lang w:eastAsia="zh-TW"/>
        </w:rPr>
        <w:t>投标文件的编制</w:t>
      </w:r>
      <w:r>
        <w:rPr>
          <w:color w:val="auto"/>
          <w:highlight w:val="none"/>
        </w:rPr>
        <w:tab/>
      </w:r>
      <w:r>
        <w:rPr>
          <w:color w:val="auto"/>
          <w:highlight w:val="none"/>
        </w:rPr>
        <w:fldChar w:fldCharType="begin"/>
      </w:r>
      <w:r>
        <w:rPr>
          <w:color w:val="auto"/>
          <w:highlight w:val="none"/>
        </w:rPr>
        <w:instrText xml:space="preserve"> PAGEREF _Toc77947891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"_Toc77947892" </w:instrText>
      </w:r>
      <w:r>
        <w:rPr>
          <w:color w:val="auto"/>
          <w:highlight w:val="none"/>
        </w:rPr>
        <w:fldChar w:fldCharType="separate"/>
      </w:r>
      <w:r>
        <w:rPr>
          <w:rStyle w:val="15"/>
          <w:rFonts w:asciiTheme="majorEastAsia" w:hAnsiTheme="majorEastAsia" w:eastAsiaTheme="majorEastAsia"/>
          <w:color w:val="auto"/>
          <w:highlight w:val="none"/>
          <w:lang w:eastAsia="zh-TW"/>
        </w:rPr>
        <w:t>（四）</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lang w:eastAsia="zh-TW"/>
        </w:rPr>
        <w:t>投标文件的递交</w:t>
      </w:r>
      <w:r>
        <w:rPr>
          <w:color w:val="auto"/>
          <w:highlight w:val="none"/>
        </w:rPr>
        <w:tab/>
      </w:r>
      <w:r>
        <w:rPr>
          <w:color w:val="auto"/>
          <w:highlight w:val="none"/>
        </w:rPr>
        <w:fldChar w:fldCharType="begin"/>
      </w:r>
      <w:r>
        <w:rPr>
          <w:color w:val="auto"/>
          <w:highlight w:val="none"/>
        </w:rPr>
        <w:instrText xml:space="preserve"> PAGEREF _Toc77947892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0"/>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"_Toc77947893" </w:instrText>
      </w:r>
      <w:r>
        <w:rPr>
          <w:color w:val="auto"/>
          <w:highlight w:val="none"/>
        </w:rPr>
        <w:fldChar w:fldCharType="separate"/>
      </w:r>
      <w:r>
        <w:rPr>
          <w:rStyle w:val="15"/>
          <w:rFonts w:asciiTheme="majorEastAsia" w:hAnsiTheme="majorEastAsia" w:eastAsiaTheme="majorEastAsia"/>
          <w:color w:val="auto"/>
          <w:highlight w:val="none"/>
          <w:lang w:eastAsia="zh-TW"/>
        </w:rPr>
        <w:t>（五）</w:t>
      </w:r>
      <w:r>
        <w:rPr>
          <w:rFonts w:asciiTheme="minorHAnsi" w:hAnsiTheme="minorHAnsi" w:eastAsiaTheme="minorEastAsia" w:cstheme="minorBidi"/>
          <w:smallCaps w:val="0"/>
          <w:color w:val="auto"/>
          <w:szCs w:val="22"/>
          <w:highlight w:val="none"/>
        </w:rPr>
        <w:tab/>
      </w:r>
      <w:r>
        <w:rPr>
          <w:rStyle w:val="15"/>
          <w:rFonts w:asciiTheme="majorEastAsia" w:hAnsiTheme="majorEastAsia" w:eastAsiaTheme="majorEastAsia"/>
          <w:color w:val="auto"/>
          <w:highlight w:val="none"/>
          <w:lang w:eastAsia="zh-TW"/>
        </w:rPr>
        <w:t>授予合同</w:t>
      </w:r>
      <w:r>
        <w:rPr>
          <w:color w:val="auto"/>
          <w:highlight w:val="none"/>
        </w:rPr>
        <w:tab/>
      </w:r>
      <w:r>
        <w:rPr>
          <w:color w:val="auto"/>
          <w:highlight w:val="none"/>
        </w:rPr>
        <w:fldChar w:fldCharType="begin"/>
      </w:r>
      <w:r>
        <w:rPr>
          <w:color w:val="auto"/>
          <w:highlight w:val="none"/>
        </w:rPr>
        <w:instrText xml:space="preserve"> PAGEREF _Toc77947893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widowControl/>
        <w:jc w:val="left"/>
        <w:rPr>
          <w:rFonts w:ascii="宋体" w:hAnsi="宋体" w:cs="宋体"/>
          <w:b/>
          <w:bCs/>
          <w:color w:val="auto"/>
          <w:sz w:val="28"/>
          <w:szCs w:val="28"/>
          <w:highlight w:val="none"/>
        </w:rPr>
      </w:pPr>
      <w:r>
        <w:rPr>
          <w:rFonts w:hint="eastAsia" w:ascii="宋体" w:hAnsi="宋体" w:cs="宋体"/>
          <w:bCs/>
          <w:color w:val="auto"/>
          <w:szCs w:val="28"/>
          <w:highlight w:val="none"/>
        </w:rPr>
        <w:fldChar w:fldCharType="end"/>
      </w:r>
    </w:p>
    <w:p>
      <w:pPr>
        <w:widowControl/>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2"/>
        <w:jc w:val="center"/>
        <w:rPr>
          <w:rFonts w:asciiTheme="majorEastAsia" w:hAnsiTheme="majorEastAsia" w:eastAsiaTheme="majorEastAsia" w:cstheme="majorEastAsia"/>
          <w:color w:val="auto"/>
          <w:sz w:val="32"/>
          <w:szCs w:val="32"/>
          <w:highlight w:val="none"/>
        </w:rPr>
      </w:pPr>
      <w:bookmarkStart w:id="1" w:name="_Toc16797"/>
      <w:bookmarkStart w:id="2" w:name="_Toc21804"/>
      <w:bookmarkStart w:id="3" w:name="_Toc77947870"/>
      <w:bookmarkStart w:id="4" w:name="_Toc8307299"/>
      <w:bookmarkStart w:id="5" w:name="_Toc4815_WPSOffice_Level1"/>
      <w:r>
        <w:rPr>
          <w:rFonts w:hint="eastAsia" w:asciiTheme="majorEastAsia" w:hAnsiTheme="majorEastAsia" w:eastAsiaTheme="majorEastAsia" w:cstheme="majorEastAsia"/>
          <w:color w:val="auto"/>
          <w:sz w:val="32"/>
          <w:szCs w:val="32"/>
          <w:highlight w:val="none"/>
        </w:rPr>
        <w:t>第一章 投标邀请</w:t>
      </w:r>
      <w:bookmarkEnd w:id="0"/>
      <w:bookmarkEnd w:id="1"/>
      <w:bookmarkEnd w:id="2"/>
      <w:bookmarkEnd w:id="3"/>
      <w:bookmarkEnd w:id="4"/>
      <w:bookmarkEnd w:id="5"/>
    </w:p>
    <w:p>
      <w:pPr>
        <w:adjustRightInd w:val="0"/>
        <w:snapToGrid w:val="0"/>
        <w:spacing w:line="360" w:lineRule="auto"/>
        <w:ind w:firstLine="420" w:firstLineChars="200"/>
        <w:rPr>
          <w:rFonts w:ascii="宋体" w:hAnsi="宋体" w:cs="宋体"/>
          <w:bCs/>
          <w:color w:val="auto"/>
          <w:szCs w:val="20"/>
          <w:highlight w:val="none"/>
        </w:rPr>
      </w:pPr>
      <w:bookmarkStart w:id="6" w:name="_Hlk111025880"/>
      <w:r>
        <w:rPr>
          <w:rFonts w:hint="eastAsia" w:ascii="宋体" w:hAnsi="宋体" w:cs="宋体"/>
          <w:color w:val="auto"/>
          <w:szCs w:val="21"/>
          <w:highlight w:val="none"/>
        </w:rPr>
        <w:t>深圳市南山区沙河街道办事处</w:t>
      </w:r>
      <w:r>
        <w:rPr>
          <w:rFonts w:hint="eastAsia" w:ascii="宋体" w:hAnsi="宋体" w:cs="宋体"/>
          <w:bCs/>
          <w:color w:val="auto"/>
          <w:szCs w:val="21"/>
          <w:highlight w:val="none"/>
        </w:rPr>
        <w:t>对</w:t>
      </w:r>
      <w:r>
        <w:rPr>
          <w:rFonts w:hint="eastAsia" w:ascii="宋体" w:hAnsi="宋体" w:cs="宋体"/>
          <w:color w:val="auto"/>
          <w:szCs w:val="21"/>
          <w:highlight w:val="none"/>
          <w:lang w:eastAsia="zh-CN"/>
        </w:rPr>
        <w:t>华侨城中学（深圳湾部）交通安全提升项目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pPr>
        <w:tabs>
          <w:tab w:val="left" w:pos="567"/>
        </w:tabs>
        <w:adjustRightInd w:val="0"/>
        <w:snapToGrid w:val="0"/>
        <w:spacing w:line="360" w:lineRule="auto"/>
        <w:rPr>
          <w:rFonts w:hint="default" w:ascii="宋体" w:hAnsi="宋体" w:eastAsia="宋体" w:cs="宋体"/>
          <w:bCs/>
          <w:color w:val="auto"/>
          <w:szCs w:val="20"/>
          <w:highlight w:val="none"/>
          <w:lang w:val="en" w:eastAsia="zh-CN"/>
        </w:rPr>
      </w:pPr>
      <w:r>
        <w:rPr>
          <w:rFonts w:hint="eastAsia" w:ascii="宋体" w:hAnsi="宋体" w:cs="宋体"/>
          <w:bCs/>
          <w:color w:val="auto"/>
          <w:szCs w:val="20"/>
          <w:highlight w:val="none"/>
        </w:rPr>
        <w:t>一、项目编号：</w:t>
      </w:r>
      <w:r>
        <w:rPr>
          <w:rFonts w:hint="default" w:asciiTheme="minorEastAsia" w:hAnsiTheme="minorEastAsia" w:eastAsiaTheme="minorEastAsia" w:cstheme="minorEastAsia"/>
          <w:color w:val="auto"/>
          <w:sz w:val="21"/>
          <w:szCs w:val="21"/>
          <w:highlight w:val="none"/>
          <w:lang w:val="en" w:eastAsia="zh-CN"/>
        </w:rPr>
        <w:t>NSSHJDMSWSS20221107-2</w:t>
      </w:r>
    </w:p>
    <w:p>
      <w:pPr>
        <w:tabs>
          <w:tab w:val="left" w:pos="567"/>
        </w:tabs>
        <w:adjustRightInd w:val="0"/>
        <w:snapToGrid w:val="0"/>
        <w:spacing w:line="360" w:lineRule="auto"/>
        <w:rPr>
          <w:rFonts w:hint="eastAsia" w:ascii="宋体" w:hAnsi="宋体" w:eastAsia="宋体" w:cs="宋体"/>
          <w:color w:val="auto"/>
          <w:highlight w:val="none"/>
          <w:lang w:val="en"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val="en" w:eastAsia="zh-CN"/>
        </w:rPr>
        <w:t>华侨城中学（深圳湾部）交通安全提升项目</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1</w:t>
      </w:r>
      <w:r>
        <w:rPr>
          <w:rFonts w:ascii="宋体" w:hAnsi="宋体" w:cs="宋体"/>
          <w:bCs/>
          <w:color w:val="auto"/>
          <w:szCs w:val="20"/>
          <w:highlight w:val="none"/>
        </w:rPr>
        <w:t>.</w:t>
      </w:r>
      <w:r>
        <w:rPr>
          <w:rFonts w:hint="eastAsia" w:ascii="宋体" w:hAnsi="宋体" w:cs="宋体"/>
          <w:bCs/>
          <w:color w:val="auto"/>
          <w:szCs w:val="20"/>
          <w:highlight w:val="none"/>
        </w:rPr>
        <w:t>采购项目内容及最高限价：</w:t>
      </w:r>
    </w:p>
    <w:tbl>
      <w:tblPr>
        <w:tblStyle w:val="11"/>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709"/>
        <w:gridCol w:w="289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775"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采购内容</w:t>
            </w:r>
          </w:p>
        </w:tc>
        <w:tc>
          <w:tcPr>
            <w:tcW w:w="709"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数量</w:t>
            </w:r>
          </w:p>
        </w:tc>
        <w:tc>
          <w:tcPr>
            <w:tcW w:w="2899"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工期</w:t>
            </w:r>
          </w:p>
        </w:tc>
        <w:tc>
          <w:tcPr>
            <w:tcW w:w="2109"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775" w:type="dxa"/>
            <w:vAlign w:val="center"/>
          </w:tcPr>
          <w:p>
            <w:pPr>
              <w:jc w:val="center"/>
              <w:rPr>
                <w:rFonts w:hint="eastAsia" w:ascii="宋体" w:eastAsia="宋体"/>
                <w:bCs/>
                <w:color w:val="auto"/>
                <w:szCs w:val="21"/>
                <w:highlight w:val="none"/>
                <w:lang w:eastAsia="zh-CN"/>
              </w:rPr>
            </w:pPr>
            <w:r>
              <w:rPr>
                <w:rFonts w:hint="eastAsia" w:ascii="宋体" w:hAnsi="宋体" w:cs="宋体"/>
                <w:color w:val="auto"/>
                <w:highlight w:val="none"/>
                <w:lang w:val="en" w:eastAsia="zh-CN"/>
              </w:rPr>
              <w:t>华侨城中学（深圳湾部）交通安全提升项目</w:t>
            </w:r>
          </w:p>
        </w:tc>
        <w:tc>
          <w:tcPr>
            <w:tcW w:w="709" w:type="dxa"/>
            <w:vAlign w:val="center"/>
          </w:tcPr>
          <w:p>
            <w:pPr>
              <w:jc w:val="center"/>
              <w:rPr>
                <w:rFonts w:ascii="宋体"/>
                <w:bCs/>
                <w:color w:val="auto"/>
                <w:szCs w:val="21"/>
                <w:highlight w:val="none"/>
              </w:rPr>
            </w:pPr>
            <w:r>
              <w:rPr>
                <w:rFonts w:hint="eastAsia" w:ascii="宋体"/>
                <w:bCs/>
                <w:color w:val="auto"/>
                <w:szCs w:val="21"/>
                <w:highlight w:val="none"/>
              </w:rPr>
              <w:t>1项</w:t>
            </w:r>
          </w:p>
        </w:tc>
        <w:tc>
          <w:tcPr>
            <w:tcW w:w="2899" w:type="dxa"/>
            <w:vAlign w:val="center"/>
          </w:tcPr>
          <w:p>
            <w:pPr>
              <w:pStyle w:val="17"/>
              <w:spacing w:line="240" w:lineRule="auto"/>
              <w:rPr>
                <w:snapToGrid/>
                <w:color w:val="auto"/>
                <w:spacing w:val="0"/>
                <w:kern w:val="2"/>
                <w:sz w:val="21"/>
                <w:szCs w:val="24"/>
                <w:highlight w:val="none"/>
              </w:rPr>
            </w:pPr>
            <w:r>
              <w:rPr>
                <w:rFonts w:hint="eastAsia"/>
                <w:snapToGrid/>
                <w:color w:val="auto"/>
                <w:spacing w:val="0"/>
                <w:kern w:val="2"/>
                <w:sz w:val="21"/>
                <w:szCs w:val="24"/>
                <w:highlight w:val="none"/>
              </w:rPr>
              <w:t>自合同签订之日起60天</w:t>
            </w:r>
          </w:p>
        </w:tc>
        <w:tc>
          <w:tcPr>
            <w:tcW w:w="2109" w:type="dxa"/>
            <w:vAlign w:val="center"/>
          </w:tcPr>
          <w:p>
            <w:pPr>
              <w:pStyle w:val="17"/>
              <w:spacing w:line="240" w:lineRule="auto"/>
              <w:rPr>
                <w:snapToGrid/>
                <w:color w:val="auto"/>
                <w:spacing w:val="0"/>
                <w:kern w:val="2"/>
                <w:sz w:val="21"/>
                <w:szCs w:val="24"/>
                <w:highlight w:val="none"/>
              </w:rPr>
            </w:pPr>
            <w:r>
              <w:rPr>
                <w:rFonts w:hint="eastAsia" w:ascii="宋体" w:hAnsi="宋体"/>
                <w:snapToGrid/>
                <w:color w:val="auto"/>
                <w:spacing w:val="0"/>
                <w:kern w:val="2"/>
                <w:sz w:val="21"/>
                <w:szCs w:val="21"/>
                <w:highlight w:val="none"/>
              </w:rPr>
              <w:t>人民币</w:t>
            </w:r>
            <w:r>
              <w:rPr>
                <w:rFonts w:hint="eastAsia" w:ascii="宋体" w:hAnsi="宋体"/>
                <w:snapToGrid/>
                <w:color w:val="auto"/>
                <w:spacing w:val="0"/>
                <w:kern w:val="2"/>
                <w:sz w:val="21"/>
                <w:szCs w:val="21"/>
                <w:highlight w:val="none"/>
                <w:lang w:val="en-US" w:eastAsia="zh-CN"/>
              </w:rPr>
              <w:t>79.56</w:t>
            </w:r>
            <w:r>
              <w:rPr>
                <w:rFonts w:hint="eastAsia" w:ascii="宋体" w:hAnsi="宋体"/>
                <w:snapToGrid/>
                <w:color w:val="auto"/>
                <w:spacing w:val="0"/>
                <w:kern w:val="2"/>
                <w:sz w:val="21"/>
                <w:szCs w:val="21"/>
                <w:highlight w:val="none"/>
              </w:rPr>
              <w:t>万元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本项目不接受进口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4</w:t>
      </w:r>
      <w:r>
        <w:rPr>
          <w:rFonts w:ascii="宋体"/>
          <w:bCs/>
          <w:color w:val="auto"/>
          <w:szCs w:val="20"/>
          <w:highlight w:val="none"/>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pPr>
        <w:pStyle w:val="18"/>
        <w:adjustRightInd w:val="0"/>
        <w:snapToGrid w:val="0"/>
        <w:spacing w:line="360" w:lineRule="auto"/>
        <w:ind w:firstLine="424" w:firstLineChars="202"/>
        <w:rPr>
          <w:rFonts w:ascii="宋体" w:hAnsi="宋体"/>
          <w:bCs/>
          <w:color w:val="auto"/>
          <w:szCs w:val="21"/>
          <w:highlight w:val="none"/>
        </w:rPr>
      </w:pPr>
      <w:bookmarkStart w:id="7" w:name="_Toc435514843"/>
      <w:bookmarkStart w:id="8" w:name="_Toc435115052"/>
      <w:r>
        <w:rPr>
          <w:rFonts w:hint="eastAsia" w:ascii="宋体" w:hAnsi="宋体"/>
          <w:bCs/>
          <w:color w:val="auto"/>
          <w:szCs w:val="21"/>
          <w:highlight w:val="none"/>
        </w:rPr>
        <w:t>1</w:t>
      </w:r>
      <w:r>
        <w:rPr>
          <w:rFonts w:ascii="宋体" w:hAnsi="宋体"/>
          <w:bCs/>
          <w:color w:val="auto"/>
          <w:szCs w:val="21"/>
          <w:highlight w:val="none"/>
        </w:rPr>
        <w:t>.</w:t>
      </w:r>
      <w:r>
        <w:rPr>
          <w:rFonts w:hint="eastAsia" w:ascii="宋体" w:hAnsi="宋体"/>
          <w:bCs/>
          <w:color w:val="auto"/>
          <w:szCs w:val="21"/>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18"/>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投标人须具有</w:t>
      </w:r>
      <w:r>
        <w:rPr>
          <w:rFonts w:hint="eastAsia" w:asciiTheme="minorEastAsia" w:hAnsiTheme="minorEastAsia" w:eastAsiaTheme="minorEastAsia" w:cstheme="minorEastAsia"/>
          <w:color w:val="auto"/>
          <w:sz w:val="21"/>
          <w:szCs w:val="21"/>
          <w:highlight w:val="none"/>
          <w:lang w:eastAsia="zh-CN"/>
        </w:rPr>
        <w:t>市政公用工程施工总承包三级</w:t>
      </w:r>
      <w:r>
        <w:rPr>
          <w:rFonts w:hint="eastAsia"/>
          <w:color w:val="auto"/>
          <w:highlight w:val="none"/>
        </w:rPr>
        <w:t>或以上资质，</w:t>
      </w:r>
      <w:r>
        <w:rPr>
          <w:rFonts w:hint="eastAsia" w:ascii="宋体" w:hAnsi="宋体" w:cs="宋体"/>
          <w:bCs/>
          <w:color w:val="auto"/>
          <w:szCs w:val="20"/>
          <w:highlight w:val="none"/>
        </w:rPr>
        <w:t>提供资质证书复印件。</w:t>
      </w:r>
    </w:p>
    <w:p>
      <w:pPr>
        <w:pStyle w:val="18"/>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投标人须具有《安全生产许可证》，提供许可证复印件。</w:t>
      </w:r>
    </w:p>
    <w:p>
      <w:pPr>
        <w:pStyle w:val="18"/>
        <w:adjustRightInd w:val="0"/>
        <w:snapToGrid w:val="0"/>
        <w:spacing w:line="360" w:lineRule="auto"/>
        <w:ind w:firstLine="424" w:firstLineChars="202"/>
        <w:rPr>
          <w:rFonts w:ascii="宋体" w:hAnsi="宋体" w:cs="宋体"/>
          <w:bCs/>
          <w:color w:val="auto"/>
          <w:szCs w:val="20"/>
          <w:highlight w:val="none"/>
        </w:rPr>
      </w:pPr>
      <w:r>
        <w:rPr>
          <w:rFonts w:ascii="宋体" w:hAnsi="宋体" w:cs="宋体"/>
          <w:bCs/>
          <w:color w:val="auto"/>
          <w:szCs w:val="20"/>
          <w:highlight w:val="none"/>
        </w:rPr>
        <w:t>4.</w:t>
      </w:r>
      <w:r>
        <w:rPr>
          <w:rFonts w:hint="eastAsia" w:ascii="宋体" w:hAnsi="宋体" w:cs="宋体"/>
          <w:bCs/>
          <w:color w:val="auto"/>
          <w:szCs w:val="20"/>
          <w:highlight w:val="none"/>
        </w:rPr>
        <w:t>本项目不接受联合体投标。</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highlight w:val="none"/>
        </w:rPr>
        <w:t>5.</w:t>
      </w:r>
      <w:r>
        <w:rPr>
          <w:rFonts w:hint="eastAsia" w:ascii="宋体" w:hAnsi="宋体" w:cs="宋体"/>
          <w:color w:val="auto"/>
          <w:kern w:val="0"/>
          <w:highlight w:val="none"/>
        </w:rPr>
        <w:t>参与本项目投标前三年内，在经营活动中没有重大违法记录（由供应商在《</w:t>
      </w:r>
      <w:r>
        <w:rPr>
          <w:rFonts w:hint="eastAsia"/>
          <w:color w:val="auto"/>
          <w:highlight w:val="none"/>
        </w:rPr>
        <w:t>投标人资格声明函</w:t>
      </w:r>
      <w:r>
        <w:rPr>
          <w:rFonts w:hint="eastAsia" w:ascii="宋体" w:hAnsi="宋体" w:cs="宋体"/>
          <w:color w:val="auto"/>
          <w:kern w:val="0"/>
          <w:highlight w:val="none"/>
        </w:rPr>
        <w:t>》中作出声明）。</w:t>
      </w:r>
    </w:p>
    <w:p>
      <w:pPr>
        <w:spacing w:line="360" w:lineRule="auto"/>
        <w:ind w:firstLine="420" w:firstLineChars="200"/>
        <w:rPr>
          <w:rFonts w:ascii="宋体" w:hAnsi="宋体" w:cs="宋体"/>
          <w:color w:val="auto"/>
          <w:kern w:val="0"/>
          <w:highlight w:val="none"/>
        </w:rPr>
      </w:pPr>
      <w:r>
        <w:rPr>
          <w:rFonts w:ascii="宋体" w:hAnsi="宋体" w:cs="宋体"/>
          <w:color w:val="auto"/>
          <w:kern w:val="0"/>
          <w:highlight w:val="none"/>
        </w:rPr>
        <w:t>6.</w:t>
      </w:r>
      <w:r>
        <w:rPr>
          <w:rFonts w:hint="eastAsia" w:ascii="宋体" w:hAnsi="宋体" w:cs="宋体"/>
          <w:color w:val="auto"/>
          <w:kern w:val="0"/>
          <w:highlight w:val="none"/>
        </w:rPr>
        <w:t>参与本项目政府采购活动时不存在被有关部门禁止参与政府采购活动且在有效期内的情况（由供应商在《</w:t>
      </w:r>
      <w:r>
        <w:rPr>
          <w:rFonts w:hint="eastAsia"/>
          <w:color w:val="auto"/>
          <w:highlight w:val="none"/>
        </w:rPr>
        <w:t>投标人资格声明函</w:t>
      </w:r>
      <w:r>
        <w:rPr>
          <w:rFonts w:hint="eastAsia" w:ascii="宋体" w:hAnsi="宋体" w:cs="宋体"/>
          <w:color w:val="auto"/>
          <w:kern w:val="0"/>
          <w:highlight w:val="none"/>
        </w:rPr>
        <w:t>》中作出声明）。</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7.</w:t>
      </w:r>
      <w:r>
        <w:rPr>
          <w:rFonts w:hint="eastAsia" w:ascii="宋体" w:hAnsi="宋体"/>
          <w:color w:val="auto"/>
          <w:highlight w:val="none"/>
        </w:rPr>
        <w:t>具备《中华人民共和国政府采购法》第二十二条第一款的条件</w:t>
      </w:r>
      <w:r>
        <w:rPr>
          <w:rFonts w:hint="eastAsia" w:ascii="宋体" w:hAnsi="宋体" w:cs="宋体"/>
          <w:color w:val="auto"/>
          <w:kern w:val="0"/>
          <w:highlight w:val="none"/>
        </w:rPr>
        <w:t>（由供应商在《</w:t>
      </w:r>
      <w:r>
        <w:rPr>
          <w:rFonts w:hint="eastAsia"/>
          <w:color w:val="auto"/>
          <w:highlight w:val="none"/>
        </w:rPr>
        <w:t>投标人资格声明函</w:t>
      </w:r>
      <w:r>
        <w:rPr>
          <w:rFonts w:hint="eastAsia" w:ascii="宋体" w:hAnsi="宋体" w:cs="宋体"/>
          <w:color w:val="auto"/>
          <w:kern w:val="0"/>
          <w:highlight w:val="none"/>
        </w:rPr>
        <w:t>》中作出声明）。</w:t>
      </w:r>
    </w:p>
    <w:p>
      <w:pPr>
        <w:pStyle w:val="18"/>
        <w:adjustRightInd w:val="0"/>
        <w:snapToGrid w:val="0"/>
        <w:spacing w:line="360" w:lineRule="auto"/>
        <w:rPr>
          <w:rFonts w:ascii="宋体" w:hAnsi="宋体" w:cs="宋体"/>
          <w:color w:val="auto"/>
          <w:kern w:val="0"/>
          <w:highlight w:val="none"/>
        </w:rPr>
      </w:pPr>
      <w:r>
        <w:rPr>
          <w:rFonts w:ascii="宋体" w:hAnsi="宋体" w:cs="宋体"/>
          <w:color w:val="auto"/>
          <w:kern w:val="0"/>
          <w:highlight w:val="none"/>
        </w:rPr>
        <w:t>8.</w:t>
      </w:r>
      <w:r>
        <w:rPr>
          <w:rFonts w:hint="eastAsia" w:ascii="宋体" w:hAnsi="宋体" w:cs="宋体"/>
          <w:color w:val="auto"/>
          <w:kern w:val="0"/>
          <w:highlight w:val="none"/>
        </w:rPr>
        <w:t>参与政府采购项目投标的供应商</w:t>
      </w:r>
      <w:r>
        <w:rPr>
          <w:rFonts w:hint="eastAsia"/>
          <w:color w:val="auto"/>
          <w:highlight w:val="none"/>
        </w:rPr>
        <w:t>未被列入失信被执行人、重大税收违法案件当事人名单、政府采购严重违法失信行为记录名单（</w:t>
      </w:r>
      <w:r>
        <w:rPr>
          <w:rFonts w:hint="eastAsia" w:ascii="宋体" w:hAnsi="宋体" w:cs="宋体"/>
          <w:color w:val="auto"/>
          <w:kern w:val="0"/>
          <w:highlight w:val="none"/>
        </w:rPr>
        <w:t>由供应商在《</w:t>
      </w:r>
      <w:r>
        <w:rPr>
          <w:rFonts w:hint="eastAsia"/>
          <w:color w:val="auto"/>
          <w:highlight w:val="none"/>
        </w:rPr>
        <w:t>投标人资格声明函</w:t>
      </w:r>
      <w:r>
        <w:rPr>
          <w:rFonts w:hint="eastAsia" w:ascii="宋体" w:hAnsi="宋体" w:cs="宋体"/>
          <w:color w:val="auto"/>
          <w:kern w:val="0"/>
          <w:highlight w:val="none"/>
        </w:rPr>
        <w:t>》中作出声明）。</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五、符合资格的供应商应当在</w:t>
      </w:r>
      <w:r>
        <w:rPr>
          <w:rFonts w:hint="default" w:ascii="宋体" w:hAnsi="宋体" w:cs="宋体"/>
          <w:bCs/>
          <w:color w:val="auto"/>
          <w:szCs w:val="20"/>
          <w:highlight w:val="none"/>
          <w:lang w:val="en"/>
        </w:rPr>
        <w:t>2022年11月8日</w:t>
      </w:r>
      <w:r>
        <w:rPr>
          <w:rFonts w:hint="eastAsia" w:ascii="宋体" w:hAnsi="宋体" w:cs="宋体"/>
          <w:bCs/>
          <w:color w:val="auto"/>
          <w:szCs w:val="20"/>
          <w:highlight w:val="none"/>
        </w:rPr>
        <w:t>至</w:t>
      </w:r>
      <w:r>
        <w:rPr>
          <w:rFonts w:hint="default" w:ascii="宋体" w:hAnsi="宋体" w:cs="宋体"/>
          <w:bCs/>
          <w:color w:val="auto"/>
          <w:szCs w:val="20"/>
          <w:highlight w:val="none"/>
          <w:lang w:val="en"/>
        </w:rPr>
        <w:t>2022年11月14日</w:t>
      </w:r>
      <w:r>
        <w:rPr>
          <w:rFonts w:hint="eastAsia" w:ascii="宋体" w:hAnsi="宋体" w:cs="宋体"/>
          <w:bCs/>
          <w:color w:val="auto"/>
          <w:szCs w:val="20"/>
          <w:highlight w:val="none"/>
        </w:rPr>
        <w:t>期间（不少于5个工作日），上午10：00-12：00，下午15：00-17：30，法定节假日除外，到深圳市南山区沙河街道办事处（详细地址：深圳市南山区</w:t>
      </w:r>
      <w:r>
        <w:rPr>
          <w:rFonts w:hint="eastAsia" w:asciiTheme="minorEastAsia" w:hAnsiTheme="minorEastAsia" w:eastAsiaTheme="minorEastAsia" w:cstheme="minorEastAsia"/>
          <w:color w:val="auto"/>
          <w:sz w:val="21"/>
          <w:szCs w:val="21"/>
          <w:highlight w:val="none"/>
          <w:lang w:eastAsia="zh-CN"/>
        </w:rPr>
        <w:t>华侨城中新街</w:t>
      </w:r>
      <w:r>
        <w:rPr>
          <w:rFonts w:hint="eastAsia" w:asciiTheme="minorEastAsia" w:hAnsiTheme="minorEastAsia" w:eastAsiaTheme="minorEastAsia" w:cstheme="minorEastAsia"/>
          <w:color w:val="auto"/>
          <w:sz w:val="21"/>
          <w:szCs w:val="21"/>
          <w:highlight w:val="none"/>
          <w:lang w:val="en-US" w:eastAsia="zh-CN"/>
        </w:rPr>
        <w:t>18号沙河街道办事处302室</w:t>
      </w:r>
      <w:r>
        <w:rPr>
          <w:rFonts w:hint="eastAsia" w:ascii="宋体" w:hAnsi="宋体" w:cs="宋体"/>
          <w:bCs/>
          <w:color w:val="auto"/>
          <w:szCs w:val="20"/>
          <w:highlight w:val="none"/>
        </w:rPr>
        <w:t>）提交报名文件，报名文件资料包括：营业执照复印件、资质证明复印件、法定代表人证明、法定代表人授权委托书、企业法人代表身份证复印件、委托人身份证复印件。</w:t>
      </w:r>
    </w:p>
    <w:p>
      <w:pPr>
        <w:tabs>
          <w:tab w:val="left" w:pos="567"/>
        </w:tabs>
        <w:adjustRightInd w:val="0"/>
        <w:snapToGrid w:val="0"/>
        <w:spacing w:line="360" w:lineRule="auto"/>
        <w:rPr>
          <w:rFonts w:hint="eastAsia" w:ascii="宋体" w:hAnsi="宋体" w:cs="宋体"/>
          <w:bCs/>
          <w:color w:val="auto"/>
          <w:szCs w:val="20"/>
          <w:highlight w:val="none"/>
        </w:rPr>
      </w:pPr>
      <w:r>
        <w:rPr>
          <w:rFonts w:hint="eastAsia" w:ascii="宋体" w:hAnsi="宋体" w:cs="宋体"/>
          <w:bCs/>
          <w:color w:val="auto"/>
          <w:szCs w:val="20"/>
          <w:highlight w:val="none"/>
        </w:rPr>
        <w:t>六、接收投标文件时间：2022年</w:t>
      </w:r>
      <w:r>
        <w:rPr>
          <w:rFonts w:hint="eastAsia" w:ascii="宋体" w:hAnsi="宋体" w:cs="宋体"/>
          <w:bCs/>
          <w:color w:val="auto"/>
          <w:szCs w:val="20"/>
          <w:highlight w:val="none"/>
          <w:lang w:val="en-US" w:eastAsia="zh-CN"/>
        </w:rPr>
        <w:t>11</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日至2022年</w:t>
      </w:r>
      <w:r>
        <w:rPr>
          <w:rFonts w:hint="eastAsia" w:ascii="宋体" w:hAnsi="宋体" w:cs="宋体"/>
          <w:bCs/>
          <w:color w:val="auto"/>
          <w:szCs w:val="20"/>
          <w:highlight w:val="none"/>
          <w:lang w:val="en-US" w:eastAsia="zh-CN"/>
        </w:rPr>
        <w:t>11</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日上午10：00-12：00，下午15：00-17：30。</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七、提交投标文件地点：深圳市南山区</w:t>
      </w:r>
      <w:r>
        <w:rPr>
          <w:rFonts w:hint="eastAsia" w:asciiTheme="minorEastAsia" w:hAnsiTheme="minorEastAsia" w:eastAsiaTheme="minorEastAsia" w:cstheme="minorEastAsia"/>
          <w:color w:val="auto"/>
          <w:sz w:val="21"/>
          <w:szCs w:val="21"/>
          <w:highlight w:val="none"/>
          <w:lang w:eastAsia="zh-CN"/>
        </w:rPr>
        <w:t>华侨城中新街</w:t>
      </w:r>
      <w:r>
        <w:rPr>
          <w:rFonts w:hint="eastAsia" w:asciiTheme="minorEastAsia" w:hAnsiTheme="minorEastAsia" w:eastAsiaTheme="minorEastAsia" w:cstheme="minorEastAsia"/>
          <w:color w:val="auto"/>
          <w:sz w:val="21"/>
          <w:szCs w:val="21"/>
          <w:highlight w:val="none"/>
          <w:lang w:val="en-US" w:eastAsia="zh-CN"/>
        </w:rPr>
        <w:t>18号沙河街道办事处302室</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w:t>
      </w:r>
      <w:r>
        <w:rPr>
          <w:rFonts w:ascii="宋体" w:hAnsi="宋体" w:cs="宋体"/>
          <w:bCs/>
          <w:color w:val="auto"/>
          <w:szCs w:val="20"/>
          <w:highlight w:val="none"/>
        </w:rPr>
        <w:t>2022</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11</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日下午17：30。</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评标、定标时间：投标截止后5个工作日内，我街道召开评标、定标会议。</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九、评标、定标地点：深圳市南山区沙河街道办事处。</w:t>
      </w:r>
    </w:p>
    <w:p>
      <w:pPr>
        <w:tabs>
          <w:tab w:val="left" w:pos="425"/>
          <w:tab w:val="left" w:pos="567"/>
          <w:tab w:val="left" w:pos="728"/>
        </w:tabs>
        <w:adjustRightInd w:val="0"/>
        <w:snapToGrid w:val="0"/>
        <w:spacing w:line="360" w:lineRule="auto"/>
        <w:rPr>
          <w:rFonts w:ascii="宋体" w:hAnsi="宋体" w:cs="宋体"/>
          <w:color w:val="auto"/>
          <w:szCs w:val="21"/>
          <w:highlight w:val="none"/>
        </w:rPr>
      </w:pPr>
      <w:r>
        <w:rPr>
          <w:rFonts w:hint="eastAsia" w:ascii="宋体" w:hAnsi="宋体"/>
          <w:bCs/>
          <w:color w:val="auto"/>
          <w:szCs w:val="21"/>
          <w:highlight w:val="none"/>
        </w:rPr>
        <w:t>十、本项目相关公告在以下媒体发布:</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深圳市南山区沙河街道办事处政府信息公开界面</w:t>
      </w:r>
    </w:p>
    <w:p>
      <w:pPr>
        <w:tabs>
          <w:tab w:val="left" w:pos="567"/>
        </w:tabs>
        <w:adjustRightInd w:val="0"/>
        <w:snapToGrid w:val="0"/>
        <w:spacing w:line="360" w:lineRule="auto"/>
        <w:rPr>
          <w:rFonts w:ascii="宋体" w:hAnsi="宋体" w:cs="宋体"/>
          <w:bCs/>
          <w:color w:val="auto"/>
          <w:szCs w:val="21"/>
          <w:highlight w:val="none"/>
        </w:rPr>
      </w:pPr>
      <w:r>
        <w:rPr>
          <w:rFonts w:hint="eastAsia" w:ascii="宋体" w:hAnsi="宋体"/>
          <w:color w:val="auto"/>
          <w:szCs w:val="21"/>
          <w:highlight w:val="none"/>
        </w:rPr>
        <w:t>相关公告在上述媒体上公布之日即视为有效送达，不再另行通知。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十一、本公告期限（5个工作日）自2022年</w:t>
      </w:r>
      <w:r>
        <w:rPr>
          <w:rFonts w:hint="eastAsia" w:ascii="宋体" w:hAnsi="宋体" w:cs="宋体"/>
          <w:bCs/>
          <w:color w:val="auto"/>
          <w:szCs w:val="20"/>
          <w:highlight w:val="none"/>
          <w:lang w:val="en-US" w:eastAsia="zh-CN"/>
        </w:rPr>
        <w:t>11</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日至2022年</w:t>
      </w:r>
      <w:r>
        <w:rPr>
          <w:rFonts w:hint="eastAsia" w:ascii="宋体" w:hAnsi="宋体" w:cs="宋体"/>
          <w:bCs/>
          <w:color w:val="auto"/>
          <w:szCs w:val="20"/>
          <w:highlight w:val="none"/>
          <w:lang w:val="en-US" w:eastAsia="zh-CN"/>
        </w:rPr>
        <w:t>11月14</w:t>
      </w:r>
      <w:r>
        <w:rPr>
          <w:rFonts w:hint="eastAsia" w:ascii="宋体" w:hAnsi="宋体" w:cs="宋体"/>
          <w:bCs/>
          <w:color w:val="auto"/>
          <w:szCs w:val="20"/>
          <w:highlight w:val="none"/>
        </w:rPr>
        <w:t>日止。</w:t>
      </w:r>
    </w:p>
    <w:p>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color w:val="auto"/>
          <w:szCs w:val="21"/>
          <w:highlight w:val="none"/>
        </w:rPr>
        <w:t>十二、联系事项：</w:t>
      </w:r>
    </w:p>
    <w:p>
      <w:pPr>
        <w:pStyle w:val="19"/>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采购人：深圳市南山区沙河街道办事处</w:t>
      </w:r>
    </w:p>
    <w:p>
      <w:pPr>
        <w:pStyle w:val="19"/>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地址：深圳市南山区</w:t>
      </w:r>
      <w:r>
        <w:rPr>
          <w:rFonts w:hint="eastAsia" w:asciiTheme="minorEastAsia" w:hAnsiTheme="minorEastAsia" w:eastAsiaTheme="minorEastAsia" w:cstheme="minorEastAsia"/>
          <w:color w:val="auto"/>
          <w:sz w:val="21"/>
          <w:szCs w:val="21"/>
          <w:highlight w:val="none"/>
          <w:lang w:eastAsia="zh-CN"/>
        </w:rPr>
        <w:t>华侨城中新街</w:t>
      </w:r>
      <w:r>
        <w:rPr>
          <w:rFonts w:hint="eastAsia" w:asciiTheme="minorEastAsia" w:hAnsiTheme="minorEastAsia" w:eastAsiaTheme="minorEastAsia" w:cstheme="minorEastAsia"/>
          <w:color w:val="auto"/>
          <w:sz w:val="21"/>
          <w:szCs w:val="21"/>
          <w:highlight w:val="none"/>
          <w:lang w:val="en-US" w:eastAsia="zh-CN"/>
        </w:rPr>
        <w:t>18号沙河街道办事处302室</w:t>
      </w:r>
    </w:p>
    <w:p>
      <w:pPr>
        <w:pStyle w:val="19"/>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林</w:t>
      </w:r>
      <w:r>
        <w:rPr>
          <w:rFonts w:hint="eastAsia" w:ascii="宋体" w:hAnsi="宋体" w:cs="宋体"/>
          <w:color w:val="auto"/>
          <w:szCs w:val="21"/>
          <w:highlight w:val="none"/>
        </w:rPr>
        <w:t>工</w:t>
      </w:r>
    </w:p>
    <w:p>
      <w:pPr>
        <w:pStyle w:val="19"/>
        <w:spacing w:line="360" w:lineRule="auto"/>
        <w:ind w:left="720" w:firstLine="0"/>
        <w:rPr>
          <w:rFonts w:ascii="宋体" w:hAnsi="宋体"/>
          <w:color w:val="auto"/>
          <w:szCs w:val="21"/>
          <w:highlight w:val="none"/>
        </w:rPr>
      </w:pPr>
      <w:r>
        <w:rPr>
          <w:rFonts w:hint="eastAsia" w:ascii="宋体" w:hAnsi="宋体"/>
          <w:color w:val="auto"/>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0755-86728435</w:t>
      </w:r>
    </w:p>
    <w:p>
      <w:pPr>
        <w:pStyle w:val="19"/>
        <w:spacing w:line="360" w:lineRule="auto"/>
        <w:ind w:left="720" w:firstLine="0"/>
        <w:rPr>
          <w:rFonts w:ascii="宋体" w:hAnsi="宋体"/>
          <w:color w:val="auto"/>
          <w:szCs w:val="21"/>
          <w:highlight w:val="none"/>
        </w:rPr>
      </w:pPr>
    </w:p>
    <w:p>
      <w:pPr>
        <w:pStyle w:val="19"/>
        <w:spacing w:line="360" w:lineRule="auto"/>
        <w:ind w:left="720" w:firstLine="0"/>
        <w:rPr>
          <w:rFonts w:ascii="宋体" w:hAnsi="宋体" w:cs="宋体"/>
          <w:color w:val="auto"/>
          <w:szCs w:val="21"/>
          <w:highlight w:val="none"/>
        </w:rPr>
      </w:pPr>
    </w:p>
    <w:p>
      <w:pPr>
        <w:tabs>
          <w:tab w:val="right" w:pos="9180"/>
        </w:tabs>
        <w:adjustRightInd w:val="0"/>
        <w:snapToGrid w:val="0"/>
        <w:spacing w:line="360" w:lineRule="auto"/>
        <w:ind w:firstLine="435"/>
        <w:jc w:val="right"/>
        <w:rPr>
          <w:b/>
          <w:color w:val="auto"/>
          <w:highlight w:val="none"/>
        </w:rPr>
      </w:pPr>
      <w:r>
        <w:rPr>
          <w:b/>
          <w:color w:val="auto"/>
          <w:highlight w:val="none"/>
        </w:rPr>
        <w:tab/>
      </w:r>
      <w:r>
        <w:rPr>
          <w:rFonts w:hint="eastAsia"/>
          <w:b/>
          <w:color w:val="auto"/>
          <w:highlight w:val="none"/>
        </w:rPr>
        <w:t>发布人：</w:t>
      </w:r>
      <w:r>
        <w:rPr>
          <w:b/>
          <w:color w:val="auto"/>
          <w:highlight w:val="none"/>
        </w:rPr>
        <w:t xml:space="preserve"> </w:t>
      </w:r>
      <w:r>
        <w:rPr>
          <w:rFonts w:hint="eastAsia"/>
          <w:b/>
          <w:color w:val="auto"/>
          <w:highlight w:val="none"/>
        </w:rPr>
        <w:t>深圳市南山区沙河街道办事处</w:t>
      </w:r>
    </w:p>
    <w:p>
      <w:pPr>
        <w:adjustRightInd w:val="0"/>
        <w:snapToGrid w:val="0"/>
        <w:spacing w:line="360" w:lineRule="auto"/>
        <w:ind w:firstLine="435"/>
        <w:jc w:val="right"/>
        <w:rPr>
          <w:rFonts w:hint="default" w:ascii="宋体" w:hAnsi="宋体"/>
          <w:b/>
          <w:color w:val="auto"/>
          <w:highlight w:val="none"/>
          <w:lang w:val="en"/>
        </w:rPr>
      </w:pPr>
      <w:r>
        <w:rPr>
          <w:rFonts w:hint="eastAsia" w:ascii="宋体" w:hAnsi="宋体"/>
          <w:b/>
          <w:color w:val="auto"/>
          <w:highlight w:val="none"/>
        </w:rPr>
        <w:t>发布时间：</w:t>
      </w:r>
      <w:r>
        <w:rPr>
          <w:rFonts w:hint="default" w:ascii="宋体" w:hAnsi="宋体"/>
          <w:b/>
          <w:color w:val="auto"/>
          <w:highlight w:val="none"/>
          <w:lang w:val="en"/>
        </w:rPr>
        <w:t>2022年11月</w:t>
      </w:r>
      <w:r>
        <w:rPr>
          <w:rFonts w:hint="eastAsia" w:ascii="宋体" w:hAnsi="宋体"/>
          <w:b/>
          <w:color w:val="auto"/>
          <w:highlight w:val="none"/>
          <w:lang w:val="en-US" w:eastAsia="zh-CN"/>
        </w:rPr>
        <w:t>8</w:t>
      </w:r>
      <w:r>
        <w:rPr>
          <w:rFonts w:hint="default" w:ascii="宋体" w:hAnsi="宋体"/>
          <w:b/>
          <w:color w:val="auto"/>
          <w:highlight w:val="none"/>
          <w:lang w:val="en"/>
        </w:rPr>
        <w:t>日</w:t>
      </w:r>
    </w:p>
    <w:bookmarkEnd w:id="6"/>
    <w:p>
      <w:pPr>
        <w:widowControl/>
        <w:jc w:val="left"/>
        <w:rPr>
          <w:b/>
          <w:bCs/>
          <w:color w:val="auto"/>
          <w:sz w:val="28"/>
          <w:szCs w:val="28"/>
          <w:highlight w:val="none"/>
        </w:rPr>
      </w:pPr>
      <w:r>
        <w:rPr>
          <w:b/>
          <w:bCs/>
          <w:color w:val="auto"/>
          <w:sz w:val="28"/>
          <w:szCs w:val="28"/>
          <w:highlight w:val="none"/>
        </w:rPr>
        <w:br w:type="page"/>
      </w:r>
    </w:p>
    <w:p>
      <w:pPr>
        <w:pStyle w:val="2"/>
        <w:jc w:val="center"/>
        <w:rPr>
          <w:rFonts w:asciiTheme="majorEastAsia" w:hAnsiTheme="majorEastAsia" w:eastAsiaTheme="majorEastAsia" w:cstheme="majorEastAsia"/>
          <w:color w:val="auto"/>
          <w:sz w:val="32"/>
          <w:szCs w:val="32"/>
          <w:highlight w:val="none"/>
        </w:rPr>
      </w:pPr>
      <w:bookmarkStart w:id="9" w:name="_Toc8307300"/>
      <w:bookmarkStart w:id="10" w:name="_Toc77947871"/>
      <w:bookmarkStart w:id="11" w:name="_Toc9213"/>
      <w:bookmarkStart w:id="12" w:name="_Toc2045"/>
      <w:bookmarkStart w:id="13" w:name="_Toc12489_WPSOffice_Level1"/>
      <w:r>
        <w:rPr>
          <w:rFonts w:hint="eastAsia" w:asciiTheme="majorEastAsia" w:hAnsiTheme="majorEastAsia" w:eastAsiaTheme="majorEastAsia" w:cstheme="majorEastAsia"/>
          <w:color w:val="auto"/>
          <w:sz w:val="32"/>
          <w:szCs w:val="32"/>
          <w:highlight w:val="none"/>
        </w:rPr>
        <w:t>第二章 投标资料表</w:t>
      </w:r>
      <w:bookmarkEnd w:id="7"/>
      <w:bookmarkEnd w:id="8"/>
      <w:bookmarkEnd w:id="9"/>
      <w:bookmarkEnd w:id="10"/>
      <w:bookmarkEnd w:id="11"/>
      <w:bookmarkEnd w:id="12"/>
      <w:bookmarkEnd w:id="13"/>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11"/>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4" w:hRule="atLeast"/>
          <w:jc w:val="center"/>
        </w:trPr>
        <w:tc>
          <w:tcPr>
            <w:tcW w:w="1088" w:type="dxa"/>
            <w:vAlign w:val="center"/>
          </w:tcPr>
          <w:p>
            <w:pPr>
              <w:jc w:val="center"/>
              <w:rPr>
                <w:rFonts w:ascii="宋体" w:hAnsi="宋体"/>
                <w:color w:val="auto"/>
                <w:szCs w:val="21"/>
                <w:highlight w:val="none"/>
              </w:rPr>
            </w:pPr>
            <w:r>
              <w:rPr>
                <w:rFonts w:ascii="宋体" w:hAnsi="宋体"/>
                <w:color w:val="auto"/>
                <w:szCs w:val="21"/>
                <w:highlight w:val="none"/>
              </w:rPr>
              <w:t>条款</w:t>
            </w:r>
            <w:r>
              <w:rPr>
                <w:rFonts w:hint="eastAsia" w:ascii="宋体" w:hAnsi="宋体"/>
                <w:color w:val="auto"/>
                <w:szCs w:val="21"/>
                <w:highlight w:val="none"/>
              </w:rPr>
              <w:t>项</w:t>
            </w:r>
            <w:r>
              <w:rPr>
                <w:rFonts w:ascii="宋体" w:hAnsi="宋体"/>
                <w:color w:val="auto"/>
                <w:szCs w:val="21"/>
                <w:highlight w:val="none"/>
              </w:rPr>
              <w:t>号</w:t>
            </w:r>
          </w:p>
        </w:tc>
        <w:tc>
          <w:tcPr>
            <w:tcW w:w="8000" w:type="dxa"/>
            <w:vAlign w:val="center"/>
          </w:tcPr>
          <w:p>
            <w:pPr>
              <w:jc w:val="center"/>
              <w:rPr>
                <w:rFonts w:ascii="宋体" w:hAnsi="宋体"/>
                <w:b/>
                <w:color w:val="auto"/>
                <w:szCs w:val="21"/>
                <w:highlight w:val="none"/>
              </w:rPr>
            </w:pPr>
            <w:r>
              <w:rPr>
                <w:rFonts w:ascii="宋体" w:hAnsi="宋体"/>
                <w:b/>
                <w:color w:val="auto"/>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r>
              <w:rPr>
                <w:rFonts w:hint="eastAsia" w:ascii="宋体" w:hAnsi="宋体"/>
                <w:color w:val="auto"/>
                <w:szCs w:val="21"/>
                <w:highlight w:val="none"/>
              </w:rPr>
              <w:t>：</w:t>
            </w:r>
            <w:r>
              <w:rPr>
                <w:rFonts w:hint="eastAsia" w:ascii="宋体" w:hAnsi="宋体" w:cs="宋体"/>
                <w:color w:val="auto"/>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8000" w:type="dxa"/>
            <w:vAlign w:val="center"/>
          </w:tcPr>
          <w:p>
            <w:pPr>
              <w:adjustRightInd w:val="0"/>
              <w:snapToGrid w:val="0"/>
              <w:rPr>
                <w:rFonts w:ascii="宋体" w:hAnsi="宋体"/>
                <w:color w:val="auto"/>
                <w:szCs w:val="21"/>
                <w:highlight w:val="none"/>
              </w:rPr>
            </w:pPr>
            <w:r>
              <w:rPr>
                <w:rFonts w:hint="eastAsia" w:ascii="宋体" w:hAnsi="宋体"/>
                <w:b/>
                <w:bCs/>
                <w:color w:val="auto"/>
                <w:szCs w:val="21"/>
                <w:highlight w:val="none"/>
              </w:rPr>
              <w:t>现场考察或者召开开标前答疑会</w:t>
            </w:r>
            <w:r>
              <w:rPr>
                <w:rFonts w:hint="eastAsia" w:ascii="宋体" w:hAnsi="宋体"/>
                <w:color w:val="auto"/>
                <w:szCs w:val="21"/>
                <w:highlight w:val="none"/>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8" w:type="dxa"/>
            <w:vAlign w:val="center"/>
          </w:tcPr>
          <w:p>
            <w:pPr>
              <w:jc w:val="center"/>
              <w:rPr>
                <w:rFonts w:ascii="宋体" w:hAnsi="宋体"/>
                <w:dstrike/>
                <w:color w:val="auto"/>
                <w:szCs w:val="21"/>
                <w:highlight w:val="none"/>
                <w:em w:val="dot"/>
              </w:rPr>
            </w:pPr>
            <w:r>
              <w:rPr>
                <w:rFonts w:hint="eastAsia" w:ascii="宋体" w:hAnsi="宋体"/>
                <w:color w:val="auto"/>
                <w:szCs w:val="21"/>
                <w:highlight w:val="none"/>
              </w:rPr>
              <w:t>12.2.1</w:t>
            </w:r>
          </w:p>
        </w:tc>
        <w:tc>
          <w:tcPr>
            <w:tcW w:w="8000" w:type="dxa"/>
            <w:vAlign w:val="center"/>
          </w:tcPr>
          <w:p>
            <w:pPr>
              <w:adjustRightInd w:val="0"/>
              <w:snapToGrid w:val="0"/>
              <w:ind w:left="210" w:hanging="210"/>
              <w:rPr>
                <w:rFonts w:ascii="宋体" w:hAnsi="宋体"/>
                <w:color w:val="auto"/>
                <w:szCs w:val="21"/>
                <w:highlight w:val="none"/>
              </w:rPr>
            </w:pPr>
            <w:r>
              <w:rPr>
                <w:rFonts w:hint="eastAsia" w:ascii="宋体" w:hAnsi="宋体"/>
                <w:color w:val="auto"/>
                <w:szCs w:val="21"/>
                <w:highlight w:val="none"/>
              </w:rPr>
              <w:t>（境外货物）</w:t>
            </w:r>
            <w:r>
              <w:rPr>
                <w:rFonts w:hint="eastAsia" w:ascii="宋体" w:hAnsi="宋体" w:cs="宋体"/>
                <w:color w:val="auto"/>
                <w:szCs w:val="21"/>
                <w:highlight w:val="none"/>
                <w:lang w:val="zh-CN"/>
              </w:rPr>
              <w:t>进口环节关税和增值税：无。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8000" w:type="dxa"/>
            <w:vAlign w:val="center"/>
          </w:tcPr>
          <w:p>
            <w:pPr>
              <w:rPr>
                <w:rFonts w:ascii="宋体" w:hAnsi="宋体"/>
                <w:color w:val="auto"/>
                <w:szCs w:val="21"/>
                <w:highlight w:val="none"/>
              </w:rPr>
            </w:pPr>
            <w:r>
              <w:rPr>
                <w:rFonts w:ascii="宋体" w:hAnsi="宋体"/>
                <w:color w:val="auto"/>
                <w:szCs w:val="21"/>
                <w:highlight w:val="none"/>
              </w:rPr>
              <w:t>投标有效期：90天</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8000" w:type="dxa"/>
            <w:vAlign w:val="center"/>
          </w:tcPr>
          <w:p>
            <w:pPr>
              <w:rPr>
                <w:rFonts w:ascii="宋体" w:hAnsi="宋体"/>
                <w:color w:val="auto"/>
                <w:szCs w:val="21"/>
                <w:highlight w:val="none"/>
              </w:rPr>
            </w:pPr>
            <w:r>
              <w:rPr>
                <w:rFonts w:ascii="宋体" w:hAnsi="宋体"/>
                <w:color w:val="auto"/>
                <w:szCs w:val="21"/>
                <w:highlight w:val="none"/>
              </w:rPr>
              <w:t>投标文件份数：正本一份，副本</w:t>
            </w:r>
            <w:r>
              <w:rPr>
                <w:rFonts w:hint="eastAsia" w:ascii="宋体" w:hAnsi="宋体"/>
                <w:color w:val="auto"/>
                <w:szCs w:val="21"/>
                <w:highlight w:val="none"/>
              </w:rPr>
              <w:t>四</w:t>
            </w:r>
            <w:r>
              <w:rPr>
                <w:rFonts w:ascii="宋体" w:hAnsi="宋体"/>
                <w:color w:val="auto"/>
                <w:szCs w:val="21"/>
                <w:highlight w:val="none"/>
              </w:rPr>
              <w:t>份，电子文件</w:t>
            </w:r>
            <w:r>
              <w:rPr>
                <w:rFonts w:hint="eastAsia" w:ascii="宋体" w:hAnsi="宋体"/>
                <w:color w:val="auto"/>
                <w:szCs w:val="21"/>
                <w:highlight w:val="none"/>
              </w:rPr>
              <w:t>一</w:t>
            </w:r>
            <w:r>
              <w:rPr>
                <w:rFonts w:ascii="宋体" w:hAnsi="宋体"/>
                <w:color w:val="auto"/>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2.1.3</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质疑函接受的方式：</w:t>
            </w:r>
          </w:p>
          <w:p>
            <w:pPr>
              <w:rPr>
                <w:rFonts w:ascii="宋体" w:hAnsi="宋体"/>
                <w:color w:val="auto"/>
                <w:szCs w:val="21"/>
                <w:highlight w:val="none"/>
              </w:rPr>
            </w:pPr>
            <w:r>
              <w:rPr>
                <w:rFonts w:hint="eastAsia" w:ascii="宋体" w:hAnsi="宋体"/>
                <w:color w:val="auto"/>
                <w:szCs w:val="21"/>
                <w:highlight w:val="none"/>
              </w:rPr>
              <w:t>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default" w:ascii="宋体" w:hAnsi="宋体"/>
                <w:color w:val="auto"/>
                <w:szCs w:val="21"/>
                <w:highlight w:val="none"/>
                <w:lang w:val="en"/>
              </w:rPr>
              <w:t>10</w:t>
            </w:r>
            <w:r>
              <w:rPr>
                <w:rFonts w:hint="eastAsia" w:ascii="宋体" w:hAnsi="宋体"/>
                <w:color w:val="auto"/>
                <w:szCs w:val="21"/>
                <w:highlight w:val="none"/>
              </w:rPr>
              <w:t>日上午12:00前，凡对招标文件的疑问（包括认为招标文件的技术指标或参数存在排他性或歧视性条款），投标人须以书面形式加盖单位公章送达我街道办，逾期不予受理。我街道将通过官网公告的形式发布答疑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26.1</w:t>
            </w:r>
          </w:p>
        </w:tc>
        <w:tc>
          <w:tcPr>
            <w:tcW w:w="8000" w:type="dxa"/>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履约保证金：无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8000" w:type="dxa"/>
            <w:vAlign w:val="center"/>
          </w:tcPr>
          <w:p>
            <w:pPr>
              <w:rPr>
                <w:rFonts w:ascii="宋体" w:hAnsi="宋体"/>
                <w:color w:val="auto"/>
                <w:szCs w:val="21"/>
                <w:highlight w:val="none"/>
              </w:rPr>
            </w:pPr>
            <w:r>
              <w:rPr>
                <w:rFonts w:hint="eastAsia" w:ascii="宋体" w:hAnsi="宋体"/>
                <w:bCs/>
                <w:color w:val="auto"/>
                <w:highlight w:val="none"/>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w:t>
            </w:r>
          </w:p>
        </w:tc>
        <w:tc>
          <w:tcPr>
            <w:tcW w:w="8000" w:type="dxa"/>
            <w:vAlign w:val="center"/>
          </w:tcPr>
          <w:p>
            <w:pPr>
              <w:tabs>
                <w:tab w:val="left" w:pos="524"/>
                <w:tab w:val="left" w:pos="601"/>
              </w:tabs>
              <w:adjustRightInd w:val="0"/>
              <w:snapToGrid w:val="0"/>
              <w:spacing w:line="360" w:lineRule="atLeast"/>
              <w:textAlignment w:val="baseline"/>
              <w:rPr>
                <w:rFonts w:hint="eastAsia" w:ascii="宋体" w:hAnsi="宋体"/>
                <w:color w:val="auto"/>
                <w:kern w:val="0"/>
                <w:sz w:val="24"/>
                <w:highlight w:val="none"/>
              </w:rPr>
            </w:pPr>
            <w:r>
              <w:rPr>
                <w:rFonts w:hint="eastAsia" w:ascii="宋体" w:hAnsi="宋体"/>
                <w:bCs/>
                <w:color w:val="auto"/>
                <w:highlight w:val="none"/>
              </w:rPr>
              <w:t>采购代理服务费：向中标人固定额收费：人民币5000.00元。</w:t>
            </w:r>
          </w:p>
        </w:tc>
      </w:tr>
    </w:tbl>
    <w:p>
      <w:pPr>
        <w:rPr>
          <w:rStyle w:val="16"/>
          <w:rFonts w:asciiTheme="minorHAnsi" w:hAnsiTheme="minorHAnsi" w:eastAsiaTheme="minorEastAsia" w:cstheme="minorBidi"/>
          <w:color w:val="auto"/>
          <w:highlight w:val="none"/>
        </w:rPr>
      </w:pPr>
      <w:r>
        <w:rPr>
          <w:color w:val="auto"/>
          <w:highlight w:val="none"/>
        </w:rPr>
        <w:br w:type="page"/>
      </w:r>
      <w:bookmarkStart w:id="14" w:name="_Toc435115054"/>
      <w:bookmarkStart w:id="15" w:name="_Toc8307303"/>
      <w:bookmarkStart w:id="16" w:name="_Toc435514849"/>
      <w:bookmarkStart w:id="17" w:name="_Toc8307302"/>
    </w:p>
    <w:p>
      <w:pPr>
        <w:rPr>
          <w:rStyle w:val="16"/>
          <w:rFonts w:asciiTheme="minorHAnsi" w:hAnsiTheme="minorHAnsi" w:eastAsiaTheme="minorEastAsia" w:cstheme="minorBidi"/>
          <w:color w:val="auto"/>
          <w:highlight w:val="none"/>
        </w:rPr>
      </w:pPr>
    </w:p>
    <w:p>
      <w:pPr>
        <w:pStyle w:val="2"/>
        <w:jc w:val="center"/>
        <w:rPr>
          <w:rFonts w:asciiTheme="majorEastAsia" w:hAnsiTheme="majorEastAsia" w:eastAsiaTheme="majorEastAsia" w:cstheme="majorEastAsia"/>
          <w:color w:val="auto"/>
          <w:sz w:val="32"/>
          <w:szCs w:val="32"/>
          <w:highlight w:val="none"/>
        </w:rPr>
      </w:pPr>
      <w:bookmarkStart w:id="18" w:name="_Toc77947872"/>
      <w:bookmarkStart w:id="19" w:name="_Toc22038"/>
      <w:bookmarkStart w:id="20" w:name="_Toc13175"/>
      <w:bookmarkStart w:id="21" w:name="_Toc24913_WPSOffice_Level1"/>
      <w:r>
        <w:rPr>
          <w:rFonts w:hint="eastAsia" w:asciiTheme="majorEastAsia" w:hAnsiTheme="majorEastAsia" w:eastAsiaTheme="majorEastAsia" w:cstheme="majorEastAsia"/>
          <w:color w:val="auto"/>
          <w:sz w:val="32"/>
          <w:szCs w:val="32"/>
          <w:highlight w:val="none"/>
        </w:rPr>
        <w:t>第三章 用户需求书</w:t>
      </w:r>
      <w:bookmarkEnd w:id="14"/>
      <w:bookmarkEnd w:id="15"/>
      <w:bookmarkEnd w:id="16"/>
      <w:bookmarkEnd w:id="18"/>
      <w:bookmarkEnd w:id="19"/>
      <w:bookmarkEnd w:id="20"/>
      <w:bookmarkEnd w:id="21"/>
    </w:p>
    <w:p>
      <w:pPr>
        <w:snapToGrid w:val="0"/>
        <w:spacing w:line="360" w:lineRule="auto"/>
        <w:rPr>
          <w:rFonts w:ascii="宋体"/>
          <w:b/>
          <w:bCs/>
          <w:color w:val="auto"/>
          <w:szCs w:val="20"/>
          <w:highlight w:val="none"/>
        </w:rPr>
      </w:pPr>
      <w:r>
        <w:rPr>
          <w:rFonts w:hint="eastAsia" w:ascii="宋体"/>
          <w:b/>
          <w:bCs/>
          <w:color w:val="auto"/>
          <w:szCs w:val="20"/>
          <w:highlight w:val="none"/>
        </w:rPr>
        <w:t>说明：</w:t>
      </w:r>
    </w:p>
    <w:p>
      <w:pPr>
        <w:numPr>
          <w:ilvl w:val="0"/>
          <w:numId w:val="1"/>
        </w:numPr>
        <w:snapToGrid w:val="0"/>
        <w:spacing w:line="360" w:lineRule="auto"/>
        <w:ind w:left="422" w:hanging="422" w:hangingChars="200"/>
        <w:rPr>
          <w:rFonts w:ascii="宋体"/>
          <w:b/>
          <w:bCs/>
          <w:color w:val="auto"/>
          <w:szCs w:val="20"/>
          <w:highlight w:val="none"/>
        </w:rPr>
      </w:pPr>
      <w:r>
        <w:rPr>
          <w:rFonts w:hint="eastAsia" w:ascii="宋体"/>
          <w:b/>
          <w:bCs/>
          <w:color w:val="auto"/>
          <w:szCs w:val="20"/>
          <w:highlight w:val="none"/>
        </w:rPr>
        <w:t>投标人须对本项目的</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进行整体响应，任何只对</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其中一部分内容进行的响应都被视为无效投标。</w:t>
      </w:r>
    </w:p>
    <w:p>
      <w:pPr>
        <w:numPr>
          <w:ilvl w:val="0"/>
          <w:numId w:val="1"/>
        </w:numPr>
        <w:snapToGrid w:val="0"/>
        <w:spacing w:line="360" w:lineRule="auto"/>
        <w:ind w:left="422" w:hanging="422" w:hanging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用户需求书中打</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号条款为实质性条款，有任何一条负偏离则导致无效投标。（如有）</w:t>
      </w:r>
    </w:p>
    <w:p>
      <w:pPr>
        <w:numPr>
          <w:ilvl w:val="0"/>
          <w:numId w:val="1"/>
        </w:numPr>
        <w:snapToGrid w:val="0"/>
        <w:spacing w:line="360" w:lineRule="auto"/>
        <w:ind w:left="422" w:hanging="422" w:hangingChars="200"/>
        <w:rPr>
          <w:rFonts w:ascii="宋体"/>
          <w:b/>
          <w:bCs/>
          <w:color w:val="auto"/>
          <w:szCs w:val="20"/>
          <w:highlight w:val="none"/>
        </w:rPr>
      </w:pPr>
      <w:r>
        <w:rPr>
          <w:rFonts w:hint="eastAsia" w:ascii="宋体"/>
          <w:b/>
          <w:bCs/>
          <w:color w:val="auto"/>
          <w:szCs w:val="20"/>
          <w:highlight w:val="none"/>
        </w:rPr>
        <w:t>用户需求书中打</w:t>
      </w:r>
      <w:r>
        <w:rPr>
          <w:rFonts w:ascii="宋体"/>
          <w:b/>
          <w:bCs/>
          <w:color w:val="auto"/>
          <w:szCs w:val="20"/>
          <w:highlight w:val="none"/>
        </w:rPr>
        <w:t>“</w:t>
      </w:r>
      <w:r>
        <w:rPr>
          <w:rFonts w:hint="eastAsia" w:ascii="宋体"/>
          <w:b/>
          <w:bCs/>
          <w:color w:val="auto"/>
          <w:szCs w:val="20"/>
          <w:highlight w:val="none"/>
        </w:rPr>
        <w:t>▲</w:t>
      </w:r>
      <w:r>
        <w:rPr>
          <w:rFonts w:ascii="宋体"/>
          <w:b/>
          <w:bCs/>
          <w:color w:val="auto"/>
          <w:szCs w:val="20"/>
          <w:highlight w:val="none"/>
        </w:rPr>
        <w:t>”</w:t>
      </w:r>
      <w:r>
        <w:rPr>
          <w:rFonts w:hint="eastAsia" w:ascii="宋体"/>
          <w:b/>
          <w:bCs/>
          <w:color w:val="auto"/>
          <w:szCs w:val="20"/>
          <w:highlight w:val="none"/>
        </w:rPr>
        <w:t>号条款为重要技术参数，但不作为无效投标条款。</w:t>
      </w:r>
      <w:r>
        <w:rPr>
          <w:rFonts w:hint="eastAsia" w:asciiTheme="minorEastAsia" w:hAnsiTheme="minorEastAsia" w:eastAsiaTheme="minorEastAsia"/>
          <w:b/>
          <w:bCs/>
          <w:color w:val="auto"/>
          <w:szCs w:val="21"/>
          <w:highlight w:val="none"/>
        </w:rPr>
        <w:t>（如有）</w:t>
      </w:r>
    </w:p>
    <w:p>
      <w:pPr>
        <w:pStyle w:val="20"/>
        <w:numPr>
          <w:ilvl w:val="0"/>
          <w:numId w:val="1"/>
        </w:numPr>
        <w:spacing w:line="400" w:lineRule="exact"/>
        <w:ind w:firstLineChars="0"/>
        <w:rPr>
          <w:b/>
          <w:color w:val="auto"/>
          <w:szCs w:val="21"/>
          <w:highlight w:val="none"/>
        </w:rPr>
      </w:pPr>
      <w:r>
        <w:rPr>
          <w:rFonts w:hint="eastAsia"/>
          <w:b/>
          <w:color w:val="auto"/>
          <w:highlight w:val="none"/>
        </w:rPr>
        <w:t>招标技术要求中，用红色字体标注的条款为要求提供证明资料的条款，其余为未要求提供证明资料的条款，无需提供相关证明资料。</w:t>
      </w:r>
      <w:r>
        <w:rPr>
          <w:rFonts w:hint="eastAsia" w:asciiTheme="minorEastAsia" w:hAnsiTheme="minorEastAsia" w:eastAsiaTheme="minorEastAsia"/>
          <w:b/>
          <w:bCs/>
          <w:color w:val="auto"/>
          <w:szCs w:val="21"/>
          <w:highlight w:val="none"/>
        </w:rPr>
        <w:t>（如有）</w:t>
      </w:r>
    </w:p>
    <w:p>
      <w:pPr>
        <w:pStyle w:val="20"/>
        <w:numPr>
          <w:ilvl w:val="0"/>
          <w:numId w:val="1"/>
        </w:numPr>
        <w:spacing w:line="400" w:lineRule="exact"/>
        <w:ind w:firstLineChars="0"/>
        <w:rPr>
          <w:color w:val="auto"/>
          <w:highlight w:val="none"/>
        </w:rPr>
      </w:pPr>
      <w:r>
        <w:rPr>
          <w:rFonts w:hint="eastAsia"/>
          <w:b/>
          <w:color w:val="auto"/>
          <w:highlight w:val="none"/>
        </w:rPr>
        <w:t>说明：投标人须如实填写《技术规格偏离表》，并按招标文件的要求提供相关证明资料。提供的证明资料与投标响应情况不相符的，视为《技术规格偏离表》填写不实，按负偏离扣分处理。</w:t>
      </w:r>
      <w:r>
        <w:rPr>
          <w:rFonts w:hint="eastAsia" w:asciiTheme="minorEastAsia" w:hAnsiTheme="minorEastAsia" w:eastAsiaTheme="minorEastAsia"/>
          <w:b/>
          <w:bCs/>
          <w:color w:val="auto"/>
          <w:szCs w:val="21"/>
          <w:highlight w:val="none"/>
        </w:rPr>
        <w:t>（如有）</w:t>
      </w:r>
    </w:p>
    <w:p>
      <w:pPr>
        <w:pStyle w:val="6"/>
        <w:numPr>
          <w:ilvl w:val="0"/>
          <w:numId w:val="2"/>
        </w:numPr>
        <w:tabs>
          <w:tab w:val="left" w:pos="540"/>
        </w:tabs>
        <w:adjustRightInd w:val="0"/>
        <w:snapToGrid w:val="0"/>
        <w:spacing w:line="360" w:lineRule="auto"/>
        <w:rPr>
          <w:rFonts w:hAnsi="宋体"/>
          <w:b/>
          <w:color w:val="auto"/>
          <w:highlight w:val="none"/>
        </w:rPr>
      </w:pPr>
      <w:r>
        <w:rPr>
          <w:rFonts w:hint="eastAsia"/>
          <w:b/>
          <w:color w:val="auto"/>
          <w:szCs w:val="20"/>
          <w:highlight w:val="none"/>
        </w:rPr>
        <w:t>项目背景：</w:t>
      </w:r>
    </w:p>
    <w:p>
      <w:pPr>
        <w:pStyle w:val="6"/>
        <w:adjustRightInd w:val="0"/>
        <w:snapToGrid w:val="0"/>
        <w:spacing w:line="360" w:lineRule="auto"/>
        <w:ind w:firstLine="420" w:firstLineChars="200"/>
        <w:rPr>
          <w:rFonts w:hAnsi="宋体"/>
          <w:b/>
          <w:color w:val="auto"/>
          <w:highlight w:val="none"/>
        </w:rPr>
      </w:pPr>
      <w:r>
        <w:rPr>
          <w:rFonts w:hint="eastAsia" w:hAnsi="宋体" w:cs="宋体"/>
          <w:color w:val="auto"/>
          <w:kern w:val="0"/>
          <w:highlight w:val="none"/>
        </w:rPr>
        <w:t>本项目为</w:t>
      </w:r>
      <w:r>
        <w:rPr>
          <w:rFonts w:hint="eastAsia" w:hAnsi="宋体" w:cs="宋体"/>
          <w:color w:val="auto"/>
          <w:kern w:val="0"/>
          <w:highlight w:val="none"/>
          <w:lang w:val="en" w:eastAsia="zh-CN"/>
        </w:rPr>
        <w:t>华侨城中学（深圳湾部）交通安全提升项目</w:t>
      </w:r>
      <w:r>
        <w:rPr>
          <w:rFonts w:hint="eastAsia" w:hAnsi="宋体" w:cs="宋体"/>
          <w:color w:val="auto"/>
          <w:kern w:val="0"/>
          <w:highlight w:val="none"/>
        </w:rPr>
        <w:t>,深圳市南山区沙河街道办事处拟对其进行</w:t>
      </w:r>
      <w:r>
        <w:rPr>
          <w:rFonts w:hint="eastAsia" w:hAnsi="宋体" w:cs="宋体"/>
          <w:color w:val="auto"/>
          <w:kern w:val="0"/>
          <w:highlight w:val="none"/>
          <w:lang w:eastAsia="zh-CN"/>
        </w:rPr>
        <w:t>改造提升</w:t>
      </w:r>
      <w:r>
        <w:rPr>
          <w:rFonts w:hint="eastAsia" w:hAnsi="宋体" w:cs="宋体"/>
          <w:color w:val="auto"/>
          <w:kern w:val="0"/>
          <w:highlight w:val="none"/>
        </w:rPr>
        <w:t>。主要工程内容有:</w:t>
      </w:r>
      <w:r>
        <w:rPr>
          <w:rFonts w:hint="eastAsia" w:hAnsi="宋体" w:cs="宋体"/>
          <w:color w:val="auto"/>
          <w:kern w:val="0"/>
          <w:highlight w:val="none"/>
          <w:lang w:val="en-US" w:eastAsia="zh-CN"/>
        </w:rPr>
        <w:t xml:space="preserve"> </w:t>
      </w:r>
      <w:r>
        <w:rPr>
          <w:rFonts w:hint="eastAsia" w:hAnsi="宋体" w:cs="宋体"/>
          <w:color w:val="auto"/>
          <w:kern w:val="0"/>
          <w:highlight w:val="none"/>
        </w:rPr>
        <w:t>在白石路开设学校车辆入口（北门），铺设沥青道路、安装道闸、监控、升降柱等，并对周边绿化进行整治。</w:t>
      </w:r>
    </w:p>
    <w:p>
      <w:pPr>
        <w:pStyle w:val="6"/>
        <w:numPr>
          <w:ilvl w:val="0"/>
          <w:numId w:val="2"/>
        </w:numPr>
        <w:tabs>
          <w:tab w:val="left" w:pos="540"/>
        </w:tabs>
        <w:adjustRightInd w:val="0"/>
        <w:snapToGrid w:val="0"/>
        <w:spacing w:line="360" w:lineRule="auto"/>
        <w:rPr>
          <w:rFonts w:hAnsi="宋体"/>
          <w:b/>
          <w:bCs/>
          <w:color w:val="auto"/>
          <w:highlight w:val="none"/>
        </w:rPr>
      </w:pPr>
      <w:r>
        <w:rPr>
          <w:rFonts w:hint="eastAsia" w:cs="宋体" w:asciiTheme="minorEastAsia" w:hAnsiTheme="minorEastAsia"/>
          <w:b/>
          <w:bCs/>
          <w:color w:val="auto"/>
          <w:highlight w:val="none"/>
        </w:rPr>
        <w:t>项目概况</w:t>
      </w:r>
    </w:p>
    <w:p>
      <w:pPr>
        <w:spacing w:line="360" w:lineRule="auto"/>
        <w:ind w:left="42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本工程位于深圳市南山区沙河街道辖区内，华侨城中学（深圳湾部）南门为学校师生主要出入口，</w:t>
      </w:r>
    </w:p>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车流、人流汇集，上学、放学期间，车流、人流量较大，导致深湾二路、白石二道严重拥堵，且存在安全隐患。为缓解交通拥堵情况，实现人车分流，经沟通市交通运输局南山管理局、学校等相关部门，拟在白石路开设学校车辆入口（北门），铺设沥青道路、安装道闸、监控、升降柱等，并对周边绿化进行整治预算金额</w:t>
      </w:r>
      <w:r>
        <w:rPr>
          <w:rFonts w:hint="default" w:cs="宋体" w:asciiTheme="minorEastAsia" w:hAnsiTheme="minorEastAsia" w:eastAsiaTheme="minorEastAsia"/>
          <w:color w:val="auto"/>
          <w:szCs w:val="21"/>
          <w:highlight w:val="none"/>
          <w:lang w:val="en" w:eastAsia="zh-CN"/>
        </w:rPr>
        <w:t>79.56</w:t>
      </w:r>
      <w:r>
        <w:rPr>
          <w:rFonts w:hint="eastAsia" w:cs="宋体" w:asciiTheme="minorEastAsia" w:hAnsiTheme="minorEastAsia" w:eastAsiaTheme="minorEastAsia"/>
          <w:color w:val="auto"/>
          <w:szCs w:val="21"/>
          <w:highlight w:val="none"/>
        </w:rPr>
        <w:t>万元（为下浮后的金额），下浮率为</w:t>
      </w:r>
      <w:r>
        <w:rPr>
          <w:rFonts w:hint="eastAsia" w:asciiTheme="minorEastAsia" w:hAnsiTheme="minorEastAsia" w:eastAsiaTheme="minorEastAsia" w:cstheme="minorEastAsia"/>
          <w:color w:val="auto"/>
          <w:sz w:val="21"/>
          <w:szCs w:val="21"/>
          <w:highlight w:val="none"/>
          <w:lang w:val="en-US" w:eastAsia="zh-CN"/>
        </w:rPr>
        <w:t>8.02</w:t>
      </w:r>
      <w:r>
        <w:rPr>
          <w:rFonts w:hint="eastAsia" w:asciiTheme="minorEastAsia" w:hAnsiTheme="minorEastAsia" w:eastAsiaTheme="minorEastAsia" w:cstheme="minorEastAsia"/>
          <w:color w:val="auto"/>
          <w:sz w:val="21"/>
          <w:szCs w:val="21"/>
          <w:highlight w:val="none"/>
        </w:rPr>
        <w:t>%</w:t>
      </w:r>
      <w:r>
        <w:rPr>
          <w:rFonts w:hint="eastAsia" w:cs="宋体" w:asciiTheme="minorEastAsia" w:hAnsiTheme="minorEastAsia" w:eastAsiaTheme="minorEastAsia"/>
          <w:b w:val="0"/>
          <w:bCs w:val="0"/>
          <w:color w:val="auto"/>
          <w:szCs w:val="21"/>
          <w:highlight w:val="none"/>
          <w:u w:val="none"/>
        </w:rPr>
        <w:t>，投标人无需进行投标报价。</w:t>
      </w:r>
    </w:p>
    <w:p>
      <w:pPr>
        <w:pStyle w:val="6"/>
        <w:numPr>
          <w:ilvl w:val="0"/>
          <w:numId w:val="2"/>
        </w:numPr>
        <w:tabs>
          <w:tab w:val="left" w:pos="540"/>
        </w:tabs>
        <w:adjustRightInd w:val="0"/>
        <w:snapToGrid w:val="0"/>
        <w:spacing w:line="360" w:lineRule="auto"/>
        <w:rPr>
          <w:rFonts w:cs="宋体" w:asciiTheme="minorEastAsia" w:hAnsiTheme="minorEastAsia"/>
          <w:color w:val="auto"/>
          <w:highlight w:val="none"/>
        </w:rPr>
      </w:pPr>
      <w:bookmarkStart w:id="22" w:name="_Toc28953520"/>
      <w:r>
        <w:rPr>
          <w:rFonts w:hint="eastAsia" w:cs="宋体" w:asciiTheme="minorEastAsia" w:hAnsiTheme="minorEastAsia"/>
          <w:b/>
          <w:bCs/>
          <w:color w:val="auto"/>
          <w:highlight w:val="none"/>
        </w:rPr>
        <w:t>项目主要内容及要求</w:t>
      </w:r>
      <w:bookmarkEnd w:id="22"/>
      <w:r>
        <w:rPr>
          <w:rFonts w:hint="eastAsia" w:cs="宋体" w:asciiTheme="minorEastAsia" w:hAnsiTheme="minorEastAsia"/>
          <w:b/>
          <w:bCs/>
          <w:color w:val="auto"/>
          <w:highlight w:val="none"/>
        </w:rPr>
        <w:t>（含工期、实施地点、合同结算方式）</w:t>
      </w:r>
    </w:p>
    <w:p>
      <w:pPr>
        <w:pStyle w:val="6"/>
        <w:numPr>
          <w:ilvl w:val="0"/>
          <w:numId w:val="0"/>
        </w:numPr>
        <w:tabs>
          <w:tab w:val="left" w:pos="540"/>
        </w:tabs>
        <w:adjustRightInd w:val="0"/>
        <w:snapToGrid w:val="0"/>
        <w:spacing w:line="360" w:lineRule="auto"/>
        <w:ind w:leftChars="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color w:val="auto"/>
          <w:highlight w:val="none"/>
          <w:lang w:val="en-US" w:eastAsia="zh-CN"/>
        </w:rPr>
        <w:t xml:space="preserve">    主要内容：</w:t>
      </w:r>
      <w:r>
        <w:rPr>
          <w:rFonts w:hint="eastAsia" w:hAnsi="宋体" w:cs="宋体"/>
          <w:color w:val="auto"/>
          <w:kern w:val="0"/>
          <w:highlight w:val="none"/>
        </w:rPr>
        <w:t>在白石路开设学校车辆入口（北门），铺设沥青道路、安装道闸、监控、升降柱等，并对周边绿化进行整治</w:t>
      </w:r>
      <w:r>
        <w:rPr>
          <w:rFonts w:hint="eastAsia" w:hAnsi="宋体" w:cs="宋体"/>
          <w:color w:val="auto"/>
          <w:kern w:val="0"/>
          <w:highlight w:val="none"/>
          <w:lang w:eastAsia="zh-CN"/>
        </w:rPr>
        <w:t>。</w:t>
      </w:r>
    </w:p>
    <w:p>
      <w:pPr>
        <w:pStyle w:val="6"/>
        <w:numPr>
          <w:ilvl w:val="0"/>
          <w:numId w:val="2"/>
        </w:numPr>
        <w:tabs>
          <w:tab w:val="left" w:pos="540"/>
        </w:tabs>
        <w:adjustRightInd w:val="0"/>
        <w:snapToGrid w:val="0"/>
        <w:spacing w:line="360" w:lineRule="auto"/>
        <w:rPr>
          <w:rFonts w:hAnsi="宋体"/>
          <w:b/>
          <w:color w:val="auto"/>
          <w:highlight w:val="none"/>
        </w:rPr>
      </w:pPr>
      <w:bookmarkStart w:id="23" w:name="_Toc28953521"/>
      <w:r>
        <w:rPr>
          <w:rFonts w:hint="eastAsia" w:hAnsi="宋体"/>
          <w:b/>
          <w:color w:val="auto"/>
          <w:highlight w:val="none"/>
        </w:rPr>
        <w:t>项目管理要求</w:t>
      </w:r>
    </w:p>
    <w:p>
      <w:pPr>
        <w:numPr>
          <w:ilvl w:val="255"/>
          <w:numId w:val="0"/>
        </w:numPr>
        <w:spacing w:line="360" w:lineRule="auto"/>
        <w:ind w:left="420"/>
        <w:rPr>
          <w:rFonts w:ascii="宋体" w:hAnsi="宋体" w:cs="宋体"/>
          <w:bCs/>
          <w:color w:val="auto"/>
          <w:highlight w:val="none"/>
        </w:rPr>
      </w:pPr>
      <w:r>
        <w:rPr>
          <w:rFonts w:hint="eastAsia" w:ascii="宋体" w:hAnsi="宋体" w:cs="宋体"/>
          <w:bCs/>
          <w:color w:val="auto"/>
          <w:highlight w:val="none"/>
        </w:rPr>
        <w:t>1、至少安排1名项目经理驻场施工管理。</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2、中标人必须作好施工记录、隐蔽工程记录、施工资料的整理、竣工资料的编制等工作。</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3、中标人必须在施工现场显眼位置设置正规施工警示牌、工程概况牌，标注“温馨提示”语言。靠近人行通道边（或中标人以为有必要的其他周边）必须用整齐美观的板材围护密封施工。</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中标人施工必须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中标人必须在施工过程中注意自身及周边安全，做好现场及周边安全设施搭设，遵守有关安全保护规程，负责施工过程中的所有事故处理和费用。中标人必须服从采购人的监督、指导并积极主动配合上述管理机构的工作。</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6、中标人施工时须提供材料样板，经采购人最终确认后，方可进场使用，中标人所提供的样板或厂家应符合设计图纸要求及采购人确认要求。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7、用在本工程的任何材料在使用前必须得到采购人的批准，样品须在大批订货前送审。获准的样品存放在工地，作为以后验收材料的标准。样品和其包装，由中标人无偿提供。</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8、中标人在工程施工前，须全面检查工地情况，若发现错误须立刻通知工程师。若未能遵从此规定，使本工程的任何项目因此等错误或缺陷而错误地建造，则中标人须自费予以拆除及重建。</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9、中标人须提供所需的有关资料（包括图纸、样品、产品说明等），向政府部门或公用事业机构申报，若所有须送审的有关资料未能达到有关政府部门的要求而需重新申报的，由此而导致工期延误及所引起的一切费用损失等全部由中标人负责。</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10、实行项目经理负责制，并按投标文件配备项目管理班子。如未经采购人同意更换项目班子成员，采购人有权取消中标人的中标资格或单方面终止合同，由此造成的违约责任由中标人承担。</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11、采购人有权监督中标人关于本项目工程进度组织、工程技术实施、高空作业规范等相关法律法规及技术规范落实，如有不符合技术要求的，有权依据相关法规及规范要求中标人返工直至达到要求。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12、中标人实施本项目施工过程中，需保证所有隐蔽工程在采购人验收并确认后实施。</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13、中标人应严格遵守国家、深圳市有关施工管理方面的法律、法规，服从监理单位的监理和发包方的监督、指导。如由违约，按相关条约从重处罚。在施工过程中发现中标人有违反施工管理方面的法律、法规及规章制度时，将视其情节轻重给</w:t>
      </w:r>
      <w:r>
        <w:rPr>
          <w:rFonts w:hint="eastAsia" w:ascii="宋体" w:hAnsi="宋体" w:cs="宋体"/>
          <w:bCs/>
          <w:color w:val="auto"/>
          <w:highlight w:val="none"/>
          <w:lang w:val="en-US" w:eastAsia="zh-CN"/>
        </w:rPr>
        <w:t>予</w:t>
      </w:r>
      <w:bookmarkStart w:id="225" w:name="_GoBack"/>
      <w:bookmarkEnd w:id="225"/>
      <w:r>
        <w:rPr>
          <w:rFonts w:hint="eastAsia" w:ascii="宋体" w:hAnsi="宋体" w:cs="宋体"/>
          <w:bCs/>
          <w:color w:val="auto"/>
          <w:highlight w:val="none"/>
        </w:rPr>
        <w:t>中标人通报批评、警告、责令停工等违约责任，并有权处于中标人1万元至5万元的罚款。</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14、中标人在工程施工前，须全面检查工地情况，若发现错误须立刻通知监理或采购人代表。若未能遵从此规定，使本工程的任何项目因此等错误或缺陷而错误的建造，则中标人须自费予以拆除及重建。</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15、施工现场定位要求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中标人必须按照设计图纸施工，工程实施过程中不得随意更换施工工艺，若现场实际情况确实需改变原工艺的，须报采购人批准后方可实施。</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16、重要工序签证要求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对于主要工序作业和隐蔽作业，如焊接、切割等，中标人必须按有关规范要求，否则采购人有权要求以各种可行方法重新检验，所发生的一切损失及费用由中标人承担。</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17、停工规定</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在出现下列情况下，采购人有权下达停工令：</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1）施工中出现质量异常情况，经提出后，中标人未采取有效措施，或措施不力未能扭转这种情况；</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2）隐蔽作业未经查验确认合格，而擅自封闭；</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3）已发生质量事故迟迟未按采购人要求进行处理，或者是已发生质量缺陷或事故，如不停工则质量缺陷或事故将继续发展的情况下；</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4）未经采购人审查同意，而擅自变更设计或修改图纸进行施工；</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5）未经技术资质审查的人员或不合格人员进入现场施工；</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6）使用的原材料、构配件不合格或未经检查确认者；或擅自采用未经审查认可的代用材料。</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停工所造成的工期延迟及一切损失由中标人承担。</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18、文明施工保证措施</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（1）中标人施工人员进入施工现场，必须依法依规落实各项法定安全文明施工法定要求，以及遵守采购人各项安全管理规定。</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（2）施工人员着装整齐，并佩带工作卡，严格按照相关操作规程正确使用劳动保护用品，不得赤膊，不得穿短裤、裙子、拖鞋、凉鞋、高跟鞋等。</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（3）施工现场明确划分文明施工管理责任区，坚持“谁施工谁负责”的安全管理原则。</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（4）在施工过程中，做到“工完、料净、场地清”，保障施工区域不留安全隐患，施工现场设置垃圾池或垃圾桶，施工结束清理现场建筑垃圾，保障区域环境卫生。</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（5）施工期间采取必要措施保障消防及交通安全，确保园区道路畅通，禁止在消防通道内堆垛设备或材料及其它物品，禁止堵塞安全通道。</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（6）施工现场所需的工程设备及材料按相关施工规范要求堆放整齐，确保材料堆场牢固，不超宽、超高。</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（7）设置在施工现场的临时电源（包括总电源箱、配电箱、开关箱、插座箱、电线电缆等）布置与管理，由中标人负责，依法依规执行统一规划，禁止随意摆放。</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（8）中标人采取相应措施加强对施工现场待安装或已安装的设备进行成品保护，防止二次污染和丢失、损坏，加强现场施工区域的安全保卫工作。</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（9）严禁在施工现场（包括临时材料仓库）进餐，防止鼠、虫害造成影响。</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（10）噪音控制措施：</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rPr>
        <w:tab/>
      </w:r>
      <w:r>
        <w:rPr>
          <w:rFonts w:hint="eastAsia" w:ascii="宋体" w:hAnsi="宋体" w:cs="宋体"/>
          <w:bCs/>
          <w:color w:val="auto"/>
          <w:highlight w:val="none"/>
        </w:rPr>
        <w:t>中标人落实施工过程中采取相应措施低噪音的工艺和施工方法；</w:t>
      </w:r>
      <w:r>
        <w:rPr>
          <w:rFonts w:hint="eastAsia" w:ascii="宋体" w:hAnsi="宋体" w:cs="宋体"/>
          <w:bCs/>
          <w:color w:val="auto"/>
          <w:highlight w:val="none"/>
        </w:rPr>
        <w:tab/>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highlight w:val="none"/>
        </w:rPr>
        <w:tab/>
      </w:r>
      <w:r>
        <w:rPr>
          <w:rFonts w:hint="eastAsia" w:ascii="宋体" w:hAnsi="宋体" w:cs="宋体"/>
          <w:bCs/>
          <w:color w:val="auto"/>
          <w:highlight w:val="none"/>
        </w:rPr>
        <w:t>施工作业期间产生的噪音分贝超过建筑施工现场的噪音限值时，中标人需在开工前向建设行政主管部门及环保部门申报，取得相关核准文件后施工；</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rPr>
        <w:tab/>
      </w:r>
      <w:r>
        <w:rPr>
          <w:rFonts w:hint="eastAsia" w:ascii="宋体" w:hAnsi="宋体" w:cs="宋体"/>
          <w:bCs/>
          <w:color w:val="auto"/>
          <w:highlight w:val="none"/>
        </w:rPr>
        <w:t>中标人合理安排施工工序，尽量避免在中午和夜间进行产生噪音的施工作业。</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（11）因中标人违反文明施工保证措施，而造成的任何采购人或任一第三方损失的，中标人应承担全部赔偿责任，情节严重的，采购人有权解除合同，并要求中标人支付合同总价款的20%作为违约金。</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19、其他要求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中标人在工程施工中，应严格遵守国家及地方对环境保护的有关规定，有责任采取各种有效措施以预防和消除任何因施工造成的环境污染，并应保证采购人免于承担由于这种污染而产生的一切索赔或罚款，本款发生的各种费用，全部由中标人负责支付。</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（2）中标人应在工程现场周围配备、设置并维护一切必要而合适的标志（或标志牌），以为其雇员和公众提供安全和方便。</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中标人须作好施工人员的安全教育工作，对于工程项目开展过程中发生的一切安全事故，采购人将不承担任何责任；同时，采购人将根据事故性质，对中标人处以相应的处罚；如果由于安全事故造成采购人财产损失，中标人须进行赔偿，赔偿金额将从工程费用中扣除。</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（4）中标人在进行临时工程的设计和施工时应遵照相关规范及专门要求和规定；除非另有协议，永久性工程完工后，中标人应移除和处理全部临时工程并把所有临时工程时占用的区域清理好。</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对于受本工程影响的一切公用设施与结构物，中标人应在本工程施工期间采取一切正当措施加以保护，由于中标人自己的原因造成一些公共设施和公用设施的破坏，须自行负责修复或赔偿，其间所发生的费用，采购人将不作任何补偿。</w:t>
      </w:r>
    </w:p>
    <w:p>
      <w:pPr>
        <w:pStyle w:val="20"/>
        <w:adjustRightInd w:val="0"/>
        <w:snapToGrid w:val="0"/>
        <w:spacing w:line="360" w:lineRule="auto"/>
        <w:rPr>
          <w:rFonts w:hAnsi="宋体"/>
          <w:b/>
          <w:color w:val="auto"/>
          <w:highlight w:val="none"/>
        </w:rPr>
      </w:pPr>
      <w:r>
        <w:rPr>
          <w:rFonts w:hint="eastAsia" w:ascii="宋体" w:hAnsi="宋体" w:cs="宋体"/>
          <w:bCs/>
          <w:color w:val="auto"/>
          <w:highlight w:val="none"/>
        </w:rPr>
        <w:t>（6）中标人在施工过程中应对施工地沿线、交叉或靠近的所有地下各种管线予以保护；在施工范围内如果发现地下不明管线，应及时向采购人报告，向该管线的所有者查清有关位置和现状，并商议是否拆迁或加以保护等。</w:t>
      </w:r>
    </w:p>
    <w:p>
      <w:pPr>
        <w:pStyle w:val="6"/>
        <w:numPr>
          <w:ilvl w:val="0"/>
          <w:numId w:val="2"/>
        </w:numPr>
        <w:tabs>
          <w:tab w:val="left" w:pos="540"/>
        </w:tabs>
        <w:adjustRightInd w:val="0"/>
        <w:snapToGrid w:val="0"/>
        <w:spacing w:line="360" w:lineRule="auto"/>
        <w:rPr>
          <w:rFonts w:hAnsi="宋体"/>
          <w:b/>
          <w:color w:val="auto"/>
          <w:highlight w:val="none"/>
        </w:rPr>
      </w:pPr>
      <w:r>
        <w:rPr>
          <w:rFonts w:hint="eastAsia" w:hAnsi="宋体"/>
          <w:b/>
          <w:color w:val="auto"/>
          <w:highlight w:val="none"/>
        </w:rPr>
        <w:t>项目技术要求：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中标人应勘察现场，出具工程联系单（如有）、工程签证（如有），竣工验收报告，编制结算书，提交施工全过程资料（含图片、录像）等。中标单位不能拒绝执行为完成本项目而需执行的可能遗漏的工作。并根据技术要求与设计图纸一起使用，如技术要求与相关图纸不符合时应以两者中较高要求为准。</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highlight w:val="none"/>
        </w:rPr>
        <w:tab/>
      </w:r>
      <w:r>
        <w:rPr>
          <w:rFonts w:hint="eastAsia" w:ascii="宋体" w:hAnsi="宋体" w:cs="宋体"/>
          <w:bCs/>
          <w:color w:val="auto"/>
          <w:highlight w:val="none"/>
        </w:rPr>
        <w:t>在符合本工程技术要求外，中标人更应符合国家与地方的法律、法规、规范、规程的要求。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rPr>
        <w:tab/>
      </w:r>
      <w:r>
        <w:rPr>
          <w:rFonts w:hint="eastAsia" w:ascii="宋体" w:hAnsi="宋体" w:cs="宋体"/>
          <w:bCs/>
          <w:color w:val="auto"/>
          <w:highlight w:val="none"/>
        </w:rPr>
        <w:t>所用材料的品种、规格和质量须符合设计要求和国家现行标准的规定。严禁使用国家明令淘汰的建筑材料、建筑设备、耗能高的产品及民用建筑挥发性有害物质含量释放量超过国家规定的产品。</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w:t>
      </w:r>
      <w:r>
        <w:rPr>
          <w:rFonts w:hint="eastAsia" w:ascii="宋体" w:hAnsi="宋体" w:cs="宋体"/>
          <w:bCs/>
          <w:color w:val="auto"/>
          <w:highlight w:val="none"/>
        </w:rPr>
        <w:tab/>
      </w:r>
      <w:r>
        <w:rPr>
          <w:rFonts w:hint="eastAsia" w:ascii="宋体" w:hAnsi="宋体" w:cs="宋体"/>
          <w:bCs/>
          <w:color w:val="auto"/>
          <w:highlight w:val="none"/>
        </w:rPr>
        <w:t>当工程量清单项目或设计图纸与招标文件的“技术要求”不一致时，投标人以最高的技术要求为准。</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6.</w:t>
      </w:r>
      <w:r>
        <w:rPr>
          <w:rFonts w:hint="eastAsia" w:ascii="宋体" w:hAnsi="宋体" w:cs="宋体"/>
          <w:bCs/>
          <w:color w:val="auto"/>
          <w:highlight w:val="none"/>
        </w:rPr>
        <w:tab/>
      </w:r>
      <w:r>
        <w:rPr>
          <w:rFonts w:hint="eastAsia" w:ascii="宋体" w:hAnsi="宋体" w:cs="宋体"/>
          <w:bCs/>
          <w:color w:val="auto"/>
          <w:highlight w:val="none"/>
        </w:rPr>
        <w:t>中标人应编制《安全文明施工组织设计》专项方案，该方案应满足国家、地方现行法律法规及合同有关条款的规定并经监理工程师批准后实施。</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7.</w:t>
      </w:r>
      <w:r>
        <w:rPr>
          <w:rFonts w:hint="eastAsia" w:ascii="宋体" w:hAnsi="宋体" w:cs="宋体"/>
          <w:bCs/>
          <w:color w:val="auto"/>
          <w:highlight w:val="none"/>
        </w:rPr>
        <w:tab/>
      </w:r>
      <w:r>
        <w:rPr>
          <w:rFonts w:hint="eastAsia" w:ascii="宋体" w:hAnsi="宋体" w:cs="宋体"/>
          <w:bCs/>
          <w:color w:val="auto"/>
          <w:highlight w:val="none"/>
        </w:rPr>
        <w:t>所有用于本工程的材料的防火等级必须满足设计及防火规范要求。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8.</w:t>
      </w:r>
      <w:r>
        <w:rPr>
          <w:rFonts w:hint="eastAsia" w:ascii="宋体" w:hAnsi="宋体" w:cs="宋体"/>
          <w:bCs/>
          <w:color w:val="auto"/>
          <w:highlight w:val="none"/>
        </w:rPr>
        <w:tab/>
      </w:r>
      <w:r>
        <w:rPr>
          <w:rFonts w:hint="eastAsia" w:ascii="宋体" w:hAnsi="宋体" w:cs="宋体"/>
          <w:bCs/>
          <w:color w:val="auto"/>
          <w:highlight w:val="none"/>
        </w:rPr>
        <w:t>所需用的脚手架、满堂架搭设、支架搭设应符合有关规定要求。</w:t>
      </w:r>
    </w:p>
    <w:p>
      <w:pPr>
        <w:pStyle w:val="20"/>
        <w:adjustRightInd w:val="0"/>
        <w:snapToGrid w:val="0"/>
        <w:spacing w:line="360" w:lineRule="auto"/>
        <w:rPr>
          <w:rFonts w:hAnsi="宋体"/>
          <w:b/>
          <w:color w:val="auto"/>
          <w:highlight w:val="none"/>
        </w:rPr>
      </w:pPr>
      <w:r>
        <w:rPr>
          <w:rFonts w:hint="eastAsia" w:ascii="宋体" w:hAnsi="宋体" w:cs="宋体"/>
          <w:bCs/>
          <w:color w:val="auto"/>
          <w:highlight w:val="none"/>
        </w:rPr>
        <w:t>9.</w:t>
      </w:r>
      <w:r>
        <w:rPr>
          <w:rFonts w:hint="eastAsia" w:ascii="宋体" w:hAnsi="宋体" w:cs="宋体"/>
          <w:bCs/>
          <w:color w:val="auto"/>
          <w:highlight w:val="none"/>
        </w:rPr>
        <w:tab/>
      </w:r>
      <w:r>
        <w:rPr>
          <w:rFonts w:hint="eastAsia" w:ascii="宋体" w:hAnsi="宋体" w:cs="宋体"/>
          <w:bCs/>
          <w:color w:val="auto"/>
          <w:highlight w:val="none"/>
        </w:rPr>
        <w:t>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工程要求达到绿色建筑标准，技术上、施工上必须严格执行相关标准、规范。</w:t>
      </w:r>
    </w:p>
    <w:p>
      <w:pPr>
        <w:pStyle w:val="6"/>
        <w:numPr>
          <w:ilvl w:val="0"/>
          <w:numId w:val="2"/>
        </w:numPr>
        <w:tabs>
          <w:tab w:val="left" w:pos="540"/>
        </w:tabs>
        <w:adjustRightInd w:val="0"/>
        <w:snapToGrid w:val="0"/>
        <w:spacing w:line="360" w:lineRule="auto"/>
        <w:rPr>
          <w:rFonts w:hAnsi="宋体"/>
          <w:b/>
          <w:color w:val="auto"/>
          <w:highlight w:val="none"/>
        </w:rPr>
      </w:pPr>
      <w:r>
        <w:rPr>
          <w:rFonts w:hint="eastAsia" w:hAnsi="宋体"/>
          <w:b/>
          <w:color w:val="auto"/>
          <w:highlight w:val="none"/>
        </w:rPr>
        <w:t>具体技术要求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1、施工时间：工作日早9:00-12:00；下午14:30-18:00；为避免对小区环境造成影响，噪音较大的工作及运送垃圾时间应安排至下午14:30-18:00实施。</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2、不提供人员住宿和餐食，且施工现场不能留有人员住宿。</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3、产生的建筑垃圾需及时清理（日清日洁），小区范围内不提供建筑垃圾堆放和暂存点。</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4、现场施工，中标人务必自行做好有关疫情及其他转染疾病的防护工作，包括但不限于每日体温测量和登记、佩戴医用口罩等。</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5、进场施工前完成小区内相关备案手续，提供进场施工前所有入场施工人员的有效且正常的核酸检测结果，核酸检测结果有效期为7天。</w:t>
      </w:r>
    </w:p>
    <w:p>
      <w:pPr>
        <w:pStyle w:val="20"/>
        <w:adjustRightInd w:val="0"/>
        <w:snapToGrid w:val="0"/>
        <w:spacing w:line="360" w:lineRule="auto"/>
        <w:rPr>
          <w:rFonts w:hAnsi="宋体"/>
          <w:b/>
          <w:color w:val="auto"/>
          <w:highlight w:val="none"/>
        </w:rPr>
      </w:pPr>
      <w:r>
        <w:rPr>
          <w:rFonts w:hint="eastAsia" w:ascii="宋体" w:hAnsi="宋体" w:cs="宋体"/>
          <w:bCs/>
          <w:color w:val="auto"/>
          <w:highlight w:val="none"/>
        </w:rPr>
        <w:t>6、因工作需要需涉及楼上、楼下施工或勘查的工作，必须进行事前沟通，按沟通后的确定时间和内容进行施工。尽量避免和减少对小区日常工作的影响。</w:t>
      </w:r>
    </w:p>
    <w:p>
      <w:pPr>
        <w:pStyle w:val="6"/>
        <w:numPr>
          <w:ilvl w:val="0"/>
          <w:numId w:val="2"/>
        </w:numPr>
        <w:tabs>
          <w:tab w:val="left" w:pos="540"/>
        </w:tabs>
        <w:adjustRightInd w:val="0"/>
        <w:snapToGrid w:val="0"/>
        <w:spacing w:line="360" w:lineRule="auto"/>
        <w:rPr>
          <w:rFonts w:hAnsi="宋体"/>
          <w:b/>
          <w:color w:val="auto"/>
          <w:highlight w:val="none"/>
        </w:rPr>
      </w:pPr>
      <w:r>
        <w:rPr>
          <w:rFonts w:hint="eastAsia" w:hAnsi="宋体"/>
          <w:b/>
          <w:color w:val="auto"/>
          <w:highlight w:val="none"/>
        </w:rPr>
        <w:t>商务要求：</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1、免费保修期：</w:t>
      </w:r>
      <w:r>
        <w:rPr>
          <w:rFonts w:hint="eastAsia" w:ascii="宋体" w:hAnsi="宋体" w:cs="宋体"/>
          <w:b/>
          <w:color w:val="auto"/>
          <w:highlight w:val="none"/>
        </w:rPr>
        <w:t>本项目免费保修期 贰 年，时间自最终验收合格并交付使用之日起计算。在保修期内，一旦发生质量问题，中标人保证在接到通知24小时内赶到现场进行修理或更换。</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2、响应时间：中标人承诺保修期内接到采购人通知（电话或书面）30分钟内响应，8小时内到达指定现场，24小时内排除故障。</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关于验收：中标人已按照合同规定完成项目的全部工程量。中标人经过双方检验认可后，签署验收报告，产品保修期自验收合格之日起算，由投标人提供产品保修文件。采购人有权要求第三方对质量进行全程质量监控，服务内容包括生产过程监督抽样及检测工作、出具质量验收报告（CMA）等2项内容，抽样或监测不合格的，费用由中标人承担。因检测导致设备不能再使用的，由中标人免费增补。</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质量保障：项目履约期间，采购人有权邀请第三方检测机构，并要求中标人提供的本项目全部或部分设备，依据招标文件逐一测试验证。检测结果如与投标文件不符，则按照深圳市相关政策条例，上报财政局严肃处理。</w:t>
      </w:r>
    </w:p>
    <w:p>
      <w:pPr>
        <w:pStyle w:val="20"/>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5、违约责任：逾期不能完成项目，从合同约定交货期结束日的次日起，中标人每日按照合同签订总价的1‰向采购人支付违约金。</w:t>
      </w:r>
    </w:p>
    <w:p>
      <w:pPr>
        <w:pStyle w:val="20"/>
        <w:adjustRightInd w:val="0"/>
        <w:snapToGrid w:val="0"/>
        <w:spacing w:line="360" w:lineRule="auto"/>
        <w:ind w:firstLine="422"/>
        <w:rPr>
          <w:rFonts w:ascii="宋体" w:hAnsi="宋体" w:cs="宋体"/>
          <w:b/>
          <w:color w:val="auto"/>
          <w:highlight w:val="none"/>
        </w:rPr>
      </w:pPr>
      <w:r>
        <w:rPr>
          <w:rFonts w:hint="eastAsia" w:ascii="宋体" w:hAnsi="宋体" w:cs="宋体"/>
          <w:b/>
          <w:color w:val="auto"/>
          <w:highlight w:val="none"/>
        </w:rPr>
        <w:t>6.项目工期：自合同签订之日起60天；</w:t>
      </w:r>
    </w:p>
    <w:p>
      <w:pPr>
        <w:pStyle w:val="20"/>
        <w:adjustRightInd w:val="0"/>
        <w:snapToGrid w:val="0"/>
        <w:spacing w:line="360" w:lineRule="auto"/>
        <w:ind w:firstLine="422"/>
        <w:rPr>
          <w:rFonts w:ascii="宋体" w:hAnsi="宋体" w:cs="宋体"/>
          <w:b/>
          <w:color w:val="auto"/>
          <w:highlight w:val="none"/>
        </w:rPr>
      </w:pPr>
      <w:r>
        <w:rPr>
          <w:rFonts w:hint="eastAsia" w:ascii="宋体" w:hAnsi="宋体" w:cs="宋体"/>
          <w:b/>
          <w:color w:val="auto"/>
          <w:highlight w:val="none"/>
        </w:rPr>
        <w:t>7.实施地点：采购人指定地点。</w:t>
      </w:r>
    </w:p>
    <w:p>
      <w:pPr>
        <w:pStyle w:val="20"/>
        <w:adjustRightInd w:val="0"/>
        <w:snapToGrid w:val="0"/>
        <w:spacing w:line="360" w:lineRule="auto"/>
        <w:rPr>
          <w:rFonts w:ascii="宋体" w:hAnsi="宋体" w:cs="宋体"/>
          <w:b/>
          <w:color w:val="auto"/>
          <w:highlight w:val="none"/>
        </w:rPr>
      </w:pPr>
      <w:r>
        <w:rPr>
          <w:rFonts w:hint="eastAsia" w:ascii="宋体" w:hAnsi="宋体" w:cs="宋体"/>
          <w:bCs/>
          <w:color w:val="auto"/>
          <w:highlight w:val="none"/>
        </w:rPr>
        <w:t>8、</w:t>
      </w:r>
      <w:r>
        <w:rPr>
          <w:rFonts w:hint="eastAsia" w:ascii="宋体" w:hAnsi="宋体" w:cs="宋体"/>
          <w:b/>
          <w:color w:val="auto"/>
          <w:highlight w:val="none"/>
        </w:rPr>
        <w:t>付款方式：合同结算方式：合同签订后</w:t>
      </w:r>
      <w:r>
        <w:rPr>
          <w:rFonts w:ascii="宋体" w:hAnsi="宋体" w:cs="宋体"/>
          <w:b/>
          <w:color w:val="auto"/>
          <w:highlight w:val="none"/>
        </w:rPr>
        <w:t>15</w:t>
      </w:r>
      <w:r>
        <w:rPr>
          <w:rFonts w:hint="eastAsia" w:ascii="宋体" w:hAnsi="宋体" w:cs="宋体"/>
          <w:b/>
          <w:color w:val="auto"/>
          <w:highlight w:val="none"/>
        </w:rPr>
        <w:t>日内预付30%，工程量完成80%时，支付至合同价的60%；竣工验收合格后支付到合同价的80%，经政府部门确认的造价部门审定或决算审计后支付到审定结算价的97%，保修期满后按相关规定支付余额。</w:t>
      </w:r>
    </w:p>
    <w:p>
      <w:pPr>
        <w:pStyle w:val="6"/>
        <w:numPr>
          <w:ilvl w:val="0"/>
          <w:numId w:val="2"/>
        </w:numPr>
        <w:tabs>
          <w:tab w:val="left" w:pos="540"/>
        </w:tabs>
        <w:adjustRightInd w:val="0"/>
        <w:snapToGrid w:val="0"/>
        <w:spacing w:line="360" w:lineRule="auto"/>
        <w:rPr>
          <w:rFonts w:hAnsi="宋体"/>
          <w:b/>
          <w:color w:val="auto"/>
          <w:highlight w:val="none"/>
        </w:rPr>
      </w:pPr>
      <w:r>
        <w:rPr>
          <w:rFonts w:hint="eastAsia" w:hAnsi="宋体"/>
          <w:b/>
          <w:color w:val="auto"/>
          <w:highlight w:val="none"/>
        </w:rPr>
        <w:t>其他</w:t>
      </w:r>
    </w:p>
    <w:p>
      <w:pPr>
        <w:spacing w:line="360" w:lineRule="auto"/>
        <w:ind w:firstLine="480"/>
        <w:rPr>
          <w:rFonts w:ascii="宋体" w:hAns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lang w:val="zh-CN"/>
        </w:rPr>
        <w:t>、采购人委托中标人办理的保险事项：建设工程一切险和第三者责任险，所需的保险费应包含在投标价中，施工中若发生安全事故，一切责任及费用由中标人负责。</w:t>
      </w:r>
    </w:p>
    <w:p>
      <w:pPr>
        <w:spacing w:line="360" w:lineRule="auto"/>
        <w:ind w:firstLine="480"/>
        <w:rPr>
          <w:rFonts w:ascii="宋体" w:hAns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lang w:val="zh-CN"/>
        </w:rPr>
        <w:t>、工程完工后，中标人应恢复修建前的原有状态（工程量按实计算），并使监理工程师和采购人满意，满足政府管理部门的规定和要求。</w:t>
      </w:r>
    </w:p>
    <w:p>
      <w:pPr>
        <w:spacing w:line="360" w:lineRule="auto"/>
        <w:ind w:firstLine="480"/>
        <w:rPr>
          <w:rFonts w:ascii="宋体" w:hAns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zh-CN"/>
        </w:rPr>
        <w:t>、如本工程涉及取土和弃土项目，地点、时间、路线中标人应取得国土、城管部门的同意，不得由此带给采购人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pPr>
        <w:pStyle w:val="6"/>
        <w:tabs>
          <w:tab w:val="left" w:pos="540"/>
        </w:tabs>
        <w:adjustRightInd w:val="0"/>
        <w:snapToGrid w:val="0"/>
        <w:spacing w:line="360" w:lineRule="auto"/>
        <w:ind w:firstLine="420" w:firstLineChars="200"/>
        <w:rPr>
          <w:rFonts w:hAnsi="宋体" w:eastAsia="宋体" w:cs="宋体"/>
          <w:b/>
          <w:color w:val="auto"/>
          <w:highlight w:val="none"/>
        </w:rPr>
      </w:pPr>
      <w:r>
        <w:rPr>
          <w:rFonts w:hAnsi="宋体" w:eastAsia="宋体" w:cs="宋体"/>
          <w:color w:val="auto"/>
          <w:highlight w:val="none"/>
          <w:lang w:val="zh-CN"/>
        </w:rPr>
        <w:t>4</w:t>
      </w:r>
      <w:r>
        <w:rPr>
          <w:rFonts w:hint="eastAsia" w:hAnsi="宋体" w:eastAsia="宋体" w:cs="宋体"/>
          <w:color w:val="auto"/>
          <w:highlight w:val="none"/>
          <w:lang w:val="zh-CN"/>
        </w:rPr>
        <w:t>、一切与施工相关的检验实验费（政府有关部门规定由建设单位支付的检验实验费除外）已含在投标价中。</w:t>
      </w:r>
    </w:p>
    <w:p>
      <w:pPr>
        <w:spacing w:line="360" w:lineRule="auto"/>
        <w:ind w:left="420"/>
        <w:rPr>
          <w:rFonts w:cs="宋体" w:asciiTheme="minorEastAsia" w:hAnsiTheme="minorEastAsia" w:eastAsiaTheme="minorEastAsia"/>
          <w:color w:val="auto"/>
          <w:szCs w:val="21"/>
          <w:highlight w:val="none"/>
        </w:rPr>
      </w:pPr>
    </w:p>
    <w:bookmarkEnd w:id="23"/>
    <w:p>
      <w:pPr>
        <w:rPr>
          <w:b/>
          <w:bCs/>
          <w:color w:val="auto"/>
          <w:sz w:val="28"/>
          <w:szCs w:val="28"/>
          <w:highlight w:val="none"/>
        </w:rPr>
      </w:pPr>
      <w:r>
        <w:rPr>
          <w:rFonts w:hint="eastAsia"/>
          <w:b/>
          <w:bCs/>
          <w:color w:val="auto"/>
          <w:sz w:val="28"/>
          <w:szCs w:val="28"/>
          <w:highlight w:val="none"/>
        </w:rPr>
        <w:br w:type="page"/>
      </w:r>
    </w:p>
    <w:p>
      <w:pPr>
        <w:pStyle w:val="2"/>
        <w:jc w:val="center"/>
        <w:rPr>
          <w:rFonts w:asciiTheme="majorEastAsia" w:hAnsiTheme="majorEastAsia" w:eastAsiaTheme="majorEastAsia" w:cstheme="majorEastAsia"/>
          <w:color w:val="auto"/>
          <w:sz w:val="32"/>
          <w:szCs w:val="32"/>
          <w:highlight w:val="none"/>
        </w:rPr>
      </w:pPr>
      <w:bookmarkStart w:id="24" w:name="_Toc7253"/>
      <w:bookmarkStart w:id="25" w:name="_Toc4019"/>
      <w:bookmarkStart w:id="26" w:name="_Toc77947873"/>
      <w:bookmarkStart w:id="27" w:name="_Toc5667_WPSOffice_Level1"/>
      <w:r>
        <w:rPr>
          <w:rFonts w:hint="eastAsia" w:asciiTheme="majorEastAsia" w:hAnsiTheme="majorEastAsia" w:eastAsiaTheme="majorEastAsia" w:cstheme="majorEastAsia"/>
          <w:color w:val="auto"/>
          <w:sz w:val="32"/>
          <w:szCs w:val="32"/>
          <w:highlight w:val="none"/>
        </w:rPr>
        <w:t>第四章 评标、定标</w:t>
      </w:r>
      <w:bookmarkEnd w:id="17"/>
      <w:bookmarkEnd w:id="24"/>
      <w:bookmarkEnd w:id="25"/>
      <w:bookmarkEnd w:id="26"/>
      <w:bookmarkEnd w:id="27"/>
      <w:bookmarkStart w:id="28" w:name="_Toc435514846"/>
    </w:p>
    <w:p>
      <w:pPr>
        <w:pStyle w:val="3"/>
        <w:numPr>
          <w:ilvl w:val="0"/>
          <w:numId w:val="3"/>
        </w:numPr>
        <w:spacing w:line="240" w:lineRule="auto"/>
        <w:jc w:val="center"/>
        <w:rPr>
          <w:rFonts w:asciiTheme="majorEastAsia" w:hAnsiTheme="majorEastAsia" w:eastAsiaTheme="majorEastAsia"/>
          <w:color w:val="auto"/>
          <w:sz w:val="30"/>
          <w:szCs w:val="30"/>
          <w:highlight w:val="none"/>
        </w:rPr>
      </w:pPr>
      <w:bookmarkStart w:id="29" w:name="_Toc77947874"/>
      <w:bookmarkStart w:id="30" w:name="_Toc15209"/>
      <w:r>
        <w:rPr>
          <w:rFonts w:hint="eastAsia" w:asciiTheme="majorEastAsia" w:hAnsiTheme="majorEastAsia" w:eastAsiaTheme="majorEastAsia"/>
          <w:color w:val="auto"/>
          <w:sz w:val="30"/>
          <w:szCs w:val="30"/>
          <w:highlight w:val="none"/>
        </w:rPr>
        <w:t>资格性审查表</w:t>
      </w:r>
      <w:bookmarkEnd w:id="29"/>
      <w:bookmarkEnd w:id="30"/>
    </w:p>
    <w:tbl>
      <w:tblPr>
        <w:tblStyle w:val="11"/>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7499"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具备招标文件中规定资格要求的及资格证明文件齐全；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投标人资格声明函已提交并符合招标文件要求的；</w:t>
            </w:r>
          </w:p>
        </w:tc>
      </w:tr>
    </w:tbl>
    <w:p>
      <w:pPr>
        <w:adjustRightInd w:val="0"/>
        <w:snapToGrid w:val="0"/>
        <w:spacing w:line="360" w:lineRule="auto"/>
        <w:jc w:val="left"/>
        <w:outlineLvl w:val="2"/>
        <w:rPr>
          <w:rFonts w:ascii="宋体" w:hAnsi="宋体"/>
          <w:color w:val="auto"/>
          <w:highlight w:val="none"/>
        </w:rPr>
      </w:pPr>
      <w:bookmarkStart w:id="31" w:name="_Toc15975"/>
      <w:r>
        <w:rPr>
          <w:rFonts w:hint="eastAsia" w:ascii="宋体" w:hAnsi="宋体" w:cs="宋体"/>
          <w:color w:val="auto"/>
          <w:highlight w:val="none"/>
        </w:rPr>
        <w:t>说明：</w:t>
      </w:r>
      <w:r>
        <w:rPr>
          <w:rFonts w:hint="eastAsia" w:ascii="宋体" w:hAnsi="宋体"/>
          <w:color w:val="auto"/>
          <w:highlight w:val="none"/>
        </w:rPr>
        <w:t>投标人必须严格按照《资格性审查表》的评审内容的要求如实提供证明材料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bookmarkEnd w:id="31"/>
    </w:p>
    <w:p>
      <w:pPr>
        <w:rPr>
          <w:color w:val="auto"/>
          <w:highlight w:val="none"/>
        </w:rPr>
      </w:pPr>
    </w:p>
    <w:p>
      <w:pPr>
        <w:pStyle w:val="3"/>
        <w:numPr>
          <w:ilvl w:val="0"/>
          <w:numId w:val="3"/>
        </w:numPr>
        <w:spacing w:line="240" w:lineRule="auto"/>
        <w:jc w:val="center"/>
        <w:rPr>
          <w:rFonts w:asciiTheme="majorEastAsia" w:hAnsiTheme="majorEastAsia" w:eastAsiaTheme="majorEastAsia"/>
          <w:color w:val="auto"/>
          <w:sz w:val="30"/>
          <w:szCs w:val="30"/>
          <w:highlight w:val="none"/>
        </w:rPr>
      </w:pPr>
      <w:bookmarkStart w:id="32" w:name="_Toc13229"/>
      <w:bookmarkStart w:id="33" w:name="_Toc77947875"/>
      <w:r>
        <w:rPr>
          <w:rFonts w:hint="eastAsia" w:asciiTheme="majorEastAsia" w:hAnsiTheme="majorEastAsia" w:eastAsiaTheme="majorEastAsia"/>
          <w:color w:val="auto"/>
          <w:sz w:val="30"/>
          <w:szCs w:val="30"/>
          <w:highlight w:val="none"/>
        </w:rPr>
        <w:t>符合性审查表</w:t>
      </w:r>
      <w:bookmarkEnd w:id="32"/>
      <w:bookmarkEnd w:id="33"/>
    </w:p>
    <w:tbl>
      <w:tblPr>
        <w:tblStyle w:val="11"/>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7499"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投标函已提交并符合招标文件要求的，且</w:t>
            </w:r>
            <w:r>
              <w:rPr>
                <w:rFonts w:hint="eastAsia" w:ascii="宋体" w:hAnsi="宋体"/>
                <w:color w:val="auto"/>
                <w:szCs w:val="21"/>
                <w:highlight w:val="none"/>
              </w:rPr>
              <w:t>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bCs/>
                <w:color w:val="auto"/>
                <w:szCs w:val="20"/>
                <w:highlight w:val="none"/>
              </w:rPr>
              <w:t>投标人按招标文件要求提供本国产品\服务</w:t>
            </w:r>
            <w:r>
              <w:rPr>
                <w:rStyle w:val="16"/>
                <w:rFonts w:hint="eastAsia" w:asciiTheme="minorHAnsi" w:hAnsiTheme="minorHAnsi" w:eastAsiaTheme="minorEastAsia" w:cstheme="minorBid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hAnsi="宋体" w:cs="宋体"/>
                <w:color w:val="auto"/>
                <w:highlight w:val="none"/>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hAnsi="宋体" w:cs="宋体"/>
                <w:color w:val="auto"/>
                <w:highlight w:val="none"/>
              </w:rPr>
              <w:t>按有关法律、法规、规章不属于投标无效的。</w:t>
            </w:r>
          </w:p>
        </w:tc>
      </w:tr>
    </w:tbl>
    <w:p>
      <w:pPr>
        <w:tabs>
          <w:tab w:val="left" w:pos="420"/>
          <w:tab w:val="left" w:pos="630"/>
        </w:tabs>
        <w:autoSpaceDE w:val="0"/>
        <w:autoSpaceDN w:val="0"/>
        <w:adjustRightInd w:val="0"/>
        <w:spacing w:line="360" w:lineRule="auto"/>
        <w:rPr>
          <w:b/>
          <w:bCs/>
          <w:color w:val="auto"/>
          <w:sz w:val="28"/>
          <w:szCs w:val="28"/>
          <w:highlight w:val="none"/>
        </w:rPr>
      </w:pPr>
      <w:r>
        <w:rPr>
          <w:rFonts w:hint="eastAsia" w:ascii="宋体" w:hAnsi="宋体"/>
          <w:color w:val="auto"/>
          <w:szCs w:val="21"/>
          <w:highlight w:val="none"/>
        </w:rPr>
        <w:t>说明：</w:t>
      </w:r>
      <w:r>
        <w:rPr>
          <w:rFonts w:hint="eastAsia" w:ascii="宋体" w:hAnsi="宋体"/>
          <w:color w:val="auto"/>
          <w:highlight w:val="none"/>
        </w:rPr>
        <w:t>投标人必须严格按照《符合性审查表》的评审内容的要求如实提供证明材料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p>
    <w:p>
      <w:pPr>
        <w:pStyle w:val="3"/>
        <w:numPr>
          <w:ilvl w:val="0"/>
          <w:numId w:val="3"/>
        </w:numPr>
        <w:spacing w:line="240" w:lineRule="auto"/>
        <w:jc w:val="center"/>
        <w:rPr>
          <w:rFonts w:ascii="黑体" w:hAnsi="宋体" w:cs="宋体"/>
          <w:color w:val="auto"/>
          <w:sz w:val="28"/>
          <w:szCs w:val="28"/>
          <w:highlight w:val="none"/>
        </w:rPr>
      </w:pPr>
      <w:r>
        <w:rPr>
          <w:rFonts w:ascii="黑体" w:hAnsi="宋体" w:cs="宋体"/>
          <w:color w:val="auto"/>
          <w:sz w:val="28"/>
          <w:szCs w:val="28"/>
          <w:highlight w:val="none"/>
        </w:rPr>
        <w:br w:type="page"/>
      </w:r>
      <w:bookmarkStart w:id="34" w:name="_Toc77947876"/>
      <w:r>
        <w:rPr>
          <w:rFonts w:hint="eastAsia" w:asciiTheme="majorEastAsia" w:hAnsiTheme="majorEastAsia" w:eastAsiaTheme="majorEastAsia"/>
          <w:color w:val="auto"/>
          <w:sz w:val="30"/>
          <w:szCs w:val="30"/>
          <w:highlight w:val="none"/>
        </w:rPr>
        <w:t>综合评分表</w:t>
      </w:r>
      <w:bookmarkEnd w:id="34"/>
    </w:p>
    <w:tbl>
      <w:tblPr>
        <w:tblStyle w:val="11"/>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评审部分</w:t>
            </w:r>
          </w:p>
        </w:tc>
        <w:tc>
          <w:tcPr>
            <w:tcW w:w="1355"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评审因素</w:t>
            </w:r>
          </w:p>
        </w:tc>
        <w:tc>
          <w:tcPr>
            <w:tcW w:w="5635"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评分细则</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权重</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一</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技术部分（</w:t>
            </w:r>
            <w:r>
              <w:rPr>
                <w:rFonts w:asciiTheme="minorEastAsia" w:hAnsiTheme="minorEastAsia" w:eastAsiaTheme="minorEastAsia"/>
                <w:b/>
                <w:color w:val="auto"/>
                <w:szCs w:val="21"/>
                <w:highlight w:val="none"/>
              </w:rPr>
              <w:t>75</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18"/>
              <w:numPr>
                <w:ilvl w:val="0"/>
                <w:numId w:val="6"/>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bookmarkStart w:id="35" w:name="_Hlk111025758"/>
            <w:r>
              <w:rPr>
                <w:rFonts w:hint="eastAsia" w:asciiTheme="minorEastAsia" w:hAnsiTheme="minorEastAsia" w:eastAsiaTheme="minorEastAsia"/>
                <w:color w:val="auto"/>
                <w:szCs w:val="21"/>
                <w:highlight w:val="none"/>
              </w:rPr>
              <w:t>项目总体概述及理解</w:t>
            </w:r>
            <w:bookmarkEnd w:id="35"/>
          </w:p>
        </w:tc>
        <w:tc>
          <w:tcPr>
            <w:tcW w:w="5635" w:type="dxa"/>
            <w:vAlign w:val="center"/>
          </w:tcPr>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（1）项目总体概述及理解内容全面；</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（2）项目总体概述及理解内容具体，表达清晰、完整、严谨；</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（3）项目总体概述及理解内容针对性强；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（4）项目总体概述及理解内容先进，科学合理；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（5）项目总体概述及理解内容可操作性强；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满足以上五项要求得</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分，满足以上四项要求得</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分，满足以上三项要求得</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分，满足以上两项要求</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分，满足以上一项要求得</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18"/>
              <w:numPr>
                <w:ilvl w:val="0"/>
                <w:numId w:val="6"/>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bookmarkStart w:id="36" w:name="_Hlk111025774"/>
            <w:r>
              <w:rPr>
                <w:rFonts w:hint="eastAsia" w:asciiTheme="minorEastAsia" w:hAnsiTheme="minorEastAsia" w:eastAsiaTheme="minorEastAsia"/>
                <w:color w:val="auto"/>
                <w:szCs w:val="21"/>
                <w:highlight w:val="none"/>
              </w:rPr>
              <w:t>施工组织计划、施工技术、施工工艺及相关的合理化建议</w:t>
            </w:r>
            <w:bookmarkEnd w:id="36"/>
          </w:p>
        </w:tc>
        <w:tc>
          <w:tcPr>
            <w:tcW w:w="5635" w:type="dxa"/>
            <w:vAlign w:val="center"/>
          </w:tcPr>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内容全面；</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内容具体，表达清晰、完整、严谨；</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内容针对性强；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内容先进，科学合理；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内容可操作性强；</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满足以上五项要求得20分，满足以上四项要求得15分，满足以上三项要求得10分，满足以上两项要求5分，满足以上一项要求得2分，其它情况不得分。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20</w:t>
            </w:r>
            <w:r>
              <w:rPr>
                <w:rFonts w:cs="宋体" w:asciiTheme="minorEastAsia" w:hAnsiTheme="minorEastAsia" w:eastAsiaTheme="minorEastAsia"/>
                <w:color w:val="auto"/>
                <w:szCs w:val="21"/>
                <w:highlight w:val="none"/>
              </w:rPr>
              <w:t>%</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680" w:type="dxa"/>
            <w:tcBorders>
              <w:top w:val="single" w:color="auto" w:sz="4" w:space="0"/>
              <w:bottom w:val="single" w:color="auto" w:sz="4" w:space="0"/>
            </w:tcBorders>
            <w:vAlign w:val="center"/>
          </w:tcPr>
          <w:p>
            <w:pPr>
              <w:pStyle w:val="18"/>
              <w:numPr>
                <w:ilvl w:val="0"/>
                <w:numId w:val="6"/>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bookmarkStart w:id="37" w:name="_Hlk111025788"/>
            <w:r>
              <w:rPr>
                <w:rFonts w:hint="eastAsia" w:asciiTheme="minorEastAsia" w:hAnsiTheme="minorEastAsia" w:eastAsiaTheme="minorEastAsia"/>
                <w:color w:val="auto"/>
                <w:szCs w:val="21"/>
                <w:highlight w:val="none"/>
              </w:rPr>
              <w:t>项目实施关键施工技术（重点难点）分析及解决方案</w:t>
            </w:r>
            <w:bookmarkEnd w:id="37"/>
          </w:p>
        </w:tc>
        <w:tc>
          <w:tcPr>
            <w:tcW w:w="5635" w:type="dxa"/>
            <w:vAlign w:val="center"/>
          </w:tcPr>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内容全面；</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内容具体，表达清晰、完整、严谨；</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内容针对性强；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内容先进，科学合理；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内容可操作性强；</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满足以上五项要求得25分，满足以上四项要求得20分，满足以上三项要求得15分，满足以上两项要求10分，满足以上一项要求得5分，其它情况不得分。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5%</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18"/>
              <w:numPr>
                <w:ilvl w:val="0"/>
                <w:numId w:val="6"/>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bookmarkStart w:id="38" w:name="_Hlk111025800"/>
            <w:r>
              <w:rPr>
                <w:rFonts w:hint="eastAsia" w:asciiTheme="minorEastAsia" w:hAnsiTheme="minorEastAsia" w:eastAsiaTheme="minorEastAsia"/>
                <w:color w:val="auto"/>
                <w:szCs w:val="21"/>
                <w:highlight w:val="none"/>
              </w:rPr>
              <w:t>施工质量（安全、环保、工期、售后服务）保障措施及相关的违约承诺</w:t>
            </w:r>
            <w:bookmarkEnd w:id="38"/>
          </w:p>
        </w:tc>
        <w:tc>
          <w:tcPr>
            <w:tcW w:w="5635" w:type="dxa"/>
            <w:vAlign w:val="center"/>
          </w:tcPr>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内容全面；</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内容具体，表达清晰、完整、严谨；</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内容针对性强；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内容先进，科学合理；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内容可操作性强；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满足以上五项要求得</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分，满足以上四项要求得</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分，满足以上三项要求得</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分，满足以上两项要求</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分，满足以上一项要求得</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二</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商务部分</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18"/>
              <w:numPr>
                <w:ilvl w:val="0"/>
                <w:numId w:val="7"/>
              </w:numPr>
              <w:ind w:firstLineChars="0"/>
              <w:jc w:val="center"/>
              <w:rPr>
                <w:rFonts w:asciiTheme="minorEastAsia" w:hAnsiTheme="minorEastAsia" w:eastAsiaTheme="minorEastAsia"/>
                <w:color w:val="auto"/>
                <w:szCs w:val="21"/>
                <w:highlight w:val="none"/>
              </w:rPr>
            </w:pPr>
          </w:p>
        </w:tc>
        <w:tc>
          <w:tcPr>
            <w:tcW w:w="1355" w:type="dxa"/>
            <w:tcBorders>
              <w:top w:val="single" w:color="000000" w:sz="8" w:space="0"/>
              <w:left w:val="single" w:color="000000" w:sz="8" w:space="0"/>
              <w:bottom w:val="single" w:color="000000" w:sz="8" w:space="0"/>
              <w:right w:val="single" w:color="000000" w:sz="8" w:space="0"/>
            </w:tcBorders>
            <w:vAlign w:val="center"/>
          </w:tcPr>
          <w:p>
            <w:pPr>
              <w:ind w:left="-63" w:leftChars="-30" w:right="-88" w:rightChars="-42"/>
              <w:jc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2018年至投标截止日前项目业绩</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投标人在2018年至投标截止日前（以合同签订时间为准）签订的同类项目：每有一个得2分，本项满分8分。 </w:t>
            </w:r>
          </w:p>
          <w:p>
            <w:pPr>
              <w:ind w:left="-63" w:leftChars="-30" w:right="-88" w:rightChars="-42"/>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（提供合同或中标通知书等证明材料复印件，否则不计分）</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18"/>
              <w:numPr>
                <w:ilvl w:val="0"/>
                <w:numId w:val="7"/>
              </w:numPr>
              <w:ind w:firstLineChars="0"/>
              <w:jc w:val="center"/>
              <w:rPr>
                <w:rFonts w:asciiTheme="minorEastAsia" w:hAnsiTheme="minorEastAsia" w:eastAsiaTheme="minorEastAsia"/>
                <w:color w:val="auto"/>
                <w:szCs w:val="21"/>
                <w:highlight w:val="none"/>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企业基本情况</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质量管理体系认证、环境管理体系认证、职业健康安全管理体系认证，</w:t>
            </w:r>
            <w:r>
              <w:rPr>
                <w:rFonts w:hint="eastAsia" w:asciiTheme="minorEastAsia" w:hAnsiTheme="minorEastAsia" w:eastAsiaTheme="minorEastAsia"/>
                <w:color w:val="auto"/>
                <w:szCs w:val="21"/>
                <w:highlight w:val="none"/>
              </w:rPr>
              <w:t>每提供1个得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分，满分</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r>
              <w:rPr>
                <w:rFonts w:asciiTheme="minorEastAsia" w:hAnsiTheme="minorEastAsia" w:eastAsiaTheme="minorEastAsia"/>
                <w:color w:val="auto"/>
                <w:szCs w:val="21"/>
                <w:highlight w:val="none"/>
              </w:rPr>
              <w:t xml:space="preserve">。 </w:t>
            </w:r>
          </w:p>
          <w:p>
            <w:pPr>
              <w:ind w:left="-78" w:leftChars="-37" w:right="-73" w:rightChars="-35"/>
              <w:jc w:val="left"/>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注：投标文件提供有效并通过年审合格（如有）的相关证书及国家认证认可监督管理委员会官方网站（www.cnca.gov.cn）或相关网站查询截图复印件。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18"/>
              <w:numPr>
                <w:ilvl w:val="0"/>
                <w:numId w:val="7"/>
              </w:numPr>
              <w:ind w:firstLineChars="0"/>
              <w:jc w:val="center"/>
              <w:rPr>
                <w:rFonts w:asciiTheme="minorEastAsia" w:hAnsiTheme="minorEastAsia" w:eastAsiaTheme="minorEastAsia"/>
                <w:color w:val="auto"/>
                <w:szCs w:val="21"/>
                <w:highlight w:val="none"/>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项目团队实力</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（1）项目负责人具有有效的二级或以上注册建造师资格证书及有效的安全生产考核合格证（B类）； </w:t>
            </w:r>
          </w:p>
          <w:p>
            <w:pPr>
              <w:wordWrap w:val="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（2）本项目需配备施工员</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安全员。 </w:t>
            </w:r>
          </w:p>
          <w:p>
            <w:pPr>
              <w:wordWrap w:val="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符合要求的项目负责人得3分，其他人员每个得1分，最</w:t>
            </w:r>
            <w:r>
              <w:rPr>
                <w:rFonts w:hint="eastAsia" w:asciiTheme="minorEastAsia" w:hAnsiTheme="minorEastAsia" w:eastAsiaTheme="minorEastAsia"/>
                <w:color w:val="auto"/>
                <w:szCs w:val="21"/>
                <w:highlight w:val="none"/>
              </w:rPr>
              <w:t>高</w:t>
            </w:r>
            <w:r>
              <w:rPr>
                <w:rFonts w:asciiTheme="minorEastAsia" w:hAnsiTheme="minorEastAsia" w:eastAsiaTheme="minorEastAsia"/>
                <w:color w:val="auto"/>
                <w:szCs w:val="21"/>
                <w:highlight w:val="none"/>
              </w:rPr>
              <w:t xml:space="preserve">6分。 </w:t>
            </w:r>
          </w:p>
          <w:p>
            <w:pPr>
              <w:ind w:left="-78" w:leftChars="-37" w:right="-73" w:rightChars="-35"/>
              <w:jc w:val="left"/>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以上人员均必须提供相关职称/执业资格等证书的复印件及劳务合同复印件。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18"/>
              <w:numPr>
                <w:ilvl w:val="0"/>
                <w:numId w:val="7"/>
              </w:numPr>
              <w:ind w:firstLineChars="0"/>
              <w:jc w:val="center"/>
              <w:rPr>
                <w:rFonts w:asciiTheme="minorEastAsia" w:hAnsiTheme="minorEastAsia" w:eastAsiaTheme="minorEastAsia"/>
                <w:color w:val="auto"/>
                <w:szCs w:val="21"/>
                <w:highlight w:val="none"/>
              </w:rPr>
            </w:pPr>
          </w:p>
        </w:tc>
        <w:tc>
          <w:tcPr>
            <w:tcW w:w="1355" w:type="dxa"/>
            <w:vAlign w:val="center"/>
          </w:tcPr>
          <w:p>
            <w:pPr>
              <w:jc w:val="center"/>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诚信</w:t>
            </w:r>
          </w:p>
        </w:tc>
        <w:tc>
          <w:tcPr>
            <w:tcW w:w="5635" w:type="dxa"/>
            <w:vAlign w:val="center"/>
          </w:tcPr>
          <w:p>
            <w:pPr>
              <w:spacing w:line="36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780" w:type="dxa"/>
            <w:tcBorders>
              <w:right w:val="single" w:color="auto" w:sz="4" w:space="0"/>
            </w:tcBorders>
            <w:vAlign w:val="center"/>
          </w:tcPr>
          <w:p>
            <w:pPr>
              <w:ind w:left="-78" w:leftChars="-37" w:right="-73" w:rightChars="-3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合计</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100分</w:t>
            </w:r>
          </w:p>
        </w:tc>
      </w:tr>
    </w:tbl>
    <w:p>
      <w:pPr>
        <w:snapToGrid w:val="0"/>
        <w:spacing w:line="360" w:lineRule="auto"/>
        <w:rPr>
          <w:rFonts w:ascii="宋体" w:cs="宋体"/>
          <w:snapToGrid w:val="0"/>
          <w:color w:val="auto"/>
          <w:kern w:val="0"/>
          <w:highlight w:val="none"/>
        </w:rPr>
      </w:pPr>
      <w:r>
        <w:rPr>
          <w:rFonts w:hint="eastAsia" w:ascii="宋体" w:cs="宋体"/>
          <w:snapToGrid w:val="0"/>
          <w:color w:val="auto"/>
          <w:kern w:val="0"/>
          <w:highlight w:val="none"/>
        </w:rPr>
        <w:t>备注：</w:t>
      </w:r>
    </w:p>
    <w:p>
      <w:pPr>
        <w:tabs>
          <w:tab w:val="left" w:pos="420"/>
        </w:tabs>
        <w:snapToGrid w:val="0"/>
        <w:spacing w:line="360" w:lineRule="auto"/>
        <w:rPr>
          <w:rFonts w:ascii="宋体" w:hAnsi="宋体"/>
          <w:bCs/>
          <w:color w:val="auto"/>
          <w:highlight w:val="none"/>
        </w:rPr>
      </w:pPr>
      <w:r>
        <w:rPr>
          <w:rFonts w:hint="eastAsia" w:ascii="宋体" w:hAnsi="宋体"/>
          <w:bCs/>
          <w:color w:val="auto"/>
          <w:highlight w:val="none"/>
        </w:rPr>
        <w:t>招标文件要求提交的与评价指标体系相关的各类有效资料，投标人如未按要求提交的，该项评分为零分。</w:t>
      </w:r>
    </w:p>
    <w:bookmarkEnd w:id="28"/>
    <w:p>
      <w:pPr>
        <w:pStyle w:val="3"/>
        <w:numPr>
          <w:ilvl w:val="0"/>
          <w:numId w:val="3"/>
        </w:numPr>
        <w:spacing w:line="240" w:lineRule="auto"/>
        <w:jc w:val="center"/>
        <w:rPr>
          <w:rFonts w:asciiTheme="majorEastAsia" w:hAnsiTheme="majorEastAsia" w:eastAsiaTheme="majorEastAsia"/>
          <w:color w:val="auto"/>
          <w:sz w:val="30"/>
          <w:szCs w:val="30"/>
          <w:highlight w:val="none"/>
        </w:rPr>
      </w:pPr>
      <w:bookmarkStart w:id="39" w:name="_Toc77947877"/>
      <w:r>
        <w:rPr>
          <w:rFonts w:hint="eastAsia" w:asciiTheme="majorEastAsia" w:hAnsiTheme="majorEastAsia" w:eastAsiaTheme="majorEastAsia"/>
          <w:color w:val="auto"/>
          <w:sz w:val="30"/>
          <w:szCs w:val="30"/>
          <w:highlight w:val="none"/>
        </w:rPr>
        <w:t>评标</w:t>
      </w:r>
      <w:bookmarkEnd w:id="39"/>
      <w:r>
        <w:rPr>
          <w:rFonts w:hint="eastAsia" w:asciiTheme="majorEastAsia" w:hAnsiTheme="majorEastAsia" w:eastAsiaTheme="majorEastAsia"/>
          <w:color w:val="auto"/>
          <w:sz w:val="30"/>
          <w:szCs w:val="30"/>
          <w:highlight w:val="none"/>
        </w:rPr>
        <w:t>、定标</w:t>
      </w:r>
    </w:p>
    <w:p>
      <w:pPr>
        <w:pStyle w:val="18"/>
        <w:widowControl/>
        <w:numPr>
          <w:ilvl w:val="0"/>
          <w:numId w:val="8"/>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18"/>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评标委员会依法组建，由5</w:t>
      </w:r>
      <w:r>
        <w:rPr>
          <w:rFonts w:hint="eastAsia" w:ascii="宋体" w:hAnsi="宋体" w:cs="宋体"/>
          <w:color w:val="auto"/>
          <w:szCs w:val="21"/>
          <w:highlight w:val="none"/>
        </w:rPr>
        <w:t>人</w:t>
      </w:r>
      <w:r>
        <w:rPr>
          <w:rFonts w:hint="eastAsia" w:ascii="宋体" w:hAnsi="宋体" w:cs="宋体"/>
          <w:color w:val="auto"/>
          <w:szCs w:val="21"/>
          <w:highlight w:val="none"/>
          <w:lang w:eastAsia="zh-TW"/>
        </w:rPr>
        <w:t>单数组成。</w:t>
      </w:r>
    </w:p>
    <w:p>
      <w:pPr>
        <w:pStyle w:val="18"/>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评标委员会成员名单在评标结果公告前应当保密。评审专家有下列情形之一的，受到邀请应主动提出回避，采购当事人也可以要求该评审专家回避：</w:t>
      </w:r>
    </w:p>
    <w:p>
      <w:pPr>
        <w:pStyle w:val="20"/>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参加采购活动前3年内与供应商存在劳动关系；</w:t>
      </w:r>
    </w:p>
    <w:p>
      <w:pPr>
        <w:pStyle w:val="20"/>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参加采购活动前3年内担任供应商的董事、监事；</w:t>
      </w:r>
    </w:p>
    <w:p>
      <w:pPr>
        <w:pStyle w:val="20"/>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参加采购活动前3年内是供应商的控股股东或者实际控制人；</w:t>
      </w:r>
    </w:p>
    <w:p>
      <w:pPr>
        <w:pStyle w:val="20"/>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与供应商的法定代表人或者负责人有夫妻、直系血亲、三代以内旁系血亲或者近姻亲关系；</w:t>
      </w:r>
    </w:p>
    <w:p>
      <w:pPr>
        <w:pStyle w:val="20"/>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与供应商有其他可能影响采购活动公平、公正进行的关系。</w:t>
      </w:r>
    </w:p>
    <w:p>
      <w:pPr>
        <w:pStyle w:val="18"/>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评标委员会和有关工作人员不得透露对投标文件的评审和比较以及与评标有关的其他情况。</w:t>
      </w:r>
    </w:p>
    <w:p>
      <w:pPr>
        <w:pStyle w:val="18"/>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18"/>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审查、评价投标文件是否符合招标文件的商务、技术等实质性要求；</w:t>
      </w:r>
    </w:p>
    <w:p>
      <w:pPr>
        <w:pStyle w:val="18"/>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18"/>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18"/>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确定中标候选人名单，以及根据采购人委托直接确定中标人；</w:t>
      </w:r>
    </w:p>
    <w:p>
      <w:pPr>
        <w:pStyle w:val="18"/>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向采购人或者有关部门报告评标中发现的违法行为。</w:t>
      </w:r>
    </w:p>
    <w:p>
      <w:pPr>
        <w:pStyle w:val="18"/>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18"/>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18"/>
        <w:widowControl/>
        <w:numPr>
          <w:ilvl w:val="1"/>
          <w:numId w:val="8"/>
        </w:numPr>
        <w:spacing w:line="360" w:lineRule="auto"/>
        <w:ind w:firstLineChars="0"/>
        <w:jc w:val="left"/>
        <w:rPr>
          <w:rFonts w:ascii="宋体" w:hAnsi="宋体" w:cs="宋体"/>
          <w:color w:val="auto"/>
          <w:szCs w:val="21"/>
          <w:highlight w:val="none"/>
          <w:lang w:eastAsia="zh-TW"/>
        </w:rPr>
      </w:pPr>
      <w:r>
        <w:rPr>
          <w:color w:val="auto"/>
          <w:highlight w:val="none"/>
        </w:rPr>
        <w:t>评标委员会决定投标的响应性只根据投标文件中提供的材料内容，而不依据外部的材料证据</w:t>
      </w:r>
      <w:r>
        <w:rPr>
          <w:rFonts w:hint="eastAsia" w:ascii="宋体" w:hAnsi="宋体" w:cs="宋体"/>
          <w:color w:val="auto"/>
          <w:szCs w:val="21"/>
          <w:highlight w:val="none"/>
          <w:lang w:eastAsia="zh-TW"/>
        </w:rPr>
        <w:t>。</w:t>
      </w:r>
    </w:p>
    <w:p>
      <w:pPr>
        <w:pStyle w:val="18"/>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18"/>
        <w:widowControl/>
        <w:numPr>
          <w:ilvl w:val="0"/>
          <w:numId w:val="8"/>
        </w:numPr>
        <w:spacing w:line="360" w:lineRule="auto"/>
        <w:ind w:firstLineChars="0"/>
        <w:jc w:val="left"/>
        <w:rPr>
          <w:rFonts w:hAnsi="宋体"/>
          <w:b/>
          <w:color w:val="auto"/>
          <w:highlight w:val="none"/>
        </w:rPr>
      </w:pPr>
      <w:r>
        <w:rPr>
          <w:rFonts w:hint="eastAsia" w:hAnsi="宋体"/>
          <w:b/>
          <w:color w:val="auto"/>
          <w:highlight w:val="none"/>
        </w:rPr>
        <w:t>评标（适用综合评分法）：</w:t>
      </w:r>
    </w:p>
    <w:p>
      <w:pPr>
        <w:pStyle w:val="18"/>
        <w:widowControl/>
        <w:numPr>
          <w:ilvl w:val="1"/>
          <w:numId w:val="8"/>
        </w:numPr>
        <w:spacing w:line="360" w:lineRule="auto"/>
        <w:ind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评标方法：</w:t>
      </w:r>
      <w:r>
        <w:rPr>
          <w:rFonts w:hint="eastAsia" w:asciiTheme="minorEastAsia" w:hAnsiTheme="minorEastAsia" w:eastAsiaTheme="minorEastAsia" w:cstheme="minorEastAsia"/>
          <w:color w:val="auto"/>
          <w:highlight w:val="none"/>
        </w:rPr>
        <w:t>综合评分法，是指投标文件满足招标文件全部实质性要求，且按照评审因素的量化指标评审得分最高的投标人为中标候选人的评标方法。</w:t>
      </w:r>
    </w:p>
    <w:p>
      <w:pPr>
        <w:pStyle w:val="18"/>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评标总得分＝F1×A1＋F2×A2＋……＋Fn×An </w:t>
      </w:r>
    </w:p>
    <w:p>
      <w:pPr>
        <w:pStyle w:val="18"/>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F1、F2……Fn分别为各项评审因素的得分； </w:t>
      </w:r>
    </w:p>
    <w:p>
      <w:pPr>
        <w:pStyle w:val="18"/>
        <w:widowControl/>
        <w:spacing w:line="360" w:lineRule="auto"/>
        <w:ind w:left="567"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A1、A2、……An 分别为各项评审因素所占的权重(A1＋A2＋……＋An＝1)。</w:t>
      </w:r>
    </w:p>
    <w:p>
      <w:pPr>
        <w:pStyle w:val="18"/>
        <w:widowControl/>
        <w:numPr>
          <w:ilvl w:val="1"/>
          <w:numId w:val="8"/>
        </w:numPr>
        <w:spacing w:line="360" w:lineRule="auto"/>
        <w:ind w:firstLineChars="0"/>
        <w:jc w:val="left"/>
        <w:rPr>
          <w:rFonts w:ascii="宋体" w:hAnsi="宋体"/>
          <w:bCs/>
          <w:color w:val="auto"/>
          <w:szCs w:val="21"/>
          <w:highlight w:val="none"/>
        </w:rPr>
      </w:pPr>
      <w:r>
        <w:rPr>
          <w:rFonts w:hint="eastAsia" w:ascii="宋体" w:hAnsi="宋体"/>
          <w:bCs/>
          <w:color w:val="auto"/>
          <w:szCs w:val="21"/>
          <w:highlight w:val="none"/>
        </w:rPr>
        <w:t>评标步骤：</w:t>
      </w:r>
    </w:p>
    <w:p>
      <w:pPr>
        <w:pStyle w:val="18"/>
        <w:widowControl/>
        <w:numPr>
          <w:ilvl w:val="2"/>
          <w:numId w:val="8"/>
        </w:numPr>
        <w:spacing w:line="360" w:lineRule="auto"/>
        <w:ind w:firstLineChars="0"/>
        <w:jc w:val="left"/>
        <w:rPr>
          <w:rFonts w:ascii="宋体" w:hAnsi="宋体"/>
          <w:bCs/>
          <w:color w:val="auto"/>
          <w:szCs w:val="21"/>
          <w:highlight w:val="none"/>
        </w:rPr>
      </w:pPr>
      <w:r>
        <w:rPr>
          <w:rFonts w:hint="eastAsia" w:ascii="宋体" w:hAnsi="宋体"/>
          <w:bCs/>
          <w:color w:val="auto"/>
          <w:szCs w:val="21"/>
          <w:highlight w:val="none"/>
        </w:rPr>
        <w:t>本项目按各包组进行独立评审，按包组的自然顺序进行评审。</w:t>
      </w:r>
    </w:p>
    <w:p>
      <w:pPr>
        <w:pStyle w:val="18"/>
        <w:widowControl/>
        <w:numPr>
          <w:ilvl w:val="2"/>
          <w:numId w:val="8"/>
        </w:numPr>
        <w:spacing w:line="360" w:lineRule="auto"/>
        <w:ind w:firstLineChars="0"/>
        <w:jc w:val="left"/>
        <w:rPr>
          <w:rFonts w:ascii="宋体" w:cs="宋体"/>
          <w:color w:val="auto"/>
          <w:szCs w:val="21"/>
          <w:highlight w:val="none"/>
        </w:rPr>
      </w:pPr>
      <w:r>
        <w:rPr>
          <w:rFonts w:hint="eastAsia" w:ascii="宋体" w:hAnsi="宋体"/>
          <w:bCs/>
          <w:color w:val="auto"/>
          <w:szCs w:val="21"/>
          <w:highlight w:val="none"/>
        </w:rPr>
        <w:t>资格性审查：</w:t>
      </w:r>
      <w:r>
        <w:rPr>
          <w:rFonts w:hint="eastAsia" w:ascii="宋体" w:cs="宋体"/>
          <w:color w:val="auto"/>
          <w:szCs w:val="21"/>
          <w:highlight w:val="none"/>
        </w:rPr>
        <w:t>开标结束后，采购人应当依法对投标人的资格进行审查，详见《资格性审查表》。对初步被认定为资格性审查不合格的，可实行告知投标当事人，以让其核证、澄清事实。未通过资格性审查的投标人，不进入符合性审查。</w:t>
      </w:r>
    </w:p>
    <w:p>
      <w:pPr>
        <w:pStyle w:val="18"/>
        <w:widowControl/>
        <w:numPr>
          <w:ilvl w:val="2"/>
          <w:numId w:val="8"/>
        </w:numPr>
        <w:spacing w:line="360" w:lineRule="auto"/>
        <w:ind w:firstLineChars="0"/>
        <w:jc w:val="left"/>
        <w:rPr>
          <w:rFonts w:ascii="宋体" w:cs="宋体"/>
          <w:color w:val="auto"/>
          <w:szCs w:val="21"/>
          <w:highlight w:val="none"/>
        </w:rPr>
      </w:pPr>
      <w:r>
        <w:rPr>
          <w:rFonts w:hint="eastAsia" w:ascii="宋体" w:cs="宋体"/>
          <w:color w:val="auto"/>
          <w:szCs w:val="21"/>
          <w:highlight w:val="none"/>
        </w:rPr>
        <w:t>符合性审查：评标委员会应当对符合资格的投标人的投标文件进行符合性审查，详见《符合性审查表》，以确定其是否满足招标文件的实质性要求。</w:t>
      </w:r>
      <w:r>
        <w:rPr>
          <w:rFonts w:hint="eastAsia" w:ascii="宋体" w:hAnsi="宋体" w:cs="宋体"/>
          <w:color w:val="auto"/>
          <w:szCs w:val="21"/>
          <w:highlight w:val="none"/>
          <w:lang w:eastAsia="zh-TW"/>
        </w:rPr>
        <w:t>评标委员会对初步被认定为符合性审查不合格或无效投标者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由评标委员会主任或采购人代表将集体意见现场及时告知投标当事人，以让其核证、澄清事实。</w:t>
      </w:r>
      <w:r>
        <w:rPr>
          <w:rFonts w:hint="eastAsia" w:ascii="宋体" w:cs="宋体"/>
          <w:color w:val="auto"/>
          <w:szCs w:val="21"/>
          <w:highlight w:val="none"/>
        </w:rPr>
        <w:t>未通过符合性审查的投标人，不进入技术、商务和价格评审。</w:t>
      </w:r>
    </w:p>
    <w:p>
      <w:pPr>
        <w:pStyle w:val="18"/>
        <w:widowControl/>
        <w:numPr>
          <w:ilvl w:val="2"/>
          <w:numId w:val="8"/>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详细评审及推荐中标候选人：</w:t>
      </w:r>
    </w:p>
    <w:p>
      <w:pPr>
        <w:pStyle w:val="18"/>
        <w:widowControl/>
        <w:numPr>
          <w:ilvl w:val="3"/>
          <w:numId w:val="8"/>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评标委员会对符合性审查合格的投标文件进行商务和技术评估，综合比较与评价，具体技术、商务、价格部分的评审因素详见《综合评分表》。</w:t>
      </w:r>
    </w:p>
    <w:p>
      <w:pPr>
        <w:pStyle w:val="18"/>
        <w:widowControl/>
        <w:numPr>
          <w:ilvl w:val="3"/>
          <w:numId w:val="8"/>
        </w:numPr>
        <w:spacing w:line="360" w:lineRule="auto"/>
        <w:ind w:firstLineChars="0"/>
        <w:jc w:val="left"/>
        <w:rPr>
          <w:rFonts w:ascii="宋体" w:hAnsi="宋体"/>
          <w:color w:val="auto"/>
          <w:szCs w:val="21"/>
          <w:highlight w:val="none"/>
        </w:rPr>
      </w:pPr>
      <w:bookmarkStart w:id="40" w:name="EB067d940baba349e582b898bfd18c9719"/>
      <w:r>
        <w:rPr>
          <w:rFonts w:ascii="宋体" w:hAnsi="宋体" w:cs="宋体"/>
          <w:color w:val="auto"/>
          <w:szCs w:val="21"/>
          <w:highlight w:val="none"/>
        </w:rPr>
        <w:t>综合</w:t>
      </w:r>
      <w:r>
        <w:rPr>
          <w:rFonts w:hint="eastAsia" w:ascii="宋体" w:hAnsi="宋体" w:cs="宋体"/>
          <w:color w:val="auto"/>
          <w:szCs w:val="21"/>
          <w:highlight w:val="none"/>
        </w:rPr>
        <w:t>得分</w:t>
      </w:r>
      <w:r>
        <w:rPr>
          <w:rFonts w:ascii="宋体" w:hAnsi="宋体" w:cs="宋体"/>
          <w:color w:val="auto"/>
          <w:szCs w:val="21"/>
          <w:highlight w:val="none"/>
        </w:rPr>
        <w:t>=技术</w:t>
      </w:r>
      <w:r>
        <w:rPr>
          <w:rFonts w:hint="eastAsia" w:ascii="宋体" w:hAnsi="宋体" w:cs="宋体"/>
          <w:color w:val="auto"/>
          <w:szCs w:val="21"/>
          <w:highlight w:val="none"/>
        </w:rPr>
        <w:t>得分</w:t>
      </w:r>
      <w:r>
        <w:rPr>
          <w:rFonts w:ascii="宋体" w:hAnsi="宋体" w:cs="宋体"/>
          <w:color w:val="auto"/>
          <w:szCs w:val="21"/>
          <w:highlight w:val="none"/>
        </w:rPr>
        <w:t>+商务</w:t>
      </w:r>
      <w:r>
        <w:rPr>
          <w:rFonts w:hint="eastAsia" w:ascii="宋体" w:hAnsi="宋体" w:cs="宋体"/>
          <w:color w:val="auto"/>
          <w:szCs w:val="21"/>
          <w:highlight w:val="none"/>
        </w:rPr>
        <w:t>得分</w:t>
      </w:r>
      <w:bookmarkEnd w:id="40"/>
      <w:r>
        <w:rPr>
          <w:rFonts w:hint="eastAsia" w:ascii="宋体" w:hAnsi="宋体" w:cs="宋体"/>
          <w:color w:val="auto"/>
          <w:szCs w:val="21"/>
          <w:highlight w:val="none"/>
        </w:rPr>
        <w:t>。</w:t>
      </w:r>
    </w:p>
    <w:p>
      <w:pPr>
        <w:pStyle w:val="18"/>
        <w:widowControl/>
        <w:numPr>
          <w:ilvl w:val="3"/>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使用综合评分法的采购项目，单一产品采购</w:t>
      </w:r>
      <w:r>
        <w:rPr>
          <w:rFonts w:hint="eastAsia" w:ascii="宋体" w:hAnsi="宋体"/>
          <w:color w:val="auto"/>
          <w:szCs w:val="21"/>
          <w:highlight w:val="none"/>
        </w:rPr>
        <w:t>项目</w:t>
      </w:r>
      <w:r>
        <w:rPr>
          <w:rFonts w:hint="eastAsia" w:ascii="宋体" w:hAnsi="宋体" w:cs="宋体"/>
          <w:color w:val="auto"/>
          <w:szCs w:val="21"/>
          <w:highlight w:val="none"/>
          <w:lang w:eastAsia="zh-TW"/>
        </w:rPr>
        <w:t>提供相同品牌产品或</w:t>
      </w:r>
      <w:r>
        <w:rPr>
          <w:rFonts w:hint="eastAsia" w:ascii="宋体" w:hAnsi="宋体"/>
          <w:color w:val="auto"/>
          <w:szCs w:val="21"/>
          <w:highlight w:val="none"/>
        </w:rPr>
        <w:t>非单一产品采购项目多家投标人提供的核心产品品牌相同的，</w:t>
      </w:r>
      <w:r>
        <w:rPr>
          <w:rFonts w:hint="eastAsia" w:ascii="宋体" w:hAnsi="宋体" w:cs="宋体"/>
          <w:color w:val="auto"/>
          <w:szCs w:val="21"/>
          <w:highlight w:val="none"/>
          <w:lang w:eastAsia="zh-TW"/>
        </w:rPr>
        <w:t>且通过资格审查、符合性审查的不同投标人参加同一合同项下投标的，按一家投标人计算，评审后得分最高的同品牌投标人获得中标人推荐资格；评审得分相同的，其他同品牌投标人不作为中标候选人。</w:t>
      </w:r>
    </w:p>
    <w:p>
      <w:pPr>
        <w:pStyle w:val="18"/>
        <w:widowControl/>
        <w:numPr>
          <w:ilvl w:val="3"/>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采用综合评分法的，评标结果按评审后得分由高到低顺序排列。得分相同的并列。投标文件满足招标文件全部实质性要求，且按照评审因素的量化指标评审得分最高的投标人为排名第一的中标候选人。</w:t>
      </w:r>
    </w:p>
    <w:p>
      <w:pPr>
        <w:pStyle w:val="18"/>
        <w:widowControl/>
        <w:numPr>
          <w:ilvl w:val="3"/>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推荐综合得分排名第一的投标人为第一中标候选人，排名第二的投标人为第二中标候选人，排名第三的投标人为第三中标候选人。</w:t>
      </w:r>
    </w:p>
    <w:p>
      <w:pPr>
        <w:pStyle w:val="18"/>
        <w:widowControl/>
        <w:numPr>
          <w:ilvl w:val="3"/>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第一中标候选人并列的，由采购人采取随机抽取的方式确定中标人。</w:t>
      </w:r>
    </w:p>
    <w:p>
      <w:pPr>
        <w:pStyle w:val="20"/>
        <w:widowControl/>
        <w:numPr>
          <w:ilvl w:val="0"/>
          <w:numId w:val="8"/>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20"/>
        <w:widowControl/>
        <w:numPr>
          <w:ilvl w:val="1"/>
          <w:numId w:val="8"/>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采购人在收到评标报告</w:t>
      </w:r>
      <w:r>
        <w:rPr>
          <w:rFonts w:ascii="宋体" w:hAnsi="宋体"/>
          <w:color w:val="auto"/>
          <w:szCs w:val="21"/>
          <w:highlight w:val="none"/>
        </w:rPr>
        <w:t>3</w:t>
      </w:r>
      <w:r>
        <w:rPr>
          <w:rFonts w:hint="eastAsia" w:ascii="宋体" w:hAnsi="宋体"/>
          <w:color w:val="auto"/>
          <w:szCs w:val="21"/>
          <w:highlight w:val="none"/>
        </w:rPr>
        <w:t>个工作日内确定中标人，按照评标报告中推荐的中标候选人顺序确定中标人，也可以事先授权评标委员会直接确定中标人。确认后采购人将在刊登本项目招标公告的法定媒体上</w:t>
      </w:r>
      <w:r>
        <w:rPr>
          <w:rFonts w:ascii="宋体" w:hAnsi="宋体"/>
          <w:color w:val="auto"/>
          <w:szCs w:val="21"/>
          <w:highlight w:val="none"/>
        </w:rPr>
        <w:t>发</w:t>
      </w:r>
      <w:r>
        <w:rPr>
          <w:rFonts w:hint="eastAsia" w:ascii="宋体" w:hAnsi="宋体"/>
          <w:color w:val="auto"/>
          <w:szCs w:val="21"/>
          <w:highlight w:val="none"/>
        </w:rPr>
        <w:t>布中标公告。</w:t>
      </w:r>
    </w:p>
    <w:p>
      <w:pPr>
        <w:pStyle w:val="20"/>
        <w:widowControl/>
        <w:numPr>
          <w:ilvl w:val="1"/>
          <w:numId w:val="8"/>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中标人拒绝与采购人签订合同的，采购人可以按照评审报告推荐的中标候选人名单排序，确定下一候选人为中标人，也可以重新开展政府采购活动。</w:t>
      </w:r>
    </w:p>
    <w:p>
      <w:pPr>
        <w:pStyle w:val="18"/>
        <w:widowControl/>
        <w:numPr>
          <w:ilvl w:val="0"/>
          <w:numId w:val="8"/>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18"/>
        <w:widowControl/>
        <w:numPr>
          <w:ilvl w:val="1"/>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有下列情形之一的，视为投标人串通投标，其投标无效：</w:t>
      </w:r>
    </w:p>
    <w:p>
      <w:pPr>
        <w:pStyle w:val="18"/>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18"/>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18"/>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18"/>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18"/>
        <w:widowControl/>
        <w:numPr>
          <w:ilvl w:val="1"/>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投标人存在下列情况之一的，投标无效：</w:t>
      </w:r>
    </w:p>
    <w:p>
      <w:pPr>
        <w:pStyle w:val="18"/>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投标文件未按招标文件要求签署、盖章的；</w:t>
      </w:r>
    </w:p>
    <w:p>
      <w:pPr>
        <w:pStyle w:val="18"/>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不具备招标文件中规定的资格要求的；</w:t>
      </w:r>
    </w:p>
    <w:p>
      <w:pPr>
        <w:pStyle w:val="18"/>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投标文件含有采购人不能接受的附加条件的;</w:t>
      </w:r>
    </w:p>
    <w:p>
      <w:pPr>
        <w:pStyle w:val="18"/>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法律、法规和招标文件规定的其他无效情形。</w:t>
      </w:r>
    </w:p>
    <w:p>
      <w:pPr>
        <w:pStyle w:val="18"/>
        <w:widowControl/>
        <w:numPr>
          <w:ilvl w:val="1"/>
          <w:numId w:val="8"/>
        </w:numPr>
        <w:spacing w:line="360" w:lineRule="auto"/>
        <w:ind w:firstLineChars="0"/>
        <w:jc w:val="left"/>
        <w:rPr>
          <w:rFonts w:ascii="宋体" w:hAnsi="宋体"/>
          <w:b/>
          <w:color w:val="auto"/>
          <w:szCs w:val="21"/>
          <w:highlight w:val="none"/>
        </w:rPr>
      </w:pPr>
      <w:r>
        <w:rPr>
          <w:rFonts w:ascii="宋体" w:hAnsi="宋体"/>
          <w:b/>
          <w:color w:val="auto"/>
          <w:szCs w:val="21"/>
          <w:highlight w:val="none"/>
        </w:rPr>
        <w:t>废标</w:t>
      </w:r>
    </w:p>
    <w:p>
      <w:pPr>
        <w:pStyle w:val="18"/>
        <w:widowControl/>
        <w:numPr>
          <w:ilvl w:val="2"/>
          <w:numId w:val="8"/>
        </w:numPr>
        <w:spacing w:line="360" w:lineRule="auto"/>
        <w:ind w:firstLineChars="0"/>
        <w:jc w:val="left"/>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pStyle w:val="18"/>
        <w:widowControl/>
        <w:numPr>
          <w:ilvl w:val="2"/>
          <w:numId w:val="8"/>
        </w:numPr>
        <w:spacing w:line="360" w:lineRule="auto"/>
        <w:ind w:firstLineChars="0"/>
        <w:jc w:val="left"/>
        <w:rPr>
          <w:rFonts w:ascii="宋体" w:hAnsi="宋体"/>
          <w:color w:val="auto"/>
          <w:szCs w:val="21"/>
          <w:highlight w:val="none"/>
        </w:rPr>
      </w:pPr>
      <w:r>
        <w:rPr>
          <w:rFonts w:ascii="宋体" w:hAnsi="宋体"/>
          <w:color w:val="auto"/>
          <w:szCs w:val="21"/>
          <w:highlight w:val="none"/>
        </w:rPr>
        <w:t>符合专业条件的供应商或者对</w:t>
      </w:r>
      <w:r>
        <w:rPr>
          <w:rFonts w:hint="eastAsia" w:ascii="宋体" w:hAnsi="宋体"/>
          <w:color w:val="auto"/>
          <w:szCs w:val="21"/>
          <w:highlight w:val="none"/>
        </w:rPr>
        <w:t>招标</w:t>
      </w:r>
      <w:r>
        <w:rPr>
          <w:rFonts w:ascii="宋体" w:hAnsi="宋体"/>
          <w:color w:val="auto"/>
          <w:szCs w:val="21"/>
          <w:highlight w:val="none"/>
        </w:rPr>
        <w:t>文件作实质响应的供应商不足三家的；</w:t>
      </w:r>
    </w:p>
    <w:p>
      <w:pPr>
        <w:pStyle w:val="18"/>
        <w:widowControl/>
        <w:numPr>
          <w:ilvl w:val="2"/>
          <w:numId w:val="8"/>
        </w:numPr>
        <w:spacing w:line="360" w:lineRule="auto"/>
        <w:ind w:firstLineChars="0"/>
        <w:jc w:val="left"/>
        <w:rPr>
          <w:rFonts w:ascii="宋体" w:hAnsi="宋体"/>
          <w:color w:val="auto"/>
          <w:szCs w:val="21"/>
          <w:highlight w:val="none"/>
        </w:rPr>
      </w:pPr>
      <w:r>
        <w:rPr>
          <w:rFonts w:ascii="宋体" w:hAnsi="宋体"/>
          <w:color w:val="auto"/>
          <w:szCs w:val="21"/>
          <w:highlight w:val="none"/>
        </w:rPr>
        <w:t>出现影响采购公正的违法、违规行为的；</w:t>
      </w:r>
    </w:p>
    <w:p>
      <w:pPr>
        <w:pStyle w:val="18"/>
        <w:widowControl/>
        <w:numPr>
          <w:ilvl w:val="2"/>
          <w:numId w:val="8"/>
        </w:numPr>
        <w:spacing w:line="360" w:lineRule="auto"/>
        <w:ind w:firstLineChars="0"/>
        <w:jc w:val="left"/>
        <w:rPr>
          <w:rFonts w:ascii="宋体" w:hAnsi="宋体"/>
          <w:color w:val="auto"/>
          <w:szCs w:val="21"/>
          <w:highlight w:val="none"/>
        </w:rPr>
      </w:pPr>
      <w:r>
        <w:rPr>
          <w:rFonts w:ascii="宋体" w:hAnsi="宋体"/>
          <w:color w:val="auto"/>
          <w:szCs w:val="21"/>
          <w:highlight w:val="none"/>
        </w:rPr>
        <w:t>因重大变故，采购任务取消的</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br w:type="page"/>
      </w:r>
    </w:p>
    <w:p>
      <w:pPr>
        <w:spacing w:before="156" w:beforeLines="50" w:after="156" w:afterLines="50" w:line="360" w:lineRule="auto"/>
        <w:jc w:val="center"/>
        <w:outlineLvl w:val="0"/>
        <w:rPr>
          <w:b/>
          <w:bCs/>
          <w:color w:val="auto"/>
          <w:sz w:val="28"/>
          <w:szCs w:val="28"/>
          <w:highlight w:val="none"/>
        </w:rPr>
      </w:pPr>
      <w:bookmarkStart w:id="41" w:name="_Toc77947878"/>
      <w:bookmarkStart w:id="42" w:name="_Toc983_WPSOffice_Level1"/>
      <w:bookmarkStart w:id="43" w:name="_Toc8307305"/>
      <w:bookmarkStart w:id="44" w:name="_Toc29575"/>
      <w:bookmarkStart w:id="45" w:name="_Toc10385"/>
      <w:r>
        <w:rPr>
          <w:rFonts w:hint="eastAsia"/>
          <w:b/>
          <w:bCs/>
          <w:color w:val="auto"/>
          <w:sz w:val="28"/>
          <w:szCs w:val="28"/>
          <w:highlight w:val="none"/>
        </w:rPr>
        <w:t>第五章 合同文本</w:t>
      </w:r>
      <w:r>
        <w:rPr>
          <w:rFonts w:hint="eastAsia" w:ascii="宋体" w:hAnsi="宋体" w:cs="宋体"/>
          <w:b/>
          <w:color w:val="auto"/>
          <w:sz w:val="24"/>
          <w:szCs w:val="21"/>
          <w:highlight w:val="none"/>
        </w:rPr>
        <w:t>（仅供参考）</w:t>
      </w:r>
      <w:bookmarkEnd w:id="41"/>
      <w:bookmarkEnd w:id="42"/>
      <w:bookmarkEnd w:id="43"/>
      <w:bookmarkEnd w:id="44"/>
      <w:bookmarkEnd w:id="45"/>
    </w:p>
    <w:p>
      <w:pPr>
        <w:tabs>
          <w:tab w:val="left" w:pos="720"/>
        </w:tabs>
        <w:spacing w:line="360" w:lineRule="auto"/>
        <w:jc w:val="center"/>
        <w:rPr>
          <w:rFonts w:ascii="宋体" w:hAnsi="宋体" w:cs="宋体"/>
          <w:b/>
          <w:color w:val="auto"/>
          <w:sz w:val="24"/>
          <w:szCs w:val="21"/>
          <w:highlight w:val="none"/>
        </w:rPr>
      </w:pPr>
      <w:bookmarkStart w:id="46" w:name="_Toc4489_WPSOffice_Level1"/>
      <w:r>
        <w:rPr>
          <w:rFonts w:hint="eastAsia" w:ascii="宋体" w:hAnsi="宋体" w:cs="宋体"/>
          <w:b/>
          <w:color w:val="auto"/>
          <w:sz w:val="24"/>
          <w:szCs w:val="21"/>
          <w:highlight w:val="none"/>
        </w:rPr>
        <w:t>合同通用条款</w:t>
      </w:r>
      <w:bookmarkEnd w:id="46"/>
    </w:p>
    <w:p>
      <w:pPr>
        <w:spacing w:line="360" w:lineRule="auto"/>
        <w:rPr>
          <w:rFonts w:ascii="宋体" w:hAnsi="宋体"/>
          <w:b/>
          <w:color w:val="auto"/>
          <w:szCs w:val="21"/>
          <w:highlight w:val="none"/>
        </w:rPr>
      </w:pPr>
      <w:bookmarkStart w:id="47" w:name="_Toc23844_WPSOffice_Level1"/>
      <w:r>
        <w:rPr>
          <w:rFonts w:hint="eastAsia" w:ascii="宋体" w:hAnsi="宋体"/>
          <w:b/>
          <w:color w:val="auto"/>
          <w:szCs w:val="21"/>
          <w:highlight w:val="none"/>
        </w:rPr>
        <w:t>甲    方</w:t>
      </w:r>
      <w:r>
        <w:rPr>
          <w:rFonts w:hint="eastAsia" w:ascii="宋体" w:hAnsi="宋体" w:cs="宋体"/>
          <w:color w:val="auto"/>
          <w:szCs w:val="21"/>
          <w:highlight w:val="none"/>
        </w:rPr>
        <w:t>（采购人）</w:t>
      </w:r>
      <w:r>
        <w:rPr>
          <w:rFonts w:hint="eastAsia" w:ascii="宋体" w:hAnsi="宋体"/>
          <w:b/>
          <w:color w:val="auto"/>
          <w:szCs w:val="21"/>
          <w:highlight w:val="none"/>
        </w:rPr>
        <w:t>：</w:t>
      </w:r>
      <w:bookmarkEnd w:id="47"/>
    </w:p>
    <w:p>
      <w:pPr>
        <w:spacing w:line="360" w:lineRule="auto"/>
        <w:rPr>
          <w:rFonts w:ascii="宋体" w:hAnsi="宋体"/>
          <w:color w:val="auto"/>
          <w:szCs w:val="21"/>
          <w:highlight w:val="none"/>
        </w:rPr>
      </w:pPr>
      <w:r>
        <w:rPr>
          <w:rFonts w:hint="eastAsia" w:ascii="宋体" w:hAnsi="宋体"/>
          <w:color w:val="auto"/>
          <w:szCs w:val="21"/>
          <w:highlight w:val="none"/>
        </w:rPr>
        <w:t>电    话：           　   传  真：           住  所：</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bookmarkStart w:id="48" w:name="_Toc24303_WPSOffice_Level1"/>
      <w:r>
        <w:rPr>
          <w:rFonts w:hint="eastAsia" w:ascii="宋体" w:hAnsi="宋体"/>
          <w:b/>
          <w:color w:val="auto"/>
          <w:szCs w:val="21"/>
          <w:highlight w:val="none"/>
        </w:rPr>
        <w:t>乙    方</w:t>
      </w:r>
      <w:r>
        <w:rPr>
          <w:rFonts w:hint="eastAsia" w:ascii="宋体" w:hAnsi="宋体" w:cs="宋体"/>
          <w:color w:val="auto"/>
          <w:szCs w:val="21"/>
          <w:highlight w:val="none"/>
        </w:rPr>
        <w:t>（中标人）</w:t>
      </w:r>
      <w:r>
        <w:rPr>
          <w:rFonts w:hint="eastAsia" w:ascii="宋体" w:hAnsi="宋体"/>
          <w:b/>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电    话：                传  真：           住  所：</w:t>
      </w:r>
      <w:bookmarkEnd w:id="48"/>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r>
        <w:rPr>
          <w:rFonts w:hint="eastAsia" w:ascii="宋体" w:hAnsi="宋体" w:cs="宋体"/>
          <w:color w:val="auto"/>
          <w:szCs w:val="21"/>
          <w:highlight w:val="none"/>
        </w:rPr>
        <w:t>项目</w:t>
      </w:r>
      <w:r>
        <w:rPr>
          <w:rFonts w:hint="eastAsia" w:ascii="宋体" w:hAnsi="宋体"/>
          <w:color w:val="auto"/>
          <w:szCs w:val="21"/>
          <w:highlight w:val="none"/>
        </w:rPr>
        <w:t xml:space="preserve">编号：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华侨城中学（深圳湾部）交通安全提升项目  </w:t>
      </w:r>
      <w:r>
        <w:rPr>
          <w:rFonts w:hint="eastAsia" w:ascii="宋体" w:hAnsi="宋体" w:cs="宋体"/>
          <w:color w:val="auto"/>
          <w:szCs w:val="21"/>
          <w:highlight w:val="none"/>
        </w:rPr>
        <w:t>（项目编号：</w:t>
      </w:r>
      <w:r>
        <w:rPr>
          <w:rFonts w:hint="eastAsia" w:ascii="宋体" w:hAnsi="宋体"/>
          <w:color w:val="auto"/>
          <w:highlight w:val="none"/>
        </w:rPr>
        <w:t>NSSHJDMSWSS202</w:t>
      </w:r>
      <w:r>
        <w:rPr>
          <w:rFonts w:hint="eastAsia" w:ascii="宋体" w:hAnsi="宋体"/>
          <w:color w:val="auto"/>
          <w:highlight w:val="none"/>
          <w:lang w:val="en-US" w:eastAsia="zh-CN"/>
        </w:rPr>
        <w:t>21107-2</w:t>
      </w:r>
      <w:r>
        <w:rPr>
          <w:rFonts w:hint="eastAsia" w:ascii="宋体" w:hAnsi="宋体" w:cs="宋体"/>
          <w:color w:val="auto"/>
          <w:szCs w:val="21"/>
          <w:highlight w:val="none"/>
        </w:rPr>
        <w:t>）</w:t>
      </w:r>
      <w:r>
        <w:rPr>
          <w:rFonts w:hint="eastAsia" w:ascii="宋体" w:hAnsi="宋体"/>
          <w:color w:val="auto"/>
          <w:szCs w:val="21"/>
          <w:highlight w:val="none"/>
        </w:rPr>
        <w:t>的采购结果，按照</w:t>
      </w:r>
      <w:r>
        <w:rPr>
          <w:rFonts w:hint="eastAsia" w:asciiTheme="minorEastAsia" w:hAnsiTheme="minorEastAsia" w:eastAsiaTheme="minorEastAsia"/>
          <w:color w:val="auto"/>
          <w:szCs w:val="21"/>
          <w:highlight w:val="none"/>
        </w:rPr>
        <w:t>《中华人民共和国民法典》和《深圳经济特区政府采购条例》</w:t>
      </w:r>
      <w:r>
        <w:rPr>
          <w:rFonts w:hint="eastAsia" w:ascii="宋体" w:hAnsi="宋体"/>
          <w:color w:val="auto"/>
          <w:szCs w:val="21"/>
          <w:highlight w:val="none"/>
        </w:rPr>
        <w:t>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49" w:name="_Toc28004"/>
      <w:r>
        <w:rPr>
          <w:rFonts w:hint="eastAsia" w:ascii="宋体" w:hAnsi="宋体"/>
          <w:b/>
          <w:color w:val="auto"/>
          <w:szCs w:val="21"/>
          <w:highlight w:val="none"/>
        </w:rPr>
        <w:t>采购标的、数量</w:t>
      </w:r>
      <w:bookmarkEnd w:id="49"/>
    </w:p>
    <w:tbl>
      <w:tblPr>
        <w:tblStyle w:val="12"/>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b/>
                <w:color w:val="auto"/>
                <w:kern w:val="0"/>
                <w:sz w:val="20"/>
                <w:szCs w:val="21"/>
                <w:highlight w:val="none"/>
              </w:rPr>
            </w:pPr>
            <w:bookmarkStart w:id="50" w:name="_Toc30376"/>
            <w:r>
              <w:rPr>
                <w:rFonts w:hint="eastAsia" w:ascii="宋体" w:hAnsi="宋体"/>
                <w:b/>
                <w:color w:val="auto"/>
                <w:kern w:val="0"/>
                <w:sz w:val="20"/>
                <w:szCs w:val="21"/>
                <w:highlight w:val="none"/>
              </w:rPr>
              <w:t>序号</w:t>
            </w:r>
            <w:bookmarkEnd w:id="50"/>
          </w:p>
        </w:tc>
        <w:tc>
          <w:tcPr>
            <w:tcW w:w="502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51" w:name="_Toc10646"/>
            <w:r>
              <w:rPr>
                <w:rFonts w:hint="eastAsia" w:ascii="宋体" w:hAnsi="宋体"/>
                <w:b/>
                <w:color w:val="auto"/>
                <w:kern w:val="0"/>
                <w:sz w:val="20"/>
                <w:szCs w:val="21"/>
                <w:highlight w:val="none"/>
              </w:rPr>
              <w:t>采购标的</w:t>
            </w:r>
            <w:bookmarkEnd w:id="51"/>
          </w:p>
        </w:tc>
        <w:tc>
          <w:tcPr>
            <w:tcW w:w="3132" w:type="dxa"/>
          </w:tcPr>
          <w:p>
            <w:pPr>
              <w:tabs>
                <w:tab w:val="left" w:pos="426"/>
              </w:tabs>
              <w:autoSpaceDE w:val="0"/>
              <w:autoSpaceDN w:val="0"/>
              <w:adjustRightInd w:val="0"/>
              <w:spacing w:line="360" w:lineRule="auto"/>
              <w:jc w:val="center"/>
              <w:outlineLvl w:val="2"/>
              <w:rPr>
                <w:rFonts w:ascii="宋体" w:hAnsi="宋体"/>
                <w:b/>
                <w:color w:val="auto"/>
                <w:kern w:val="0"/>
                <w:sz w:val="20"/>
                <w:szCs w:val="21"/>
                <w:highlight w:val="none"/>
              </w:rPr>
            </w:pPr>
            <w:bookmarkStart w:id="52" w:name="_Toc25294"/>
            <w:r>
              <w:rPr>
                <w:rFonts w:hint="eastAsia" w:ascii="宋体" w:hAnsi="宋体"/>
                <w:b/>
                <w:color w:val="auto"/>
                <w:kern w:val="0"/>
                <w:sz w:val="20"/>
                <w:szCs w:val="21"/>
                <w:highlight w:val="none"/>
              </w:rPr>
              <w:t>数量</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53" w:name="_Toc18061"/>
            <w:r>
              <w:rPr>
                <w:rFonts w:hint="eastAsia" w:ascii="宋体" w:hAnsi="宋体"/>
                <w:color w:val="auto"/>
                <w:kern w:val="0"/>
                <w:sz w:val="20"/>
                <w:szCs w:val="21"/>
                <w:highlight w:val="none"/>
              </w:rPr>
              <w:t>1</w:t>
            </w:r>
            <w:bookmarkEnd w:id="53"/>
          </w:p>
        </w:tc>
        <w:tc>
          <w:tcPr>
            <w:tcW w:w="502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54" w:name="_Toc7369"/>
            <w:r>
              <w:rPr>
                <w:rFonts w:hint="eastAsia" w:ascii="宋体" w:hAnsi="宋体"/>
                <w:color w:val="auto"/>
                <w:kern w:val="0"/>
                <w:sz w:val="20"/>
                <w:szCs w:val="21"/>
                <w:highlight w:val="none"/>
              </w:rPr>
              <w:t>2</w:t>
            </w:r>
            <w:bookmarkEnd w:id="54"/>
          </w:p>
        </w:tc>
        <w:tc>
          <w:tcPr>
            <w:tcW w:w="5022" w:type="dxa"/>
          </w:tcPr>
          <w:p>
            <w:pPr>
              <w:pStyle w:val="18"/>
              <w:widowControl/>
              <w:spacing w:line="360" w:lineRule="auto"/>
              <w:ind w:left="425" w:firstLine="0" w:firstLineChars="0"/>
              <w:jc w:val="left"/>
              <w:rPr>
                <w:rFonts w:ascii="宋体" w:hAnsi="宋体"/>
                <w:color w:val="auto"/>
                <w:kern w:val="0"/>
                <w:sz w:val="20"/>
                <w:szCs w:val="21"/>
                <w:highlight w:val="none"/>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r>
    </w:tbl>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5" w:name="_Toc435540759"/>
      <w:bookmarkStart w:id="56" w:name="_Toc18079"/>
      <w:r>
        <w:rPr>
          <w:rFonts w:hint="eastAsia" w:ascii="宋体" w:hAnsi="宋体"/>
          <w:b/>
          <w:color w:val="auto"/>
          <w:szCs w:val="21"/>
          <w:highlight w:val="none"/>
        </w:rPr>
        <w:t>合同金额</w:t>
      </w:r>
      <w:bookmarkEnd w:id="55"/>
      <w:bookmarkEnd w:id="56"/>
    </w:p>
    <w:p>
      <w:pPr>
        <w:pStyle w:val="6"/>
        <w:spacing w:line="360" w:lineRule="auto"/>
        <w:ind w:firstLine="420" w:firstLineChars="200"/>
        <w:rPr>
          <w:rFonts w:hAnsi="宋体"/>
          <w:color w:val="auto"/>
          <w:highlight w:val="none"/>
        </w:rPr>
      </w:pPr>
      <w:r>
        <w:rPr>
          <w:rFonts w:hint="eastAsia" w:hAnsi="宋体"/>
          <w:color w:val="auto"/>
          <w:highlight w:val="none"/>
        </w:rPr>
        <w:t>合同金额为（大写）：_________________元（￥_______________元）。</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7" w:name="_Toc435540760"/>
      <w:bookmarkStart w:id="58" w:name="_Toc28847"/>
      <w:r>
        <w:rPr>
          <w:rFonts w:hint="eastAsia" w:ascii="宋体" w:hAnsi="宋体"/>
          <w:b/>
          <w:color w:val="auto"/>
          <w:szCs w:val="21"/>
          <w:highlight w:val="none"/>
        </w:rPr>
        <w:t>服务范围</w:t>
      </w:r>
      <w:bookmarkEnd w:id="57"/>
      <w:bookmarkEnd w:id="58"/>
    </w:p>
    <w:p>
      <w:pPr>
        <w:spacing w:line="360" w:lineRule="auto"/>
        <w:rPr>
          <w:rFonts w:ascii="宋体" w:hAnsi="宋体"/>
          <w:color w:val="auto"/>
          <w:szCs w:val="21"/>
          <w:highlight w:val="none"/>
        </w:rPr>
      </w:pPr>
      <w:r>
        <w:rPr>
          <w:rFonts w:hint="eastAsia" w:ascii="宋体" w:hAnsi="宋体"/>
          <w:color w:val="auto"/>
          <w:szCs w:val="21"/>
          <w:highlight w:val="none"/>
        </w:rPr>
        <w:t>　　甲方聘请乙方提供以下服务：</w:t>
      </w:r>
    </w:p>
    <w:p>
      <w:pPr>
        <w:spacing w:line="360" w:lineRule="auto"/>
        <w:rPr>
          <w:rFonts w:ascii="宋体" w:hAnsi="宋体"/>
          <w:color w:val="auto"/>
          <w:szCs w:val="21"/>
          <w:highlight w:val="none"/>
          <w:u w:val="single"/>
        </w:rPr>
      </w:pPr>
      <w:r>
        <w:rPr>
          <w:rFonts w:hint="eastAsia" w:ascii="宋体" w:hAnsi="宋体"/>
          <w:color w:val="auto"/>
          <w:szCs w:val="21"/>
          <w:highlight w:val="none"/>
        </w:rPr>
        <w:t>　　1．本合同项下的服务指。</w:t>
      </w:r>
    </w:p>
    <w:p>
      <w:pPr>
        <w:spacing w:line="360" w:lineRule="auto"/>
        <w:rPr>
          <w:rFonts w:ascii="宋体" w:hAnsi="宋体"/>
          <w:color w:val="auto"/>
          <w:szCs w:val="21"/>
          <w:highlight w:val="none"/>
        </w:rPr>
      </w:pPr>
      <w:r>
        <w:rPr>
          <w:rFonts w:hint="eastAsia" w:ascii="宋体" w:hAnsi="宋体"/>
          <w:color w:val="auto"/>
          <w:szCs w:val="21"/>
          <w:highlight w:val="none"/>
        </w:rPr>
        <w:t>　　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9" w:name="_Toc13367"/>
      <w:r>
        <w:rPr>
          <w:rFonts w:hint="eastAsia" w:ascii="宋体" w:hAnsi="宋体"/>
          <w:b/>
          <w:color w:val="auto"/>
          <w:szCs w:val="21"/>
          <w:highlight w:val="none"/>
        </w:rPr>
        <w:t>质量要求：</w:t>
      </w:r>
      <w:bookmarkEnd w:id="59"/>
    </w:p>
    <w:p>
      <w:pPr>
        <w:spacing w:line="360" w:lineRule="auto"/>
        <w:ind w:firstLine="420" w:firstLineChars="200"/>
        <w:rPr>
          <w:rFonts w:ascii="宋体" w:hAnsi="宋体"/>
          <w:color w:val="auto"/>
          <w:szCs w:val="21"/>
          <w:highlight w:val="none"/>
        </w:rPr>
      </w:pP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0" w:name="_Toc435540761"/>
      <w:bookmarkStart w:id="61" w:name="_Toc15148"/>
      <w:r>
        <w:rPr>
          <w:rFonts w:hint="eastAsia" w:ascii="宋体" w:hAnsi="宋体"/>
          <w:b/>
          <w:color w:val="auto"/>
          <w:szCs w:val="21"/>
          <w:highlight w:val="none"/>
        </w:rPr>
        <w:t>甲方乙方的权利和义务</w:t>
      </w:r>
      <w:bookmarkEnd w:id="60"/>
      <w:bookmarkEnd w:id="61"/>
    </w:p>
    <w:p>
      <w:pPr>
        <w:spacing w:line="360" w:lineRule="auto"/>
        <w:rPr>
          <w:rFonts w:ascii="宋体" w:hAnsi="宋体"/>
          <w:color w:val="auto"/>
          <w:szCs w:val="21"/>
          <w:highlight w:val="none"/>
        </w:rPr>
      </w:pPr>
      <w:r>
        <w:rPr>
          <w:rFonts w:hint="eastAsia" w:ascii="宋体" w:hAnsi="宋体"/>
          <w:color w:val="auto"/>
          <w:szCs w:val="21"/>
          <w:highlight w:val="none"/>
        </w:rPr>
        <w:t>　　（一） 甲方的权利和义务</w:t>
      </w:r>
    </w:p>
    <w:p>
      <w:pPr>
        <w:spacing w:line="360" w:lineRule="auto"/>
        <w:rPr>
          <w:rFonts w:ascii="宋体" w:hAnsi="宋体"/>
          <w:color w:val="auto"/>
          <w:szCs w:val="21"/>
          <w:highlight w:val="none"/>
        </w:rPr>
      </w:pPr>
      <w:r>
        <w:rPr>
          <w:rFonts w:hint="eastAsia" w:ascii="宋体" w:hAnsi="宋体"/>
          <w:color w:val="auto"/>
          <w:szCs w:val="21"/>
          <w:highlight w:val="none"/>
        </w:rPr>
        <w:t>　　（二） 乙方的权利和义务</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2" w:name="_Toc11665"/>
      <w:r>
        <w:rPr>
          <w:rFonts w:hint="eastAsia" w:ascii="宋体" w:hAnsi="宋体"/>
          <w:b/>
          <w:color w:val="auto"/>
          <w:szCs w:val="21"/>
          <w:highlight w:val="none"/>
        </w:rPr>
        <w:t>履行期限及地点和方式：</w:t>
      </w:r>
      <w:bookmarkEnd w:id="62"/>
    </w:p>
    <w:p>
      <w:pPr>
        <w:spacing w:line="360" w:lineRule="auto"/>
        <w:ind w:firstLine="435"/>
        <w:rPr>
          <w:rFonts w:ascii="宋体" w:hAnsi="宋体"/>
          <w:color w:val="auto"/>
          <w:szCs w:val="21"/>
          <w:highlight w:val="none"/>
        </w:rPr>
      </w:pPr>
      <w:r>
        <w:rPr>
          <w:rFonts w:hint="eastAsia" w:ascii="宋体" w:hAnsi="宋体"/>
          <w:color w:val="auto"/>
          <w:szCs w:val="21"/>
          <w:highlight w:val="none"/>
        </w:rPr>
        <w:t>履行期限：委托服务期间自______年______月至______年______月止。</w:t>
      </w:r>
    </w:p>
    <w:p>
      <w:pPr>
        <w:spacing w:line="360" w:lineRule="auto"/>
        <w:ind w:firstLine="435"/>
        <w:rPr>
          <w:rFonts w:ascii="宋体" w:hAnsi="宋体"/>
          <w:color w:val="auto"/>
          <w:szCs w:val="21"/>
          <w:highlight w:val="none"/>
        </w:rPr>
      </w:pPr>
      <w:r>
        <w:rPr>
          <w:rFonts w:hint="eastAsia" w:ascii="宋体" w:hAnsi="宋体"/>
          <w:color w:val="auto"/>
          <w:szCs w:val="21"/>
          <w:highlight w:val="none"/>
        </w:rPr>
        <w:t>履约地点：</w:t>
      </w:r>
    </w:p>
    <w:p>
      <w:pPr>
        <w:spacing w:line="360" w:lineRule="auto"/>
        <w:ind w:firstLine="435"/>
        <w:rPr>
          <w:rFonts w:ascii="宋体" w:hAnsi="宋体"/>
          <w:color w:val="auto"/>
          <w:szCs w:val="21"/>
          <w:highlight w:val="none"/>
        </w:rPr>
      </w:pPr>
      <w:r>
        <w:rPr>
          <w:rFonts w:hint="eastAsia" w:ascii="宋体" w:hAnsi="宋体"/>
          <w:color w:val="auto"/>
          <w:szCs w:val="21"/>
          <w:highlight w:val="none"/>
        </w:rPr>
        <w:t>方式：</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3" w:name="_Toc3267"/>
      <w:bookmarkStart w:id="64" w:name="_Toc435540763"/>
      <w:r>
        <w:rPr>
          <w:rFonts w:hint="eastAsia" w:ascii="宋体" w:hAnsi="宋体"/>
          <w:b/>
          <w:color w:val="auto"/>
          <w:szCs w:val="21"/>
          <w:highlight w:val="none"/>
        </w:rPr>
        <w:t>付款方式</w:t>
      </w:r>
      <w:bookmarkEnd w:id="63"/>
      <w:bookmarkEnd w:id="64"/>
    </w:p>
    <w:p>
      <w:pPr>
        <w:tabs>
          <w:tab w:val="left" w:pos="426"/>
        </w:tabs>
        <w:spacing w:line="360" w:lineRule="auto"/>
        <w:ind w:left="480"/>
        <w:outlineLvl w:val="2"/>
        <w:rPr>
          <w:rFonts w:ascii="宋体" w:hAnsi="宋体" w:cs="宋体"/>
          <w:b/>
          <w:color w:val="auto"/>
          <w:szCs w:val="21"/>
          <w:highlight w:val="none"/>
        </w:rPr>
      </w:pPr>
      <w:bookmarkStart w:id="65" w:name="_Toc435540764"/>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6" w:name="_Toc10107"/>
      <w:r>
        <w:rPr>
          <w:rFonts w:hint="eastAsia" w:ascii="宋体" w:hAnsi="宋体"/>
          <w:b/>
          <w:color w:val="auto"/>
          <w:szCs w:val="21"/>
          <w:highlight w:val="none"/>
        </w:rPr>
        <w:t>验收要求：</w:t>
      </w:r>
      <w:bookmarkEnd w:id="66"/>
    </w:p>
    <w:p>
      <w:pPr>
        <w:widowControl/>
        <w:shd w:val="clear" w:color="auto" w:fill="FFFFFF"/>
        <w:spacing w:line="360" w:lineRule="auto"/>
        <w:ind w:firstLine="480"/>
        <w:jc w:val="left"/>
        <w:rPr>
          <w:rFonts w:ascii="Arial" w:hAnsi="Arial" w:cs="Arial"/>
          <w:color w:val="auto"/>
          <w:kern w:val="0"/>
          <w:szCs w:val="21"/>
          <w:highlight w:val="none"/>
        </w:rPr>
      </w:pPr>
      <w:r>
        <w:rPr>
          <w:rFonts w:ascii="Arial" w:hAnsi="Arial" w:cs="Arial"/>
          <w:color w:val="auto"/>
          <w:kern w:val="0"/>
          <w:szCs w:val="21"/>
          <w:highlight w:val="none"/>
        </w:rPr>
        <w:t>技术服务或者技术培训按 _______标准，采用______方式验收，由_____方出具服务或者培训项目验收证明。</w:t>
      </w:r>
    </w:p>
    <w:p>
      <w:pPr>
        <w:widowControl/>
        <w:shd w:val="clear" w:color="auto" w:fill="FFFFFF"/>
        <w:spacing w:line="360" w:lineRule="auto"/>
        <w:ind w:firstLine="480"/>
        <w:jc w:val="left"/>
        <w:rPr>
          <w:rFonts w:ascii="Arial" w:hAnsi="Arial" w:cs="Arial"/>
          <w:color w:val="auto"/>
          <w:kern w:val="0"/>
          <w:szCs w:val="21"/>
          <w:highlight w:val="none"/>
        </w:rPr>
      </w:pPr>
      <w:r>
        <w:rPr>
          <w:rFonts w:ascii="Arial" w:hAnsi="Arial" w:cs="Arial"/>
          <w:color w:val="auto"/>
          <w:kern w:val="0"/>
          <w:szCs w:val="21"/>
          <w:highlight w:val="none"/>
        </w:rPr>
        <w:t>本合同服务项目的保证期为______。在保证期内发现服务质量缺陷的，服务方应当负责返工或者采取补救措施。但因委托方使用、保管不当引起的问题除外。</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7" w:name="_Toc23573"/>
      <w:r>
        <w:rPr>
          <w:rFonts w:hint="eastAsia" w:ascii="宋体" w:hAnsi="宋体"/>
          <w:b/>
          <w:color w:val="auto"/>
          <w:szCs w:val="21"/>
          <w:highlight w:val="none"/>
        </w:rPr>
        <w:t>知识产权归属</w:t>
      </w:r>
      <w:bookmarkEnd w:id="65"/>
      <w:bookmarkEnd w:id="6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8" w:name="_Toc26358"/>
      <w:bookmarkStart w:id="69" w:name="_Toc435540765"/>
      <w:r>
        <w:rPr>
          <w:rFonts w:hint="eastAsia" w:ascii="宋体" w:hAnsi="宋体"/>
          <w:b/>
          <w:color w:val="auto"/>
          <w:szCs w:val="21"/>
          <w:highlight w:val="none"/>
        </w:rPr>
        <w:t>保密</w:t>
      </w:r>
      <w:bookmarkEnd w:id="68"/>
      <w:bookmarkEnd w:id="6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autoSpaceDE w:val="0"/>
        <w:autoSpaceDN w:val="0"/>
        <w:adjustRightInd w:val="0"/>
        <w:spacing w:line="360" w:lineRule="auto"/>
        <w:ind w:left="315" w:hanging="315" w:hangingChars="150"/>
        <w:jc w:val="left"/>
        <w:outlineLvl w:val="2"/>
        <w:rPr>
          <w:rFonts w:ascii="宋体" w:hAnsi="宋体"/>
          <w:color w:val="auto"/>
          <w:szCs w:val="21"/>
          <w:highlight w:val="none"/>
        </w:rPr>
      </w:pPr>
      <w:bookmarkStart w:id="70" w:name="_Toc26491"/>
      <w:bookmarkStart w:id="71" w:name="_Toc435540766"/>
      <w:r>
        <w:rPr>
          <w:rFonts w:hint="eastAsia" w:ascii="宋体" w:hAnsi="宋体"/>
          <w:color w:val="auto"/>
          <w:szCs w:val="21"/>
          <w:highlight w:val="none"/>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70"/>
    </w:p>
    <w:p>
      <w:pPr>
        <w:tabs>
          <w:tab w:val="left" w:pos="420"/>
        </w:tabs>
        <w:autoSpaceDE w:val="0"/>
        <w:autoSpaceDN w:val="0"/>
        <w:adjustRightInd w:val="0"/>
        <w:spacing w:line="360" w:lineRule="auto"/>
        <w:ind w:left="315" w:hanging="315" w:hangingChars="150"/>
        <w:jc w:val="left"/>
        <w:outlineLvl w:val="2"/>
        <w:rPr>
          <w:rFonts w:ascii="宋体" w:hAnsi="宋体"/>
          <w:b/>
          <w:color w:val="auto"/>
          <w:szCs w:val="21"/>
          <w:highlight w:val="none"/>
        </w:rPr>
      </w:pPr>
      <w:bookmarkStart w:id="72" w:name="_Toc28896"/>
      <w:r>
        <w:rPr>
          <w:rFonts w:hint="eastAsia" w:ascii="宋体" w:hAnsi="宋体"/>
          <w:color w:val="auto"/>
          <w:szCs w:val="21"/>
          <w:highlight w:val="none"/>
        </w:rPr>
        <w:t>2）除了合同本身之外，上款所列举的任何物件均是甲方的财产。如果甲方有要求，乙方在完成合同后应将这些物件及全部复制件还给甲方。</w:t>
      </w:r>
      <w:bookmarkEnd w:id="71"/>
      <w:bookmarkEnd w:id="72"/>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3" w:name="_Toc10369"/>
      <w:bookmarkStart w:id="74" w:name="_Toc435540767"/>
      <w:r>
        <w:rPr>
          <w:rFonts w:hint="eastAsia" w:ascii="宋体" w:hAnsi="宋体"/>
          <w:b/>
          <w:color w:val="auto"/>
          <w:szCs w:val="21"/>
          <w:highlight w:val="none"/>
        </w:rPr>
        <w:t>违约责任与赔偿损失</w:t>
      </w:r>
      <w:bookmarkEnd w:id="73"/>
    </w:p>
    <w:p>
      <w:pPr>
        <w:tabs>
          <w:tab w:val="left" w:pos="900"/>
        </w:tabs>
        <w:spacing w:line="360" w:lineRule="auto"/>
        <w:ind w:left="315" w:hanging="315" w:hangingChars="150"/>
        <w:rPr>
          <w:rFonts w:ascii="宋体" w:hAnsi="宋体"/>
          <w:color w:val="auto"/>
          <w:szCs w:val="21"/>
          <w:highlight w:val="none"/>
        </w:rPr>
      </w:pPr>
      <w:r>
        <w:rPr>
          <w:rFonts w:hint="eastAsia" w:ascii="宋体" w:hAnsi="宋体"/>
          <w:color w:val="auto"/>
          <w:szCs w:val="21"/>
          <w:highlight w:val="none"/>
        </w:rPr>
        <w:t>1）乙方提供的服务不符合采购文件、投标文件或本合同规定的，甲方有权拒收，并且乙方须向甲方支付本合同总价5%的违约金。</w:t>
      </w:r>
    </w:p>
    <w:p>
      <w:pPr>
        <w:tabs>
          <w:tab w:val="left" w:pos="720"/>
          <w:tab w:val="left" w:pos="900"/>
        </w:tabs>
        <w:spacing w:line="360" w:lineRule="auto"/>
        <w:ind w:left="315" w:right="51" w:hanging="315" w:hangingChars="150"/>
        <w:rPr>
          <w:rFonts w:ascii="宋体" w:hAnsi="宋体"/>
          <w:color w:val="auto"/>
          <w:szCs w:val="21"/>
          <w:highlight w:val="none"/>
        </w:rPr>
      </w:pPr>
      <w:r>
        <w:rPr>
          <w:rFonts w:hint="eastAsia" w:ascii="宋体" w:hAnsi="宋体"/>
          <w:color w:val="auto"/>
          <w:szCs w:val="21"/>
          <w:highlight w:val="none"/>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color w:val="auto"/>
          <w:szCs w:val="21"/>
          <w:highlight w:val="none"/>
        </w:rPr>
      </w:pPr>
      <w:r>
        <w:rPr>
          <w:rFonts w:hint="eastAsia" w:ascii="宋体" w:hAnsi="宋体"/>
          <w:color w:val="auto"/>
          <w:szCs w:val="21"/>
          <w:highlight w:val="none"/>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color w:val="auto"/>
          <w:szCs w:val="21"/>
          <w:highlight w:val="none"/>
        </w:rPr>
      </w:pPr>
      <w:r>
        <w:rPr>
          <w:rFonts w:hint="eastAsia" w:ascii="宋体" w:hAnsi="宋体"/>
          <w:bCs/>
          <w:color w:val="auto"/>
          <w:szCs w:val="21"/>
          <w:highlight w:val="none"/>
        </w:rPr>
        <w:t>4）其它违约责任按《中华人民共和国</w:t>
      </w:r>
      <w:r>
        <w:rPr>
          <w:rFonts w:hint="eastAsia" w:asciiTheme="minorEastAsia" w:hAnsiTheme="minorEastAsia" w:eastAsiaTheme="minorEastAsia"/>
          <w:color w:val="auto"/>
          <w:szCs w:val="21"/>
          <w:highlight w:val="none"/>
        </w:rPr>
        <w:t>民法典</w:t>
      </w:r>
      <w:r>
        <w:rPr>
          <w:rFonts w:hint="eastAsia" w:ascii="宋体" w:hAnsi="宋体"/>
          <w:bCs/>
          <w:color w:val="auto"/>
          <w:szCs w:val="21"/>
          <w:highlight w:val="none"/>
        </w:rPr>
        <w:t>》处理。</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5" w:name="_Toc26655"/>
      <w:r>
        <w:rPr>
          <w:rFonts w:hint="eastAsia" w:ascii="宋体" w:hAnsi="宋体"/>
          <w:b/>
          <w:color w:val="auto"/>
          <w:szCs w:val="21"/>
          <w:highlight w:val="none"/>
        </w:rPr>
        <w:t>争端的解决</w:t>
      </w:r>
      <w:bookmarkEnd w:id="74"/>
      <w:bookmarkEnd w:id="7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6" w:name="_Toc4084"/>
      <w:bookmarkStart w:id="77" w:name="_Toc435540768"/>
      <w:r>
        <w:rPr>
          <w:rFonts w:hint="eastAsia" w:ascii="宋体" w:hAnsi="宋体"/>
          <w:b/>
          <w:color w:val="auto"/>
          <w:szCs w:val="21"/>
          <w:highlight w:val="none"/>
        </w:rPr>
        <w:t>不可抗力</w:t>
      </w:r>
      <w:bookmarkEnd w:id="76"/>
      <w:bookmarkEnd w:id="7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8" w:name="_Toc21978"/>
      <w:bookmarkStart w:id="79" w:name="_Toc435540769"/>
      <w:r>
        <w:rPr>
          <w:rFonts w:hint="eastAsia" w:ascii="宋体" w:hAnsi="宋体"/>
          <w:b/>
          <w:color w:val="auto"/>
          <w:szCs w:val="21"/>
          <w:highlight w:val="none"/>
        </w:rPr>
        <w:t>税费</w:t>
      </w:r>
      <w:bookmarkEnd w:id="78"/>
      <w:bookmarkEnd w:id="7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在中国境内、外发生的与本合同执行有关的一切税费均由乙方负担。</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80" w:name="_Toc14244"/>
      <w:bookmarkStart w:id="81" w:name="_Toc435540770"/>
      <w:r>
        <w:rPr>
          <w:rFonts w:hint="eastAsia" w:ascii="宋体" w:hAnsi="宋体"/>
          <w:b/>
          <w:color w:val="auto"/>
          <w:szCs w:val="21"/>
          <w:highlight w:val="none"/>
        </w:rPr>
        <w:t>其它</w:t>
      </w:r>
      <w:bookmarkEnd w:id="80"/>
      <w:bookmarkEnd w:id="81"/>
    </w:p>
    <w:p>
      <w:pPr>
        <w:spacing w:line="360" w:lineRule="auto"/>
        <w:ind w:left="349" w:hanging="348" w:hangingChars="166"/>
        <w:rPr>
          <w:rFonts w:ascii="宋体" w:hAnsi="宋体"/>
          <w:b/>
          <w:color w:val="auto"/>
          <w:szCs w:val="21"/>
          <w:highlight w:val="none"/>
        </w:rPr>
      </w:pPr>
      <w:r>
        <w:rPr>
          <w:rFonts w:hint="eastAsia" w:ascii="宋体" w:hAnsi="宋体"/>
          <w:color w:val="auto"/>
          <w:szCs w:val="21"/>
          <w:highlight w:val="none"/>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）在执行本合同的过程中，所有经双方签署确认的文件（包括会议纪要、补充协议、往来信函）即成为本合同的有效组成部分。</w:t>
      </w:r>
    </w:p>
    <w:p>
      <w:pPr>
        <w:spacing w:line="360" w:lineRule="auto"/>
        <w:rPr>
          <w:rFonts w:ascii="宋体" w:hAnsi="宋体"/>
          <w:color w:val="auto"/>
          <w:szCs w:val="21"/>
          <w:highlight w:val="none"/>
        </w:rPr>
      </w:pPr>
      <w:r>
        <w:rPr>
          <w:rFonts w:hint="eastAsia" w:ascii="宋体" w:hAnsi="宋体"/>
          <w:color w:val="auto"/>
          <w:szCs w:val="21"/>
          <w:highlight w:val="none"/>
        </w:rPr>
        <w:t xml:space="preserve">3）如一方地址、电话、传真号码有变更，应在变更当日内书面通知对方，否则，应承担相应责任。 </w:t>
      </w:r>
    </w:p>
    <w:p>
      <w:pPr>
        <w:spacing w:line="360" w:lineRule="auto"/>
        <w:rPr>
          <w:rFonts w:ascii="宋体" w:hAnsi="宋体"/>
          <w:color w:val="auto"/>
          <w:szCs w:val="21"/>
          <w:highlight w:val="none"/>
        </w:rPr>
      </w:pPr>
      <w:r>
        <w:rPr>
          <w:rFonts w:hint="eastAsia" w:ascii="宋体" w:hAnsi="宋体"/>
          <w:color w:val="auto"/>
          <w:szCs w:val="21"/>
          <w:highlight w:val="none"/>
        </w:rPr>
        <w:t>4）除甲方事先书面同意外，乙方不得部分或全部转让其应履行的合同项下的义务。</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82" w:name="_Toc435540771"/>
      <w:bookmarkStart w:id="83" w:name="_Toc29893"/>
      <w:r>
        <w:rPr>
          <w:rFonts w:hint="eastAsia" w:ascii="宋体" w:hAnsi="宋体"/>
          <w:b/>
          <w:color w:val="auto"/>
          <w:szCs w:val="21"/>
          <w:highlight w:val="none"/>
        </w:rPr>
        <w:t>合同生效</w:t>
      </w:r>
      <w:bookmarkEnd w:id="82"/>
      <w:bookmarkEnd w:id="83"/>
    </w:p>
    <w:p>
      <w:pPr>
        <w:spacing w:line="360" w:lineRule="auto"/>
        <w:rPr>
          <w:rFonts w:ascii="宋体" w:hAnsi="宋体" w:cs="宋体"/>
          <w:color w:val="auto"/>
          <w:szCs w:val="21"/>
          <w:highlight w:val="none"/>
        </w:rPr>
      </w:pPr>
      <w:r>
        <w:rPr>
          <w:rFonts w:hint="eastAsia" w:ascii="宋体" w:hAnsi="宋体" w:cs="宋体"/>
          <w:color w:val="auto"/>
          <w:szCs w:val="21"/>
          <w:highlight w:val="none"/>
        </w:rPr>
        <w:t>1）合同自甲乙双方法人代表或其授权代表签字盖章之日起生效。</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合同壹式陆份，其中甲方执肆份，乙方执贰份</w:t>
      </w:r>
      <w:r>
        <w:rPr>
          <w:rFonts w:hint="eastAsia" w:ascii="宋体" w:hAnsi="宋体"/>
          <w:color w:val="auto"/>
          <w:szCs w:val="21"/>
          <w:highlight w:val="none"/>
        </w:rPr>
        <w:t>。</w:t>
      </w:r>
    </w:p>
    <w:p>
      <w:pPr>
        <w:tabs>
          <w:tab w:val="left" w:pos="720"/>
        </w:tabs>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甲方（盖章）：                          乙方（盖章）：</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代表：                                  代表： </w:t>
      </w:r>
    </w:p>
    <w:p>
      <w:pPr>
        <w:snapToGrid w:val="0"/>
        <w:spacing w:line="360" w:lineRule="auto"/>
        <w:rPr>
          <w:rFonts w:ascii="宋体" w:hAnsi="宋体" w:cs="宋体"/>
          <w:color w:val="auto"/>
          <w:szCs w:val="21"/>
          <w:highlight w:val="none"/>
        </w:rPr>
      </w:pPr>
      <w:r>
        <w:rPr>
          <w:rFonts w:hint="default" w:ascii="宋体" w:hAnsi="宋体" w:cs="宋体"/>
          <w:color w:val="auto"/>
          <w:szCs w:val="21"/>
          <w:highlight w:val="none"/>
          <w:lang w:val="en"/>
        </w:rPr>
        <w:t>签订</w:t>
      </w:r>
      <w:r>
        <w:rPr>
          <w:rFonts w:hint="eastAsia" w:ascii="宋体" w:hAnsi="宋体" w:cs="宋体"/>
          <w:color w:val="auto"/>
          <w:szCs w:val="21"/>
          <w:highlight w:val="none"/>
        </w:rPr>
        <w:t>地点：</w:t>
      </w:r>
    </w:p>
    <w:p>
      <w:pPr>
        <w:snapToGrid w:val="0"/>
        <w:spacing w:line="360" w:lineRule="auto"/>
        <w:rPr>
          <w:rFonts w:ascii="宋体" w:hAnsi="宋体" w:cs="宋体"/>
          <w:color w:val="auto"/>
          <w:szCs w:val="21"/>
          <w:highlight w:val="none"/>
        </w:rPr>
      </w:pPr>
      <w:r>
        <w:rPr>
          <w:rFonts w:hint="default" w:ascii="宋体" w:hAnsi="宋体" w:cs="宋体"/>
          <w:color w:val="auto"/>
          <w:szCs w:val="21"/>
          <w:highlight w:val="none"/>
          <w:lang w:val="en"/>
        </w:rPr>
        <w:t>签订</w:t>
      </w:r>
      <w:r>
        <w:rPr>
          <w:rFonts w:hint="eastAsia" w:ascii="宋体" w:hAnsi="宋体" w:cs="宋体"/>
          <w:color w:val="auto"/>
          <w:szCs w:val="21"/>
          <w:highlight w:val="none"/>
        </w:rPr>
        <w:t xml:space="preserve">日期：        年     月    日       </w:t>
      </w:r>
      <w:r>
        <w:rPr>
          <w:rFonts w:hint="default" w:ascii="宋体" w:hAnsi="宋体" w:cs="宋体"/>
          <w:color w:val="auto"/>
          <w:szCs w:val="21"/>
          <w:highlight w:val="none"/>
          <w:lang w:val="en"/>
        </w:rPr>
        <w:t>签订</w:t>
      </w:r>
      <w:r>
        <w:rPr>
          <w:rFonts w:hint="eastAsia" w:ascii="宋体" w:hAnsi="宋体" w:cs="宋体"/>
          <w:color w:val="auto"/>
          <w:szCs w:val="21"/>
          <w:highlight w:val="none"/>
        </w:rPr>
        <w:t xml:space="preserve">日期：        年     月     日    </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开户名称：</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银行账号：</w:t>
      </w:r>
    </w:p>
    <w:p>
      <w:pPr>
        <w:snapToGrid w:val="0"/>
        <w:spacing w:line="360" w:lineRule="auto"/>
        <w:ind w:firstLine="4200" w:firstLineChars="2000"/>
        <w:rPr>
          <w:rFonts w:ascii="宋体" w:hAnsi="宋体"/>
          <w:color w:val="auto"/>
          <w:szCs w:val="21"/>
          <w:highlight w:val="none"/>
        </w:rPr>
      </w:pPr>
      <w:r>
        <w:rPr>
          <w:rFonts w:hint="eastAsia" w:ascii="宋体" w:hAnsi="宋体" w:cs="宋体"/>
          <w:color w:val="auto"/>
          <w:szCs w:val="21"/>
          <w:highlight w:val="none"/>
        </w:rPr>
        <w:t>开 户 行：</w:t>
      </w:r>
    </w:p>
    <w:p>
      <w:pPr>
        <w:widowControl/>
        <w:jc w:val="left"/>
        <w:rPr>
          <w:rFonts w:ascii="宋体" w:hAnsi="宋体"/>
          <w:b/>
          <w:color w:val="auto"/>
          <w:highlight w:val="none"/>
        </w:rPr>
      </w:pPr>
      <w:r>
        <w:rPr>
          <w:b/>
          <w:bCs/>
          <w:color w:val="auto"/>
          <w:sz w:val="28"/>
          <w:szCs w:val="28"/>
          <w:highlight w:val="none"/>
        </w:rPr>
        <w:br w:type="page"/>
      </w:r>
    </w:p>
    <w:p>
      <w:pPr>
        <w:pStyle w:val="2"/>
        <w:jc w:val="center"/>
        <w:rPr>
          <w:rFonts w:asciiTheme="majorEastAsia" w:hAnsiTheme="majorEastAsia" w:eastAsiaTheme="majorEastAsia" w:cstheme="majorEastAsia"/>
          <w:color w:val="auto"/>
          <w:sz w:val="32"/>
          <w:szCs w:val="32"/>
          <w:highlight w:val="none"/>
        </w:rPr>
      </w:pPr>
      <w:bookmarkStart w:id="84" w:name="_Toc22206"/>
      <w:bookmarkStart w:id="85" w:name="_Toc8307306"/>
      <w:bookmarkStart w:id="86" w:name="_Toc435115056"/>
      <w:bookmarkStart w:id="87" w:name="_Toc24338"/>
      <w:bookmarkStart w:id="88" w:name="_Toc9128_WPSOffice_Level1"/>
      <w:bookmarkStart w:id="89" w:name="_Toc77947879"/>
      <w:bookmarkStart w:id="90" w:name="_Toc435514851"/>
      <w:r>
        <w:rPr>
          <w:rFonts w:hint="eastAsia" w:asciiTheme="majorEastAsia" w:hAnsiTheme="majorEastAsia" w:eastAsiaTheme="majorEastAsia" w:cstheme="majorEastAsia"/>
          <w:color w:val="auto"/>
          <w:sz w:val="32"/>
          <w:szCs w:val="32"/>
          <w:highlight w:val="none"/>
        </w:rPr>
        <w:t>第六章 投标文件格式</w:t>
      </w:r>
      <w:bookmarkEnd w:id="84"/>
      <w:bookmarkEnd w:id="85"/>
      <w:bookmarkEnd w:id="86"/>
      <w:bookmarkEnd w:id="87"/>
      <w:bookmarkEnd w:id="88"/>
      <w:bookmarkEnd w:id="89"/>
      <w:bookmarkEnd w:id="90"/>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91" w:name="_Toc8080"/>
      <w:bookmarkStart w:id="92" w:name="_Toc435514852"/>
      <w:bookmarkStart w:id="93" w:name="_Toc77947880"/>
      <w:bookmarkStart w:id="94" w:name="_Toc435515292"/>
      <w:r>
        <w:rPr>
          <w:rFonts w:hint="eastAsia" w:asciiTheme="majorEastAsia" w:hAnsiTheme="majorEastAsia" w:eastAsiaTheme="majorEastAsia"/>
          <w:color w:val="auto"/>
          <w:sz w:val="30"/>
          <w:szCs w:val="30"/>
          <w:highlight w:val="none"/>
        </w:rPr>
        <w:t>投标文件包装封面参考</w:t>
      </w:r>
      <w:bookmarkEnd w:id="91"/>
      <w:bookmarkEnd w:id="92"/>
      <w:bookmarkEnd w:id="93"/>
      <w:bookmarkEnd w:id="94"/>
    </w:p>
    <w:tbl>
      <w:tblPr>
        <w:tblStyle w:val="11"/>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5"/>
              <w:spacing w:line="360" w:lineRule="auto"/>
              <w:ind w:firstLine="482" w:firstLineChars="150"/>
              <w:rPr>
                <w:rFonts w:ascii="仿宋_GB2312" w:eastAsia="仿宋_GB2312"/>
                <w:b/>
                <w:color w:val="auto"/>
                <w:sz w:val="32"/>
                <w:highlight w:val="none"/>
              </w:rPr>
            </w:pPr>
          </w:p>
          <w:p>
            <w:pPr>
              <w:pStyle w:val="5"/>
              <w:spacing w:line="360" w:lineRule="auto"/>
              <w:ind w:firstLine="482" w:firstLineChars="150"/>
              <w:rPr>
                <w:rFonts w:ascii="仿宋_GB2312" w:eastAsia="仿宋_GB2312"/>
                <w:b/>
                <w:color w:val="auto"/>
                <w:sz w:val="32"/>
                <w:highlight w:val="none"/>
              </w:rPr>
            </w:pPr>
          </w:p>
          <w:p>
            <w:pPr>
              <w:pStyle w:val="5"/>
              <w:spacing w:line="360" w:lineRule="auto"/>
              <w:ind w:firstLine="482" w:firstLineChars="150"/>
              <w:rPr>
                <w:rFonts w:ascii="仿宋_GB2312" w:eastAsia="仿宋_GB2312"/>
                <w:b/>
                <w:color w:val="auto"/>
                <w:sz w:val="32"/>
                <w:highlight w:val="none"/>
              </w:rPr>
            </w:pPr>
          </w:p>
          <w:p>
            <w:pPr>
              <w:pStyle w:val="5"/>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5"/>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5"/>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5"/>
              <w:spacing w:line="360" w:lineRule="auto"/>
              <w:rPr>
                <w:rFonts w:ascii="仿宋_GB2312" w:eastAsia="仿宋_GB2312"/>
                <w:b/>
                <w:color w:val="auto"/>
                <w:sz w:val="32"/>
                <w:highlight w:val="none"/>
              </w:rPr>
            </w:pPr>
          </w:p>
          <w:p>
            <w:pPr>
              <w:pStyle w:val="5"/>
              <w:spacing w:line="360" w:lineRule="auto"/>
              <w:rPr>
                <w:rFonts w:ascii="仿宋_GB2312" w:eastAsia="仿宋_GB2312"/>
                <w:b/>
                <w:color w:val="auto"/>
                <w:sz w:val="32"/>
                <w:highlight w:val="none"/>
              </w:rPr>
            </w:pPr>
          </w:p>
          <w:p>
            <w:pPr>
              <w:pStyle w:val="5"/>
              <w:spacing w:line="360" w:lineRule="auto"/>
              <w:rPr>
                <w:rFonts w:ascii="仿宋_GB2312" w:eastAsia="仿宋_GB2312"/>
                <w:b/>
                <w:color w:val="auto"/>
                <w:sz w:val="32"/>
                <w:highlight w:val="none"/>
              </w:rPr>
            </w:pPr>
          </w:p>
          <w:p>
            <w:pPr>
              <w:pStyle w:val="5"/>
              <w:spacing w:line="400" w:lineRule="exact"/>
              <w:ind w:firstLine="900" w:firstLineChars="320"/>
              <w:rPr>
                <w:rFonts w:hint="default" w:ascii="仿宋_GB2312" w:eastAsia="仿宋_GB2312"/>
                <w:b/>
                <w:color w:val="auto"/>
                <w:sz w:val="28"/>
                <w:szCs w:val="28"/>
                <w:highlight w:val="none"/>
                <w:lang w:val="en"/>
              </w:rPr>
            </w:pPr>
            <w:r>
              <w:rPr>
                <w:rFonts w:hint="eastAsia" w:ascii="仿宋_GB2312" w:eastAsia="仿宋_GB2312"/>
                <w:b/>
                <w:color w:val="auto"/>
                <w:sz w:val="28"/>
                <w:szCs w:val="28"/>
                <w:highlight w:val="none"/>
              </w:rPr>
              <w:t>项目编号：</w:t>
            </w:r>
            <w:r>
              <w:rPr>
                <w:rFonts w:hint="default" w:ascii="仿宋_GB2312" w:eastAsia="仿宋_GB2312"/>
                <w:b/>
                <w:color w:val="auto"/>
                <w:sz w:val="28"/>
                <w:szCs w:val="28"/>
                <w:highlight w:val="none"/>
                <w:lang w:val="en"/>
              </w:rPr>
              <w:t>NSSHJDMSWSS20221107-2</w:t>
            </w:r>
          </w:p>
          <w:p>
            <w:pPr>
              <w:pStyle w:val="5"/>
              <w:spacing w:line="400" w:lineRule="exact"/>
              <w:ind w:firstLine="900" w:firstLineChars="320"/>
              <w:rPr>
                <w:rFonts w:hint="eastAsia" w:ascii="仿宋_GB2312" w:eastAsia="仿宋_GB2312"/>
                <w:b/>
                <w:color w:val="auto"/>
                <w:sz w:val="28"/>
                <w:szCs w:val="28"/>
                <w:highlight w:val="none"/>
                <w:lang w:val="en"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val="en" w:eastAsia="zh-CN"/>
              </w:rPr>
              <w:t>华侨城中学（深圳湾部）交通安全提升项目</w:t>
            </w:r>
          </w:p>
          <w:p>
            <w:pPr>
              <w:pStyle w:val="5"/>
              <w:spacing w:line="400" w:lineRule="exact"/>
              <w:ind w:firstLine="900"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p>
          <w:p>
            <w:pPr>
              <w:pStyle w:val="5"/>
              <w:spacing w:line="400" w:lineRule="exact"/>
              <w:ind w:firstLine="900"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pPr>
              <w:tabs>
                <w:tab w:val="left" w:pos="851"/>
              </w:tabs>
              <w:autoSpaceDE w:val="0"/>
              <w:autoSpaceDN w:val="0"/>
              <w:adjustRightInd w:val="0"/>
              <w:snapToGrid w:val="0"/>
              <w:spacing w:line="420" w:lineRule="auto"/>
              <w:ind w:firstLine="829" w:firstLineChars="295"/>
              <w:rPr>
                <w:rFonts w:ascii="仿宋_GB2312" w:eastAsia="仿宋_GB2312"/>
                <w:b/>
                <w:color w:val="auto"/>
                <w:sz w:val="32"/>
                <w:highlight w:val="none"/>
              </w:rPr>
            </w:pPr>
            <w:r>
              <w:rPr>
                <w:rFonts w:hint="eastAsia" w:ascii="仿宋_GB2312" w:eastAsia="仿宋_GB2312"/>
                <w:b/>
                <w:color w:val="auto"/>
                <w:sz w:val="28"/>
                <w:szCs w:val="28"/>
                <w:highlight w:val="none"/>
              </w:rPr>
              <w:t>开标之前不得启封</w:t>
            </w:r>
          </w:p>
        </w:tc>
      </w:tr>
    </w:tbl>
    <w:p>
      <w:pPr>
        <w:rPr>
          <w:color w:val="auto"/>
          <w:highlight w:val="none"/>
        </w:rPr>
      </w:pPr>
      <w:bookmarkStart w:id="95" w:name="_Toc435514865"/>
      <w:bookmarkStart w:id="96" w:name="_Toc435515305"/>
      <w:r>
        <w:rPr>
          <w:rFonts w:hint="eastAsia"/>
          <w:color w:val="auto"/>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97" w:name="_Toc77947881"/>
      <w:bookmarkStart w:id="98" w:name="_Toc29334"/>
      <w:r>
        <w:rPr>
          <w:rFonts w:hint="eastAsia" w:asciiTheme="majorEastAsia" w:hAnsiTheme="majorEastAsia" w:eastAsiaTheme="majorEastAsia"/>
          <w:color w:val="auto"/>
          <w:sz w:val="30"/>
          <w:szCs w:val="30"/>
          <w:highlight w:val="none"/>
        </w:rPr>
        <w:t>营业执照等资质文件</w:t>
      </w:r>
      <w:bookmarkEnd w:id="97"/>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bookmarkEnd w:id="95"/>
    <w:bookmarkEnd w:id="96"/>
    <w:bookmarkEnd w:id="98"/>
    <w:p>
      <w:pPr>
        <w:spacing w:line="400" w:lineRule="exact"/>
        <w:rPr>
          <w:rFonts w:ascii="宋体" w:hAnsi="宋体"/>
          <w:b/>
          <w:bCs/>
          <w:color w:val="auto"/>
          <w:szCs w:val="21"/>
          <w:highlight w:val="none"/>
        </w:rPr>
        <w:sectPr>
          <w:headerReference r:id="rId8" w:type="default"/>
          <w:footerReference r:id="rId9" w:type="default"/>
          <w:pgSz w:w="11906" w:h="16838"/>
          <w:pgMar w:top="1440" w:right="1286" w:bottom="1440" w:left="1440" w:header="851" w:footer="992" w:gutter="0"/>
          <w:cols w:space="720" w:num="1"/>
          <w:docGrid w:type="lines" w:linePitch="312" w:charSpace="0"/>
        </w:sectPr>
      </w:pPr>
    </w:p>
    <w:p>
      <w:pPr>
        <w:pStyle w:val="3"/>
        <w:numPr>
          <w:ilvl w:val="0"/>
          <w:numId w:val="10"/>
        </w:numPr>
        <w:spacing w:line="240" w:lineRule="auto"/>
        <w:jc w:val="center"/>
        <w:rPr>
          <w:b w:val="0"/>
          <w:color w:val="auto"/>
          <w:highlight w:val="none"/>
        </w:rPr>
      </w:pPr>
      <w:bookmarkStart w:id="99" w:name="_Toc77947882"/>
      <w:bookmarkStart w:id="100" w:name="_Toc275865605"/>
      <w:bookmarkStart w:id="101" w:name="_Toc20322_WPSOffice_Level1"/>
      <w:bookmarkStart w:id="102" w:name="_Toc1762"/>
      <w:bookmarkStart w:id="103" w:name="_Toc435515294"/>
      <w:bookmarkStart w:id="104" w:name="_Toc435514854"/>
      <w:r>
        <w:rPr>
          <w:rFonts w:hint="eastAsia" w:asciiTheme="majorEastAsia" w:hAnsiTheme="majorEastAsia" w:eastAsiaTheme="majorEastAsia"/>
          <w:color w:val="auto"/>
          <w:sz w:val="30"/>
          <w:szCs w:val="30"/>
          <w:highlight w:val="none"/>
        </w:rPr>
        <w:t>投标函</w:t>
      </w:r>
      <w:bookmarkEnd w:id="99"/>
      <w:bookmarkEnd w:id="100"/>
      <w:bookmarkEnd w:id="101"/>
      <w:bookmarkEnd w:id="102"/>
      <w:bookmarkEnd w:id="103"/>
      <w:bookmarkEnd w:id="104"/>
    </w:p>
    <w:p>
      <w:pPr>
        <w:spacing w:line="360" w:lineRule="auto"/>
        <w:ind w:left="105" w:leftChars="50" w:firstLine="2"/>
        <w:rPr>
          <w:rFonts w:ascii="宋体" w:hAnsi="宋体"/>
          <w:b/>
          <w:color w:val="auto"/>
          <w:highlight w:val="none"/>
        </w:rPr>
      </w:pPr>
      <w:r>
        <w:rPr>
          <w:rFonts w:hint="eastAsia" w:ascii="宋体" w:hAnsi="宋体"/>
          <w:b/>
          <w:color w:val="auto"/>
          <w:highlight w:val="none"/>
        </w:rPr>
        <w:t>致：深圳市南山区沙河街道办事处</w:t>
      </w:r>
    </w:p>
    <w:p>
      <w:pPr>
        <w:spacing w:line="360" w:lineRule="auto"/>
        <w:ind w:left="105" w:leftChars="50" w:firstLine="373" w:firstLineChars="178"/>
        <w:rPr>
          <w:rFonts w:ascii="宋体" w:hAnsi="宋体"/>
          <w:color w:val="auto"/>
          <w:highlight w:val="none"/>
        </w:rPr>
      </w:pPr>
      <w:r>
        <w:rPr>
          <w:rFonts w:hint="eastAsia" w:ascii="宋体" w:hAnsi="宋体"/>
          <w:color w:val="auto"/>
          <w:highlight w:val="none"/>
        </w:rPr>
        <w:t>我方确认收到贵方</w:t>
      </w:r>
      <w:r>
        <w:rPr>
          <w:rFonts w:hint="eastAsia" w:ascii="宋体" w:hAnsi="宋体"/>
          <w:color w:val="auto"/>
          <w:kern w:val="28"/>
          <w:highlight w:val="none"/>
          <w:u w:val="single"/>
        </w:rPr>
        <w:t xml:space="preserve">           </w:t>
      </w:r>
      <w:r>
        <w:rPr>
          <w:rFonts w:hint="eastAsia" w:ascii="宋体" w:hAnsi="宋体"/>
          <w:color w:val="auto"/>
          <w:kern w:val="28"/>
          <w:highlight w:val="none"/>
          <w:u w:val="single"/>
          <w:lang w:val="en" w:eastAsia="zh-CN"/>
        </w:rPr>
        <w:t>华侨城中学（深圳湾部）交通安全提升项目</w:t>
      </w:r>
      <w:r>
        <w:rPr>
          <w:rFonts w:hint="eastAsia" w:ascii="宋体" w:hAnsi="宋体"/>
          <w:color w:val="auto"/>
          <w:kern w:val="28"/>
          <w:highlight w:val="none"/>
          <w:u w:val="single"/>
        </w:rPr>
        <w:t xml:space="preserve">        </w:t>
      </w:r>
      <w:r>
        <w:rPr>
          <w:rFonts w:hint="eastAsia" w:ascii="宋体" w:hAnsi="宋体"/>
          <w:color w:val="auto"/>
          <w:kern w:val="28"/>
          <w:highlight w:val="none"/>
        </w:rPr>
        <w:t>采购</w:t>
      </w:r>
      <w:r>
        <w:rPr>
          <w:rFonts w:hint="eastAsia" w:ascii="宋体" w:hAnsi="宋体"/>
          <w:color w:val="auto"/>
          <w:highlight w:val="none"/>
        </w:rPr>
        <w:t>货物及相关服务的招标文件（项目编号：</w:t>
      </w:r>
      <w:r>
        <w:rPr>
          <w:rFonts w:hint="default" w:ascii="宋体" w:hAnsi="宋体"/>
          <w:color w:val="auto"/>
          <w:highlight w:val="none"/>
          <w:lang w:val="en"/>
        </w:rPr>
        <w:t>NSSHJDMSWSS20221107-2</w:t>
      </w:r>
      <w:r>
        <w:rPr>
          <w:rFonts w:hint="eastAsia" w:ascii="宋体" w:hAnsi="宋体"/>
          <w:color w:val="auto"/>
          <w:highlight w:val="none"/>
        </w:rPr>
        <w:t>），</w:t>
      </w:r>
      <w:r>
        <w:rPr>
          <w:rFonts w:hint="eastAsia" w:ascii="宋体" w:hAnsi="宋体"/>
          <w:color w:val="auto"/>
          <w:highlight w:val="none"/>
          <w:u w:val="single"/>
        </w:rPr>
        <w:t xml:space="preserve"> (投标人名称、地址)</w:t>
      </w:r>
      <w:r>
        <w:rPr>
          <w:rFonts w:hint="eastAsia" w:ascii="宋体" w:hAnsi="宋体"/>
          <w:color w:val="auto"/>
          <w:highlight w:val="none"/>
        </w:rPr>
        <w:t>作为投标人已正式授权</w:t>
      </w:r>
      <w:r>
        <w:rPr>
          <w:rFonts w:hint="eastAsia" w:ascii="宋体" w:hAnsi="宋体"/>
          <w:color w:val="auto"/>
          <w:highlight w:val="none"/>
          <w:u w:val="single"/>
        </w:rPr>
        <w:t xml:space="preserve"> (被投标人授权代表全名、职务)</w:t>
      </w:r>
      <w:r>
        <w:rPr>
          <w:rFonts w:hint="eastAsia" w:ascii="宋体" w:hAnsi="宋体"/>
          <w:color w:val="auto"/>
          <w:highlight w:val="none"/>
        </w:rPr>
        <w:t>为我方签名代表，签名代表在此声明并同意：</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我单位愿意遵守招标文件的各项规定，自愿参加投标，并已清楚招标文件的要求及有关文件规定，并严格按照招标文件的规定履行全部责任和义务。</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我们同意本投标文件的投标有效期从提交投标文件的截止之日起 90 日历日内有效，并承诺不予撤销已递交的投标文件。</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我单位已经详细地阅读并完全明白了全部招标文件及附件，包括澄清（如有）及参考文件，我单位完全理解本招标文件的要求，</w:t>
      </w:r>
      <w:r>
        <w:rPr>
          <w:rFonts w:hint="eastAsia" w:ascii="宋体"/>
          <w:b/>
          <w:color w:val="auto"/>
          <w:highlight w:val="none"/>
        </w:rPr>
        <w:t>我单位同意放弃对招标文件提出不明或误解的一切权力</w:t>
      </w:r>
      <w:r>
        <w:rPr>
          <w:rFonts w:hint="eastAsia" w:ascii="宋体" w:hAnsi="宋体"/>
          <w:b/>
          <w:color w:val="auto"/>
          <w:highlight w:val="none"/>
        </w:rPr>
        <w:t>。</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我单位同意提供</w:t>
      </w:r>
      <w:r>
        <w:rPr>
          <w:rFonts w:hint="eastAsia" w:ascii="宋体" w:hAnsi="宋体" w:cs="宋体"/>
          <w:b/>
          <w:color w:val="auto"/>
          <w:szCs w:val="21"/>
          <w:highlight w:val="none"/>
          <w:lang w:eastAsia="zh-TW"/>
        </w:rPr>
        <w:t>采购人</w:t>
      </w:r>
      <w:r>
        <w:rPr>
          <w:rFonts w:hint="eastAsia" w:ascii="宋体" w:hAnsi="宋体"/>
          <w:b/>
          <w:color w:val="auto"/>
          <w:highlight w:val="none"/>
        </w:rPr>
        <w:t>与评标委员会要求的有关投标的一切数据或资料。</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 xml:space="preserve">如果我单位未对招标文件全部要求作出实质性响应，则完全同意并接受按无效投标处理。 </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如果我单位提供的声明或承诺不真实，则完全同意认定为我司提供虚假材料，并同意作相应处理。</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我单位是依法注册的法人，在法律、财务及运作上完全独立于本项目采购人、用户单位（如有）和采购人。</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所有有关本次投标的函电请寄：</w:t>
      </w:r>
      <w:r>
        <w:rPr>
          <w:rFonts w:hint="eastAsia" w:ascii="宋体" w:hAnsi="宋体"/>
          <w:b/>
          <w:color w:val="auto"/>
          <w:highlight w:val="none"/>
          <w:u w:val="single"/>
        </w:rPr>
        <w:t xml:space="preserve">  （投标人地址）   </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备注：1、投标函中承诺的投标有效期应当不少于招标文件中载明的投标有效期，否则视为无效投标。</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 xml:space="preserve">2、除投标有效期承诺的时间外，本投标函内容不得擅自删改，否则视为无效投标。 </w:t>
      </w:r>
    </w:p>
    <w:p>
      <w:pPr>
        <w:autoSpaceDE w:val="0"/>
        <w:autoSpaceDN w:val="0"/>
        <w:adjustRightInd w:val="0"/>
        <w:spacing w:line="360" w:lineRule="auto"/>
        <w:rPr>
          <w:rFonts w:ascii="宋体" w:hAnsi="宋体"/>
          <w:b/>
          <w:color w:val="auto"/>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adjustRightInd w:val="0"/>
        <w:snapToGrid w:val="0"/>
        <w:spacing w:line="360" w:lineRule="auto"/>
        <w:rPr>
          <w:rFonts w:ascii="黑体" w:eastAsia="黑体"/>
          <w:b/>
          <w:bCs/>
          <w:color w:val="auto"/>
          <w:sz w:val="24"/>
          <w:highlight w:val="none"/>
        </w:rPr>
        <w:sectPr>
          <w:pgSz w:w="11906" w:h="16838"/>
          <w:pgMar w:top="1440" w:right="1286" w:bottom="1440" w:left="1440" w:header="851" w:footer="992" w:gutter="0"/>
          <w:cols w:space="720" w:num="1"/>
          <w:docGrid w:type="lines" w:linePitch="312" w:charSpace="0"/>
        </w:sectPr>
      </w:pP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05" w:name="_Toc24650"/>
      <w:bookmarkStart w:id="106" w:name="_Toc435515295"/>
      <w:bookmarkStart w:id="107" w:name="_Toc77947883"/>
      <w:bookmarkStart w:id="108" w:name="_Toc435514855"/>
      <w:bookmarkStart w:id="109" w:name="_Toc275865606"/>
      <w:r>
        <w:rPr>
          <w:rFonts w:hint="eastAsia" w:asciiTheme="majorEastAsia" w:hAnsiTheme="majorEastAsia" w:eastAsiaTheme="majorEastAsia"/>
          <w:color w:val="auto"/>
          <w:sz w:val="30"/>
          <w:szCs w:val="30"/>
          <w:highlight w:val="none"/>
        </w:rPr>
        <w:t>投标人资格声明函</w:t>
      </w:r>
      <w:bookmarkEnd w:id="105"/>
      <w:bookmarkEnd w:id="106"/>
      <w:bookmarkEnd w:id="107"/>
      <w:bookmarkEnd w:id="108"/>
      <w:bookmarkEnd w:id="109"/>
    </w:p>
    <w:p>
      <w:pPr>
        <w:spacing w:line="360" w:lineRule="auto"/>
        <w:rPr>
          <w:rFonts w:ascii="宋体" w:hAnsi="宋体"/>
          <w:color w:val="auto"/>
          <w:szCs w:val="21"/>
          <w:highlight w:val="none"/>
        </w:rPr>
      </w:pPr>
      <w:r>
        <w:rPr>
          <w:rFonts w:hint="eastAsia" w:ascii="宋体" w:hAnsi="宋体"/>
          <w:color w:val="auto"/>
          <w:szCs w:val="21"/>
          <w:highlight w:val="none"/>
        </w:rPr>
        <w:t>致：</w:t>
      </w:r>
      <w:bookmarkStart w:id="110" w:name="_Hlk77945936"/>
      <w:r>
        <w:rPr>
          <w:rFonts w:hint="eastAsia" w:ascii="宋体" w:hAnsi="宋体"/>
          <w:color w:val="auto"/>
          <w:szCs w:val="21"/>
          <w:highlight w:val="none"/>
        </w:rPr>
        <w:t>深圳市南山区沙河街道办事处</w:t>
      </w:r>
      <w:bookmarkEnd w:id="110"/>
    </w:p>
    <w:p>
      <w:pPr>
        <w:pStyle w:val="20"/>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关于贵公司代理的</w:t>
      </w:r>
      <w:r>
        <w:rPr>
          <w:rFonts w:hint="eastAsia" w:ascii="宋体" w:hAnsi="宋体"/>
          <w:color w:val="auto"/>
          <w:highlight w:val="none"/>
          <w:u w:val="single"/>
        </w:rPr>
        <w:t xml:space="preserve">  </w:t>
      </w:r>
      <w:r>
        <w:rPr>
          <w:rFonts w:hint="eastAsia" w:ascii="宋体" w:hAnsi="宋体"/>
          <w:color w:val="auto"/>
          <w:highlight w:val="none"/>
          <w:u w:val="single"/>
          <w:lang w:val="en" w:eastAsia="zh-CN"/>
        </w:rPr>
        <w:t>华侨城中学（深圳湾部）交通安全提升项目</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default" w:ascii="宋体" w:hAnsi="宋体"/>
          <w:color w:val="auto"/>
          <w:highlight w:val="none"/>
          <w:lang w:val="en"/>
        </w:rPr>
        <w:t>NSSHJDMSWSS20221107-2</w:t>
      </w:r>
      <w:r>
        <w:rPr>
          <w:rFonts w:hint="eastAsia" w:ascii="宋体" w:hAnsi="宋体"/>
          <w:color w:val="auto"/>
          <w:highlight w:val="none"/>
        </w:rPr>
        <w:t>）招标，本公司（企业）愿意参加投标，并声明：</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《中华人民共和国政府采购法》</w:t>
      </w:r>
      <w:r>
        <w:rPr>
          <w:rFonts w:hint="eastAsia" w:asciiTheme="minorEastAsia" w:hAnsiTheme="minorEastAsia" w:eastAsiaTheme="minorEastAsia"/>
          <w:bCs/>
          <w:color w:val="auto"/>
          <w:szCs w:val="21"/>
          <w:highlight w:val="none"/>
        </w:rPr>
        <w:t>第二十二条规定的条件：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我公司对本招标项目所提供的货物或服务未侵犯知识产权。</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我公司保证采购人拥有所投产品完整的所有权，不以保护知识产权或技术保密的名义对所有权和使用权进行任何限制。</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pPr>
        <w:numPr>
          <w:ilvl w:val="0"/>
          <w:numId w:val="12"/>
        </w:numPr>
        <w:spacing w:line="360" w:lineRule="auto"/>
        <w:ind w:right="-815" w:firstLineChars="200"/>
        <w:rPr>
          <w:bCs/>
          <w:color w:val="auto"/>
          <w:szCs w:val="21"/>
          <w:highlight w:val="none"/>
        </w:rPr>
      </w:pPr>
      <w:r>
        <w:rPr>
          <w:rFonts w:hint="eastAsia"/>
          <w:bCs/>
          <w:color w:val="auto"/>
          <w:szCs w:val="21"/>
          <w:highlight w:val="none"/>
        </w:rPr>
        <w:t>根据《中华人民共和国政府采购法实施条例》的规定，本公司（企业）如为采购项目（包组）提供整体设计、规范编制或者项目管理、监理、检测等服务的供应商，不再参加该采购项目的其他采购活动</w:t>
      </w:r>
    </w:p>
    <w:p>
      <w:pPr>
        <w:numPr>
          <w:ilvl w:val="0"/>
          <w:numId w:val="12"/>
        </w:numPr>
        <w:spacing w:line="360" w:lineRule="auto"/>
        <w:ind w:right="-815" w:firstLineChars="200"/>
        <w:rPr>
          <w:rFonts w:ascii="宋体" w:hAnsi="宋体"/>
          <w:color w:val="auto"/>
          <w:highlight w:val="none"/>
        </w:rPr>
      </w:pPr>
      <w:r>
        <w:rPr>
          <w:rFonts w:hint="eastAsia" w:ascii="宋体" w:hAnsi="宋体"/>
          <w:color w:val="auto"/>
          <w:highlight w:val="none"/>
        </w:rPr>
        <w:t>本公司（企业）的法定代表人或单位负责人与本项目其他投标人的法定代表人或单位负责人不为同一人且与其他投标人之间不存在直接控股、管理关系。</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highlight w:val="none"/>
        </w:rPr>
        <w:t>本公司（企业）承诺在本次招标采购活动中，如有违法、违规、弄虚作假行为，所造成的损失、不良后果及法律责任，一律由我公司（企业）承担。</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在参与</w:t>
      </w:r>
      <w:r>
        <w:rPr>
          <w:rFonts w:hint="eastAsia" w:ascii="宋体" w:hAnsi="宋体"/>
          <w:color w:val="auto"/>
          <w:highlight w:val="none"/>
        </w:rPr>
        <w:t>本次招标采购活动中</w:t>
      </w:r>
      <w:r>
        <w:rPr>
          <w:rFonts w:hint="eastAsia" w:ascii="宋体" w:hAnsi="宋体"/>
          <w:color w:val="auto"/>
          <w:szCs w:val="21"/>
          <w:highlight w:val="none"/>
        </w:rPr>
        <w:t>投标截止日前三年内，在我公司的经营活动中没有存在重大违法记录，即我公司没有受到刑事处罚或者责令停产停业、吊销许可证或者执照、较大数额罚款等行政处罚。</w:t>
      </w:r>
    </w:p>
    <w:p>
      <w:pPr>
        <w:numPr>
          <w:ilvl w:val="0"/>
          <w:numId w:val="12"/>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，我公司不存在被政府主管部门禁止参与政府采购活动的情形，即我公司不存在还处于被禁止参与政府采购活动的期限内情形。</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参与本项目采购活动时未被列入失信被执行人、重大税收违法案件当事人名单、政府采购严重违法失信行为记录名单</w:t>
      </w:r>
    </w:p>
    <w:p>
      <w:pPr>
        <w:numPr>
          <w:ilvl w:val="0"/>
          <w:numId w:val="12"/>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，我公司承诺按招标文件要求提供本国产品/服务。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以上承诺，如有违反，愿依照国家相关法律处理，并承担由此给采购人带来的损失。</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备注：1.本声明函必须提供且内容不得擅自删改，否则视为无效投标。</w:t>
      </w:r>
    </w:p>
    <w:p>
      <w:pPr>
        <w:snapToGrid w:val="0"/>
        <w:spacing w:line="360" w:lineRule="auto"/>
        <w:ind w:firstLine="723" w:firstLineChars="300"/>
        <w:rPr>
          <w:rFonts w:ascii="宋体" w:hAnsi="宋体"/>
          <w:b/>
          <w:color w:val="auto"/>
          <w:sz w:val="24"/>
          <w:highlight w:val="none"/>
        </w:rPr>
      </w:pPr>
      <w:r>
        <w:rPr>
          <w:rFonts w:hint="eastAsia" w:ascii="宋体" w:hAnsi="宋体"/>
          <w:b/>
          <w:color w:val="auto"/>
          <w:sz w:val="24"/>
          <w:highlight w:val="none"/>
        </w:rPr>
        <w:t>2. 本声明函如有虚假或与事实不符的，作无效投标处理。</w:t>
      </w:r>
    </w:p>
    <w:p>
      <w:pPr>
        <w:spacing w:line="360" w:lineRule="auto"/>
        <w:ind w:firstLine="480" w:firstLineChars="200"/>
        <w:rPr>
          <w:rFonts w:ascii="宋体" w:hAnsi="宋体"/>
          <w:color w:val="auto"/>
          <w:sz w:val="24"/>
          <w:highlight w:val="none"/>
        </w:rPr>
      </w:pPr>
    </w:p>
    <w:p>
      <w:pPr>
        <w:spacing w:line="360" w:lineRule="auto"/>
        <w:ind w:firstLine="420"/>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w:t>
      </w:r>
    </w:p>
    <w:p>
      <w:pPr>
        <w:spacing w:line="360" w:lineRule="auto"/>
        <w:ind w:firstLine="420"/>
        <w:rPr>
          <w:rFonts w:ascii="宋体" w:hAnsi="宋体"/>
          <w:b/>
          <w:bCs/>
          <w:color w:val="auto"/>
          <w:sz w:val="24"/>
          <w:highlight w:val="none"/>
        </w:rPr>
      </w:pPr>
      <w:r>
        <w:rPr>
          <w:rFonts w:hint="eastAsia"/>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ind w:firstLine="241" w:firstLineChars="100"/>
        <w:rPr>
          <w:b/>
          <w:color w:val="auto"/>
          <w:sz w:val="24"/>
          <w:highlight w:val="none"/>
        </w:rPr>
      </w:pPr>
      <w:r>
        <w:rPr>
          <w:rFonts w:hint="eastAsia"/>
          <w:b/>
          <w:color w:val="auto"/>
          <w:sz w:val="24"/>
          <w:highlight w:val="none"/>
        </w:rPr>
        <w:t>（此处加盖投标人单位公章）</w:t>
      </w:r>
    </w:p>
    <w:p>
      <w:pPr>
        <w:widowControl/>
        <w:jc w:val="left"/>
        <w:rPr>
          <w:b/>
          <w:color w:val="auto"/>
          <w:sz w:val="24"/>
          <w:highlight w:val="none"/>
        </w:rPr>
      </w:pPr>
      <w:r>
        <w:rPr>
          <w:b/>
          <w:color w:val="auto"/>
          <w:sz w:val="24"/>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11" w:name="_承诺函"/>
      <w:bookmarkEnd w:id="111"/>
      <w:bookmarkStart w:id="112" w:name="_Toc77947884"/>
      <w:bookmarkStart w:id="113" w:name="_Toc50737329"/>
      <w:bookmarkStart w:id="114" w:name="_Toc435514859"/>
      <w:bookmarkStart w:id="115" w:name="_Toc50737297"/>
      <w:bookmarkStart w:id="116" w:name="_Toc27672"/>
      <w:bookmarkStart w:id="117" w:name="_Toc52165081"/>
      <w:bookmarkStart w:id="118" w:name="_Toc50736477"/>
      <w:bookmarkStart w:id="119" w:name="_Toc275865607"/>
      <w:bookmarkStart w:id="120" w:name="_Toc435515299"/>
      <w:bookmarkStart w:id="121" w:name="_Toc50691034"/>
      <w:bookmarkStart w:id="122" w:name="_Toc50737328"/>
      <w:bookmarkStart w:id="123" w:name="_Toc50737296"/>
      <w:bookmarkStart w:id="124" w:name="_Toc52165080"/>
      <w:bookmarkStart w:id="125" w:name="_Toc50736476"/>
      <w:r>
        <w:rPr>
          <w:rFonts w:hint="eastAsia" w:asciiTheme="majorEastAsia" w:hAnsiTheme="majorEastAsia" w:eastAsiaTheme="majorEastAsia"/>
          <w:color w:val="auto"/>
          <w:sz w:val="30"/>
          <w:szCs w:val="30"/>
          <w:highlight w:val="none"/>
        </w:rPr>
        <w:t>公章对投标专用章授权说明</w:t>
      </w:r>
      <w:bookmarkEnd w:id="112"/>
    </w:p>
    <w:p>
      <w:pPr>
        <w:snapToGrid w:val="0"/>
        <w:spacing w:line="360" w:lineRule="auto"/>
        <w:rPr>
          <w:rFonts w:ascii="宋体" w:hAnsi="宋体"/>
          <w:color w:val="auto"/>
          <w:szCs w:val="21"/>
          <w:highlight w:val="none"/>
        </w:rPr>
      </w:pPr>
      <w:r>
        <w:rPr>
          <w:rFonts w:hint="eastAsia" w:ascii="宋体" w:hAnsi="宋体"/>
          <w:b/>
          <w:color w:val="auto"/>
          <w:szCs w:val="21"/>
          <w:highlight w:val="none"/>
        </w:rPr>
        <w:t>深圳市南山区沙河街道办事处：</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本单位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（投标人名称）  </w:t>
      </w:r>
      <w:r>
        <w:rPr>
          <w:rFonts w:hint="eastAsia" w:ascii="宋体" w:hAnsi="宋体"/>
          <w:color w:val="auto"/>
          <w:szCs w:val="21"/>
          <w:highlight w:val="none"/>
        </w:rPr>
        <w:t>参加</w:t>
      </w:r>
      <w:r>
        <w:rPr>
          <w:rFonts w:hint="eastAsia" w:ascii="宋体" w:hAnsi="宋体"/>
          <w:color w:val="auto"/>
          <w:szCs w:val="21"/>
          <w:highlight w:val="none"/>
          <w:u w:val="single"/>
          <w:lang w:val="en" w:eastAsia="zh-CN"/>
        </w:rPr>
        <w:t>华侨城中学（深圳湾部）交通安全提升项目</w:t>
      </w:r>
      <w:r>
        <w:rPr>
          <w:rFonts w:hint="eastAsia" w:ascii="宋体" w:hAnsi="宋体"/>
          <w:color w:val="auto"/>
          <w:szCs w:val="21"/>
          <w:highlight w:val="none"/>
          <w:u w:val="single"/>
        </w:rPr>
        <w:t>（</w:t>
      </w:r>
      <w:r>
        <w:rPr>
          <w:rFonts w:hint="default" w:ascii="宋体" w:hAnsi="宋体"/>
          <w:color w:val="auto"/>
          <w:szCs w:val="21"/>
          <w:highlight w:val="none"/>
          <w:u w:val="single"/>
          <w:lang w:val="en"/>
        </w:rPr>
        <w:t>NSSHJDMSWSS20221107-2</w:t>
      </w:r>
      <w:r>
        <w:rPr>
          <w:rFonts w:hint="eastAsia" w:ascii="宋体" w:hAnsi="宋体"/>
          <w:color w:val="auto"/>
          <w:szCs w:val="21"/>
          <w:highlight w:val="none"/>
          <w:u w:val="single"/>
        </w:rPr>
        <w:t>）</w:t>
      </w:r>
      <w:r>
        <w:rPr>
          <w:rFonts w:hint="eastAsia" w:ascii="宋体" w:hAnsi="宋体"/>
          <w:color w:val="auto"/>
          <w:szCs w:val="21"/>
          <w:highlight w:val="none"/>
        </w:rPr>
        <w:t>的采购活动，在此作如下说明：</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在此次采购活动中，我单位所使用的“投标专用章”与我单位公章具有同等的法律效力，我单位对所使用“投标专用章”的行为和相应责任予以完全承认。</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特此说明。</w:t>
      </w:r>
    </w:p>
    <w:p>
      <w:pPr>
        <w:snapToGrid w:val="0"/>
        <w:spacing w:line="360" w:lineRule="auto"/>
        <w:rPr>
          <w:rFonts w:ascii="宋体" w:hAnsi="宋体"/>
          <w:color w:val="auto"/>
          <w:szCs w:val="21"/>
          <w:highlight w:val="none"/>
        </w:rPr>
      </w:pPr>
    </w:p>
    <w:p>
      <w:pPr>
        <w:snapToGrid w:val="0"/>
        <w:spacing w:line="360" w:lineRule="auto"/>
        <w:rPr>
          <w:rFonts w:ascii="宋体" w:hAnsi="宋体"/>
          <w:b/>
          <w:bCs/>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单位注册地址：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color w:val="auto"/>
          <w:szCs w:val="21"/>
          <w:highlight w:val="none"/>
        </w:rPr>
        <w:t>或</w:t>
      </w:r>
      <w:r>
        <w:rPr>
          <w:rFonts w:hint="eastAsia" w:ascii="宋体" w:hAnsi="宋体"/>
          <w:color w:val="auto"/>
          <w:szCs w:val="21"/>
          <w:highlight w:val="none"/>
        </w:rPr>
        <w:t>投标人授权代表（签名或盖个人名章）：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我单位投标专用章样式如下：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spacing w:line="400" w:lineRule="exact"/>
              <w:rPr>
                <w:rFonts w:ascii="宋体" w:hAnsi="宋体"/>
                <w:b/>
                <w:bCs/>
                <w:color w:val="auto"/>
                <w:szCs w:val="21"/>
                <w:highlight w:val="none"/>
              </w:rPr>
            </w:pPr>
          </w:p>
        </w:tc>
      </w:tr>
    </w:tbl>
    <w:p>
      <w:pPr>
        <w:rPr>
          <w:rFonts w:asciiTheme="majorEastAsia" w:hAnsiTheme="majorEastAsia" w:eastAsiaTheme="majorEastAsia"/>
          <w:color w:val="auto"/>
          <w:sz w:val="30"/>
          <w:szCs w:val="30"/>
          <w:highlight w:val="none"/>
        </w:rPr>
      </w:pPr>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26" w:name="_Toc77947885"/>
      <w:r>
        <w:rPr>
          <w:rFonts w:hint="eastAsia" w:asciiTheme="majorEastAsia" w:hAnsiTheme="majorEastAsia" w:eastAsiaTheme="majorEastAsia"/>
          <w:color w:val="auto"/>
          <w:sz w:val="30"/>
          <w:szCs w:val="30"/>
          <w:highlight w:val="none"/>
        </w:rPr>
        <w:t>法定代表人授权委托书</w:t>
      </w:r>
      <w:bookmarkEnd w:id="113"/>
      <w:bookmarkEnd w:id="114"/>
      <w:bookmarkEnd w:id="115"/>
      <w:bookmarkEnd w:id="116"/>
      <w:bookmarkEnd w:id="117"/>
      <w:bookmarkEnd w:id="118"/>
      <w:bookmarkEnd w:id="119"/>
      <w:bookmarkEnd w:id="120"/>
      <w:bookmarkEnd w:id="126"/>
    </w:p>
    <w:p>
      <w:pPr>
        <w:pStyle w:val="6"/>
        <w:spacing w:line="360" w:lineRule="auto"/>
        <w:ind w:firstLine="420" w:firstLineChars="200"/>
        <w:rPr>
          <w:color w:val="auto"/>
          <w:highlight w:val="none"/>
        </w:rPr>
      </w:pPr>
      <w:r>
        <w:rPr>
          <w:rFonts w:hint="eastAsia"/>
          <w:color w:val="auto"/>
          <w:highlight w:val="none"/>
        </w:rPr>
        <w:t>本授权委托书声明：注册于</w:t>
      </w:r>
      <w:r>
        <w:rPr>
          <w:rFonts w:hint="eastAsia"/>
          <w:color w:val="auto"/>
          <w:highlight w:val="none"/>
          <w:u w:val="single"/>
        </w:rPr>
        <w:t xml:space="preserve"> （投标人地址）  </w:t>
      </w:r>
      <w:r>
        <w:rPr>
          <w:rFonts w:hint="eastAsia"/>
          <w:color w:val="auto"/>
          <w:highlight w:val="none"/>
        </w:rPr>
        <w:t>的</w:t>
      </w:r>
      <w:r>
        <w:rPr>
          <w:rFonts w:hint="eastAsia"/>
          <w:color w:val="auto"/>
          <w:highlight w:val="none"/>
          <w:u w:val="single"/>
        </w:rPr>
        <w:t xml:space="preserve">  （投标人名称）    </w:t>
      </w:r>
      <w:r>
        <w:rPr>
          <w:rFonts w:hint="eastAsia"/>
          <w:color w:val="auto"/>
          <w:highlight w:val="none"/>
        </w:rPr>
        <w:t>由</w:t>
      </w:r>
      <w:r>
        <w:rPr>
          <w:rFonts w:hint="eastAsia"/>
          <w:color w:val="auto"/>
          <w:highlight w:val="none"/>
          <w:u w:val="single"/>
        </w:rPr>
        <w:t>（法定代表人姓名、职务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在此授权</w:t>
      </w:r>
      <w:r>
        <w:rPr>
          <w:rFonts w:hint="eastAsia"/>
          <w:color w:val="auto"/>
          <w:highlight w:val="none"/>
          <w:u w:val="single"/>
        </w:rPr>
        <w:t>（被授权人姓名、职务、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作为我公司的合法代理人，就</w:t>
      </w:r>
      <w:r>
        <w:rPr>
          <w:rFonts w:hint="eastAsia"/>
          <w:color w:val="auto"/>
          <w:highlight w:val="none"/>
          <w:u w:val="single"/>
        </w:rPr>
        <w:t>（项目名称、项目编号</w:t>
      </w:r>
      <w:r>
        <w:rPr>
          <w:rFonts w:hint="eastAsia"/>
          <w:color w:val="auto"/>
          <w:highlight w:val="none"/>
        </w:rPr>
        <w:t>）的招投标活动，采购合同的签订、执行、完成和售后服务，作为投标人代表以我方的名义处理一切与之有关的事务。</w:t>
      </w:r>
    </w:p>
    <w:p>
      <w:pPr>
        <w:pStyle w:val="6"/>
        <w:spacing w:line="360" w:lineRule="auto"/>
        <w:ind w:firstLine="420" w:firstLineChars="200"/>
        <w:rPr>
          <w:color w:val="auto"/>
          <w:highlight w:val="none"/>
        </w:rPr>
      </w:pPr>
      <w:r>
        <w:rPr>
          <w:rFonts w:hint="eastAsia"/>
          <w:color w:val="auto"/>
          <w:highlight w:val="none"/>
        </w:rPr>
        <w:t>被授权人（投标人授权代表）无转委托权限。</w:t>
      </w:r>
    </w:p>
    <w:p>
      <w:pPr>
        <w:spacing w:line="360" w:lineRule="auto"/>
        <w:ind w:firstLine="420" w:firstLineChars="200"/>
        <w:rPr>
          <w:rFonts w:ascii="宋体"/>
          <w:color w:val="auto"/>
          <w:highlight w:val="none"/>
        </w:rPr>
      </w:pPr>
      <w:r>
        <w:rPr>
          <w:rFonts w:hint="eastAsia" w:ascii="宋体"/>
          <w:color w:val="auto"/>
          <w:highlight w:val="none"/>
        </w:rPr>
        <w:t>本授权书自盖章之日起生效，特此声明。</w:t>
      </w:r>
    </w:p>
    <w:p>
      <w:pPr>
        <w:spacing w:line="360" w:lineRule="auto"/>
        <w:rPr>
          <w:rFonts w:ascii="宋体"/>
          <w:b/>
          <w:color w:val="auto"/>
          <w:highlight w:val="none"/>
        </w:rPr>
      </w:pPr>
      <w:r>
        <w:rPr>
          <w:rFonts w:hint="eastAsia" w:ascii="宋体"/>
          <w:b/>
          <w:color w:val="auto"/>
          <w:highlight w:val="none"/>
        </w:rPr>
        <w:t>随附《法定代表人证明》</w:t>
      </w:r>
    </w:p>
    <w:p>
      <w:pPr>
        <w:spacing w:line="360" w:lineRule="auto"/>
        <w:rPr>
          <w:rFonts w:ascii="宋体"/>
          <w:color w:val="auto"/>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tabs>
          <w:tab w:val="left" w:pos="3780"/>
        </w:tabs>
        <w:spacing w:line="360" w:lineRule="auto"/>
        <w:rPr>
          <w:rFonts w:ascii="宋体" w:hAnsi="宋体"/>
          <w:b/>
          <w:bCs/>
          <w:color w:val="auto"/>
          <w:sz w:val="24"/>
          <w:highlight w:val="none"/>
        </w:rPr>
      </w:pPr>
    </w:p>
    <w:p>
      <w:pPr>
        <w:tabs>
          <w:tab w:val="left" w:pos="3780"/>
        </w:tabs>
        <w:spacing w:line="360" w:lineRule="auto"/>
        <w:rPr>
          <w:rFonts w:ascii="宋体" w:hAnsi="宋体"/>
          <w:b/>
          <w:bCs/>
          <w:color w:val="auto"/>
          <w:sz w:val="24"/>
          <w:highlight w:val="none"/>
        </w:rPr>
      </w:pPr>
      <w:r>
        <w:rPr>
          <w:rFonts w:hint="eastAsia" w:ascii="宋体" w:hAnsi="宋体"/>
          <w:b/>
          <w:bCs/>
          <w:color w:val="auto"/>
          <w:sz w:val="24"/>
          <w:highlight w:val="none"/>
        </w:rPr>
        <w:t>提供被授权人（授权代表）居民身份证（正反面）复印件：</w:t>
      </w:r>
    </w:p>
    <w:p>
      <w:pPr>
        <w:spacing w:line="360" w:lineRule="auto"/>
        <w:ind w:left="1159" w:leftChars="552" w:firstLine="2261"/>
        <w:rPr>
          <w:rFonts w:ascii="宋体"/>
          <w:color w:val="auto"/>
          <w:highlight w:val="none"/>
        </w:rPr>
      </w:pPr>
    </w:p>
    <w:p>
      <w:pPr>
        <w:rPr>
          <w:rFonts w:asciiTheme="majorEastAsia" w:hAnsiTheme="majorEastAsia" w:eastAsiaTheme="majorEastAsia"/>
          <w:color w:val="auto"/>
          <w:sz w:val="30"/>
          <w:szCs w:val="30"/>
          <w:highlight w:val="none"/>
        </w:rPr>
      </w:pPr>
      <w:bookmarkStart w:id="127" w:name="_Toc435514860"/>
      <w:bookmarkStart w:id="128" w:name="_Toc435515300"/>
      <w:bookmarkStart w:id="129" w:name="_Toc275865608"/>
      <w:bookmarkStart w:id="130" w:name="_Toc14289"/>
      <w:r>
        <w:rPr>
          <w:rFonts w:hint="eastAsia" w:asciiTheme="majorEastAsia" w:hAnsiTheme="majorEastAsia" w:eastAsiaTheme="majorEastAsia"/>
          <w:color w:val="auto"/>
          <w:sz w:val="30"/>
          <w:szCs w:val="30"/>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31" w:name="_Toc77947886"/>
      <w:r>
        <w:rPr>
          <w:rFonts w:hint="eastAsia" w:asciiTheme="majorEastAsia" w:hAnsiTheme="majorEastAsia" w:eastAsiaTheme="majorEastAsia"/>
          <w:color w:val="auto"/>
          <w:sz w:val="30"/>
          <w:szCs w:val="30"/>
          <w:highlight w:val="none"/>
        </w:rPr>
        <w:t>法定代表人证明书</w:t>
      </w:r>
      <w:bookmarkEnd w:id="121"/>
      <w:bookmarkEnd w:id="122"/>
      <w:bookmarkEnd w:id="123"/>
      <w:bookmarkEnd w:id="124"/>
      <w:bookmarkEnd w:id="125"/>
      <w:bookmarkEnd w:id="127"/>
      <w:bookmarkEnd w:id="128"/>
      <w:bookmarkEnd w:id="129"/>
      <w:bookmarkEnd w:id="130"/>
      <w:bookmarkEnd w:id="131"/>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hint="eastAsia" w:ascii="宋体" w:hAnsi="宋体"/>
          <w:color w:val="auto"/>
          <w:highlight w:val="none"/>
          <w:u w:val="single"/>
        </w:rPr>
        <w:t xml:space="preserve">       </w:t>
      </w:r>
      <w:r>
        <w:rPr>
          <w:rFonts w:hint="eastAsia" w:ascii="宋体" w:hAnsi="宋体"/>
          <w:color w:val="auto"/>
          <w:highlight w:val="none"/>
        </w:rPr>
        <w:t>职务，为法定代表人，特此证明。</w:t>
      </w:r>
    </w:p>
    <w:p>
      <w:pPr>
        <w:spacing w:line="360" w:lineRule="auto"/>
        <w:ind w:firstLine="420" w:firstLineChars="200"/>
        <w:rPr>
          <w:rFonts w:ascii="宋体" w:hAnsi="宋体"/>
          <w:color w:val="auto"/>
          <w:highlight w:val="none"/>
        </w:rPr>
      </w:pPr>
      <w:r>
        <w:rPr>
          <w:rFonts w:hint="eastAsia" w:ascii="宋体"/>
          <w:color w:val="auto"/>
          <w:highlight w:val="none"/>
        </w:rPr>
        <w:t>本证明书自签发之日起生效，</w:t>
      </w:r>
      <w:r>
        <w:rPr>
          <w:rFonts w:hint="eastAsia" w:ascii="宋体" w:hAnsi="宋体"/>
          <w:color w:val="auto"/>
          <w:highlight w:val="none"/>
        </w:rPr>
        <w:t>有效期与本公司投标文件中标注的投标有效期相同。</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500" w:lineRule="exact"/>
        <w:rPr>
          <w:rFonts w:ascii="宋体"/>
          <w:b/>
          <w:bCs/>
          <w:color w:val="auto"/>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签发日期：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spacing w:line="500" w:lineRule="exact"/>
        <w:rPr>
          <w:rFonts w:ascii="宋体" w:hAnsi="宋体"/>
          <w:color w:val="auto"/>
          <w:highlight w:val="none"/>
        </w:rPr>
      </w:pPr>
    </w:p>
    <w:p>
      <w:pPr>
        <w:spacing w:line="360" w:lineRule="auto"/>
        <w:rPr>
          <w:b/>
          <w:color w:val="auto"/>
          <w:sz w:val="24"/>
          <w:highlight w:val="none"/>
        </w:rPr>
      </w:pPr>
      <w:r>
        <w:rPr>
          <w:rFonts w:hint="eastAsia"/>
          <w:b/>
          <w:color w:val="auto"/>
          <w:sz w:val="24"/>
          <w:highlight w:val="none"/>
        </w:rPr>
        <w:t>提供法定代表人居民身份证（正反面）复印件：</w:t>
      </w:r>
    </w:p>
    <w:p>
      <w:pPr>
        <w:spacing w:line="500" w:lineRule="exact"/>
        <w:rPr>
          <w:rFonts w:ascii="宋体" w:hAnsi="宋体"/>
          <w:color w:val="auto"/>
          <w:highlight w:val="none"/>
        </w:rPr>
      </w:pPr>
      <w:r>
        <w:rPr>
          <w:rFonts w:hint="eastAsia" w:ascii="宋体" w:hAnsi="宋体"/>
          <w:color w:val="auto"/>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32" w:name="_Toc8619"/>
      <w:bookmarkStart w:id="133" w:name="_Toc77947887"/>
      <w:bookmarkStart w:id="134" w:name="_Toc435515308"/>
      <w:bookmarkStart w:id="135" w:name="_Toc435514868"/>
      <w:r>
        <w:rPr>
          <w:rFonts w:hint="eastAsia" w:asciiTheme="majorEastAsia" w:hAnsiTheme="majorEastAsia" w:eastAsiaTheme="majorEastAsia"/>
          <w:color w:val="auto"/>
          <w:sz w:val="30"/>
          <w:szCs w:val="30"/>
          <w:highlight w:val="none"/>
        </w:rPr>
        <w:t>用户需求书条款响应一览表</w:t>
      </w:r>
      <w:bookmarkEnd w:id="132"/>
      <w:bookmarkEnd w:id="133"/>
    </w:p>
    <w:p>
      <w:pPr>
        <w:spacing w:line="400" w:lineRule="exact"/>
        <w:rPr>
          <w:rFonts w:ascii="宋体" w:hAnsi="宋体"/>
          <w:color w:val="auto"/>
          <w:highlight w:val="none"/>
        </w:rPr>
      </w:pPr>
      <w:r>
        <w:rPr>
          <w:rFonts w:hint="eastAsia" w:ascii="宋体" w:hAnsi="宋体"/>
          <w:color w:val="auto"/>
          <w:highlight w:val="none"/>
        </w:rPr>
        <w:t>说明：投标人必须对应招标文件第三章 用户需求书条款逐条应答并按要求填写下表。</w:t>
      </w:r>
    </w:p>
    <w:tbl>
      <w:tblPr>
        <w:tblStyle w:val="11"/>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CECEC"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515" w:type="dxa"/>
            <w:shd w:val="clear" w:color="auto" w:fill="ECECEC"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招标条款</w:t>
            </w:r>
          </w:p>
        </w:tc>
        <w:tc>
          <w:tcPr>
            <w:tcW w:w="2341" w:type="dxa"/>
            <w:shd w:val="clear" w:color="auto" w:fill="ECECEC"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投标条款</w:t>
            </w:r>
          </w:p>
        </w:tc>
        <w:tc>
          <w:tcPr>
            <w:tcW w:w="1750" w:type="dxa"/>
            <w:shd w:val="clear" w:color="auto" w:fill="ECECEC"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c>
          <w:tcPr>
            <w:tcW w:w="1623" w:type="dxa"/>
            <w:shd w:val="clear" w:color="auto" w:fill="ECECEC"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bl>
    <w:p>
      <w:pPr>
        <w:spacing w:line="360" w:lineRule="auto"/>
        <w:ind w:right="84" w:rightChars="40"/>
        <w:rPr>
          <w:rFonts w:ascii="宋体" w:hAnsi="宋体"/>
          <w:color w:val="auto"/>
          <w:szCs w:val="21"/>
          <w:highlight w:val="none"/>
        </w:rPr>
      </w:pPr>
      <w:r>
        <w:rPr>
          <w:rFonts w:hint="eastAsia" w:ascii="宋体" w:hAnsi="宋体"/>
          <w:color w:val="auto"/>
          <w:szCs w:val="21"/>
          <w:highlight w:val="none"/>
        </w:rPr>
        <w:t>备注：投标人必须按招标文件要求附相关证明文件，如未提供的视为负偏离。</w:t>
      </w:r>
    </w:p>
    <w:p>
      <w:pPr>
        <w:widowControl/>
        <w:jc w:val="left"/>
        <w:rPr>
          <w:rFonts w:ascii="Arial" w:hAnsi="Arial" w:eastAsia="黑体"/>
          <w:bCs/>
          <w:color w:val="auto"/>
          <w:sz w:val="32"/>
          <w:szCs w:val="32"/>
          <w:highlight w:val="none"/>
        </w:rPr>
      </w:pPr>
      <w:bookmarkStart w:id="136" w:name="_Toc435515310"/>
      <w:bookmarkStart w:id="137" w:name="_Toc50737301"/>
      <w:bookmarkStart w:id="138" w:name="_Toc50737333"/>
      <w:bookmarkStart w:id="139" w:name="_Toc435514870"/>
      <w:bookmarkStart w:id="140" w:name="_Toc275865617"/>
      <w:bookmarkStart w:id="141" w:name="_Toc50736481"/>
      <w:bookmarkStart w:id="142" w:name="_Toc16957"/>
      <w:bookmarkStart w:id="143" w:name="_Toc43264525"/>
      <w:bookmarkStart w:id="144" w:name="_Toc110937994"/>
      <w:bookmarkStart w:id="145" w:name="_Toc52165085"/>
      <w:bookmarkStart w:id="146" w:name="_Toc30664887"/>
      <w:bookmarkStart w:id="147" w:name="_Toc50691044"/>
      <w:r>
        <w:rPr>
          <w:b/>
          <w:color w:val="auto"/>
          <w:highlight w:val="none"/>
        </w:rPr>
        <w:br w:type="page"/>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项目总体概述及理解</w:t>
      </w:r>
    </w:p>
    <w:p>
      <w:pPr>
        <w:rPr>
          <w:rFonts w:hint="eastAsia"/>
          <w:color w:val="auto"/>
          <w:highlight w:val="none"/>
        </w:rPr>
      </w:pPr>
      <w:r>
        <w:rPr>
          <w:rFonts w:hint="eastAsia"/>
          <w:color w:val="auto"/>
          <w:highlight w:val="none"/>
        </w:rPr>
        <w:t>格式自拟</w:t>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施工组织计划、施工技术、施工工艺及相关的合理化建议</w:t>
      </w:r>
    </w:p>
    <w:p>
      <w:pPr>
        <w:rPr>
          <w:rFonts w:hint="eastAsia"/>
          <w:color w:val="auto"/>
          <w:highlight w:val="none"/>
        </w:rPr>
      </w:pPr>
      <w:r>
        <w:rPr>
          <w:rFonts w:hint="eastAsia"/>
          <w:color w:val="auto"/>
          <w:highlight w:val="none"/>
        </w:rPr>
        <w:t>格式自拟</w:t>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项目实施关键施工技术（重点难点）分析及解决方案</w:t>
      </w:r>
    </w:p>
    <w:p>
      <w:pPr>
        <w:rPr>
          <w:rFonts w:hint="eastAsia"/>
          <w:color w:val="auto"/>
          <w:highlight w:val="none"/>
        </w:rPr>
      </w:pPr>
      <w:r>
        <w:rPr>
          <w:rFonts w:hint="eastAsia"/>
          <w:color w:val="auto"/>
          <w:highlight w:val="none"/>
        </w:rPr>
        <w:t>格式自拟</w:t>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施工质量（安全、环保、工期、售后服务）保障措施及相关的违约承诺</w:t>
      </w:r>
    </w:p>
    <w:p>
      <w:pPr>
        <w:rPr>
          <w:rFonts w:hint="eastAsia"/>
          <w:color w:val="auto"/>
          <w:highlight w:val="none"/>
        </w:rPr>
      </w:pPr>
      <w:r>
        <w:rPr>
          <w:rFonts w:hint="eastAsia"/>
          <w:color w:val="auto"/>
          <w:highlight w:val="none"/>
        </w:rPr>
        <w:t>格式自拟</w:t>
      </w:r>
    </w:p>
    <w:p>
      <w:pPr>
        <w:widowControl/>
        <w:jc w:val="left"/>
        <w:rPr>
          <w:rFonts w:ascii="Arial" w:hAnsi="Arial" w:eastAsia="黑体"/>
          <w:bCs/>
          <w:color w:val="auto"/>
          <w:sz w:val="32"/>
          <w:szCs w:val="32"/>
          <w:highlight w:val="none"/>
        </w:rPr>
      </w:pPr>
      <w:r>
        <w:rPr>
          <w:b/>
          <w:color w:val="auto"/>
          <w:highlight w:val="none"/>
        </w:rPr>
        <w:br w:type="page"/>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同类项目情况一览表</w:t>
      </w:r>
      <w:bookmarkEnd w:id="136"/>
      <w:bookmarkEnd w:id="137"/>
      <w:bookmarkEnd w:id="138"/>
      <w:bookmarkEnd w:id="139"/>
      <w:bookmarkEnd w:id="140"/>
      <w:bookmarkEnd w:id="141"/>
      <w:bookmarkEnd w:id="142"/>
      <w:bookmarkEnd w:id="143"/>
      <w:bookmarkEnd w:id="144"/>
      <w:bookmarkEnd w:id="145"/>
      <w:bookmarkEnd w:id="146"/>
      <w:bookmarkEnd w:id="147"/>
    </w:p>
    <w:tbl>
      <w:tblPr>
        <w:tblStyle w:val="11"/>
        <w:tblW w:w="9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color w:val="auto"/>
                <w:sz w:val="24"/>
                <w:highlight w:val="none"/>
              </w:rPr>
            </w:pPr>
            <w:r>
              <w:rPr>
                <w:rFonts w:hint="eastAsia"/>
                <w:color w:val="auto"/>
                <w:sz w:val="24"/>
                <w:highlight w:val="none"/>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合同总价</w:t>
            </w:r>
          </w:p>
        </w:tc>
        <w:tc>
          <w:tcPr>
            <w:tcW w:w="2176"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rPr>
                <w:color w:val="auto"/>
                <w:sz w:val="24"/>
                <w:highlight w:val="none"/>
              </w:rPr>
            </w:pPr>
          </w:p>
        </w:tc>
        <w:tc>
          <w:tcPr>
            <w:tcW w:w="1460" w:type="dxa"/>
            <w:tcBorders>
              <w:top w:val="double" w:color="auto" w:sz="4" w:space="0"/>
            </w:tcBorders>
            <w:vAlign w:val="center"/>
          </w:tcPr>
          <w:p>
            <w:pPr>
              <w:spacing w:line="400" w:lineRule="exact"/>
              <w:jc w:val="center"/>
              <w:rPr>
                <w:color w:val="auto"/>
                <w:sz w:val="24"/>
                <w:highlight w:val="none"/>
              </w:rPr>
            </w:pPr>
          </w:p>
        </w:tc>
        <w:tc>
          <w:tcPr>
            <w:tcW w:w="1658" w:type="dxa"/>
            <w:tcBorders>
              <w:top w:val="double" w:color="auto" w:sz="4" w:space="0"/>
            </w:tcBorders>
            <w:vAlign w:val="center"/>
          </w:tcPr>
          <w:p>
            <w:pPr>
              <w:spacing w:line="400" w:lineRule="exact"/>
              <w:jc w:val="center"/>
              <w:rPr>
                <w:color w:val="auto"/>
                <w:sz w:val="24"/>
                <w:highlight w:val="none"/>
              </w:rPr>
            </w:pPr>
          </w:p>
        </w:tc>
        <w:tc>
          <w:tcPr>
            <w:tcW w:w="1442" w:type="dxa"/>
            <w:tcBorders>
              <w:top w:val="double" w:color="auto" w:sz="4" w:space="0"/>
            </w:tcBorders>
            <w:vAlign w:val="center"/>
          </w:tcPr>
          <w:p>
            <w:pPr>
              <w:spacing w:line="400" w:lineRule="exact"/>
              <w:jc w:val="center"/>
              <w:rPr>
                <w:color w:val="auto"/>
                <w:sz w:val="24"/>
                <w:highlight w:val="none"/>
              </w:rPr>
            </w:pPr>
          </w:p>
        </w:tc>
        <w:tc>
          <w:tcPr>
            <w:tcW w:w="2176" w:type="dxa"/>
            <w:tcBorders>
              <w:top w:val="double" w:color="auto" w:sz="4" w:space="0"/>
            </w:tcBorders>
            <w:vAlign w:val="center"/>
          </w:tcPr>
          <w:p>
            <w:pPr>
              <w:spacing w:line="400" w:lineRule="exact"/>
              <w:jc w:val="center"/>
              <w:rPr>
                <w:color w:val="auto"/>
                <w:sz w:val="24"/>
                <w:highlight w:val="none"/>
              </w:rPr>
            </w:pPr>
          </w:p>
        </w:tc>
        <w:tc>
          <w:tcPr>
            <w:tcW w:w="2456" w:type="dxa"/>
            <w:tcBorders>
              <w:top w:val="double" w:color="auto" w:sz="4" w:space="0"/>
            </w:tcBorders>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bl>
    <w:p>
      <w:pPr>
        <w:spacing w:line="440" w:lineRule="exact"/>
        <w:rPr>
          <w:rFonts w:ascii="宋体" w:hAnsi="宋体"/>
          <w:color w:val="auto"/>
          <w:sz w:val="24"/>
          <w:highlight w:val="none"/>
        </w:rPr>
      </w:pPr>
      <w:r>
        <w:rPr>
          <w:rFonts w:hint="eastAsia"/>
          <w:bCs/>
          <w:color w:val="auto"/>
          <w:sz w:val="24"/>
          <w:highlight w:val="none"/>
        </w:rPr>
        <w:t>备注：</w:t>
      </w:r>
      <w:r>
        <w:rPr>
          <w:rFonts w:hint="eastAsia" w:ascii="宋体" w:hAnsi="宋体"/>
          <w:color w:val="auto"/>
          <w:sz w:val="24"/>
          <w:highlight w:val="none"/>
        </w:rPr>
        <w:t>根据评分表的要求提交相应资料。</w:t>
      </w:r>
    </w:p>
    <w:p>
      <w:pPr>
        <w:adjustRightInd w:val="0"/>
        <w:snapToGrid w:val="0"/>
        <w:spacing w:line="360" w:lineRule="auto"/>
        <w:ind w:left="732" w:hanging="732" w:hangingChars="305"/>
        <w:rPr>
          <w:rFonts w:ascii="宋体" w:hAnsi="宋体"/>
          <w:color w:val="auto"/>
          <w:sz w:val="24"/>
          <w:highlight w:val="none"/>
        </w:rPr>
      </w:pPr>
    </w:p>
    <w:p>
      <w:pPr>
        <w:widowControl/>
        <w:jc w:val="left"/>
        <w:rPr>
          <w:rFonts w:hAnsi="宋体"/>
          <w:bCs/>
          <w:color w:val="auto"/>
          <w:sz w:val="24"/>
          <w:highlight w:val="none"/>
        </w:rPr>
      </w:pPr>
      <w:r>
        <w:rPr>
          <w:rFonts w:hAnsi="宋体"/>
          <w:bCs/>
          <w:color w:val="auto"/>
          <w:sz w:val="24"/>
          <w:highlight w:val="none"/>
        </w:rPr>
        <w:br w:type="page"/>
      </w:r>
    </w:p>
    <w:p>
      <w:pPr>
        <w:pStyle w:val="3"/>
        <w:numPr>
          <w:ilvl w:val="0"/>
          <w:numId w:val="10"/>
        </w:numPr>
        <w:tabs>
          <w:tab w:val="left" w:pos="360"/>
        </w:tabs>
        <w:spacing w:line="240" w:lineRule="auto"/>
        <w:ind w:left="0" w:firstLine="0"/>
        <w:jc w:val="center"/>
        <w:rPr>
          <w:b w:val="0"/>
          <w:color w:val="auto"/>
          <w:highlight w:val="none"/>
        </w:rPr>
      </w:pPr>
      <w:bookmarkStart w:id="148" w:name="_Toc435515311"/>
      <w:bookmarkStart w:id="149" w:name="_Toc50737332"/>
      <w:bookmarkStart w:id="150" w:name="_Toc110937995"/>
      <w:bookmarkStart w:id="151" w:name="_Toc30664888"/>
      <w:bookmarkStart w:id="152" w:name="_Toc19597"/>
      <w:bookmarkStart w:id="153" w:name="_Toc52165084"/>
      <w:bookmarkStart w:id="154" w:name="_Toc50737300"/>
      <w:bookmarkStart w:id="155" w:name="_Toc50691042"/>
      <w:bookmarkStart w:id="156" w:name="_Toc435514871"/>
      <w:bookmarkStart w:id="157" w:name="_Toc275865618"/>
      <w:bookmarkStart w:id="158" w:name="_Toc50736480"/>
      <w:r>
        <w:rPr>
          <w:rFonts w:hint="eastAsia"/>
          <w:b w:val="0"/>
          <w:color w:val="auto"/>
          <w:highlight w:val="none"/>
        </w:rPr>
        <w:t>项目团队人员一览表</w:t>
      </w:r>
      <w:bookmarkEnd w:id="148"/>
      <w:bookmarkEnd w:id="149"/>
      <w:bookmarkEnd w:id="150"/>
      <w:bookmarkEnd w:id="151"/>
      <w:bookmarkEnd w:id="152"/>
      <w:bookmarkEnd w:id="153"/>
      <w:bookmarkEnd w:id="154"/>
      <w:bookmarkEnd w:id="155"/>
      <w:bookmarkEnd w:id="156"/>
      <w:bookmarkEnd w:id="157"/>
      <w:bookmarkEnd w:id="158"/>
    </w:p>
    <w:tbl>
      <w:tblPr>
        <w:tblStyle w:val="11"/>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宋体" w:hAnsi="宋体"/>
                <w:color w:val="auto"/>
                <w:sz w:val="24"/>
                <w:highlight w:val="none"/>
              </w:rPr>
            </w:pPr>
            <w:r>
              <w:rPr>
                <w:rFonts w:hint="eastAsia" w:ascii="宋体" w:hAnsi="宋体"/>
                <w:color w:val="auto"/>
                <w:sz w:val="24"/>
                <w:highlight w:val="none"/>
              </w:rPr>
              <w:t>序号</w:t>
            </w:r>
          </w:p>
        </w:tc>
        <w:tc>
          <w:tcPr>
            <w:tcW w:w="1034" w:type="dxa"/>
            <w:tcBorders>
              <w:top w:val="single" w:color="auto" w:sz="12" w:space="0"/>
              <w:bottom w:val="double" w:color="auto" w:sz="4" w:space="0"/>
            </w:tcBorders>
            <w:shd w:val="clear" w:color="auto" w:fill="EEECE1"/>
            <w:vAlign w:val="center"/>
          </w:tcPr>
          <w:p>
            <w:pPr>
              <w:pStyle w:val="17"/>
              <w:keepNext w:val="0"/>
              <w:snapToGrid w:val="0"/>
              <w:spacing w:before="0" w:after="0" w:line="240" w:lineRule="auto"/>
              <w:textAlignment w:val="auto"/>
              <w:rPr>
                <w:rFonts w:ascii="宋体" w:hAnsi="宋体"/>
                <w:snapToGrid/>
                <w:color w:val="auto"/>
                <w:spacing w:val="0"/>
                <w:kern w:val="2"/>
                <w:szCs w:val="24"/>
                <w:highlight w:val="none"/>
              </w:rPr>
            </w:pPr>
            <w:r>
              <w:rPr>
                <w:rFonts w:hint="eastAsia" w:ascii="宋体" w:hAnsi="宋体"/>
                <w:snapToGrid/>
                <w:color w:val="auto"/>
                <w:spacing w:val="0"/>
                <w:kern w:val="2"/>
                <w:szCs w:val="24"/>
                <w:highlight w:val="none"/>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宋体" w:hAnsi="宋体"/>
                <w:color w:val="auto"/>
                <w:sz w:val="24"/>
                <w:highlight w:val="none"/>
              </w:rPr>
            </w:pPr>
          </w:p>
        </w:tc>
        <w:tc>
          <w:tcPr>
            <w:tcW w:w="1034" w:type="dxa"/>
            <w:tcBorders>
              <w:top w:val="double" w:color="auto" w:sz="4" w:space="0"/>
            </w:tcBorders>
            <w:vAlign w:val="center"/>
          </w:tcPr>
          <w:p>
            <w:pPr>
              <w:spacing w:line="400" w:lineRule="exact"/>
              <w:jc w:val="center"/>
              <w:rPr>
                <w:rFonts w:ascii="宋体" w:hAnsi="宋体"/>
                <w:color w:val="auto"/>
                <w:sz w:val="24"/>
                <w:highlight w:val="none"/>
              </w:rPr>
            </w:pPr>
          </w:p>
        </w:tc>
        <w:tc>
          <w:tcPr>
            <w:tcW w:w="823" w:type="dxa"/>
            <w:tcBorders>
              <w:top w:val="double" w:color="auto" w:sz="4" w:space="0"/>
            </w:tcBorders>
            <w:vAlign w:val="center"/>
          </w:tcPr>
          <w:p>
            <w:pPr>
              <w:spacing w:line="400" w:lineRule="exact"/>
              <w:jc w:val="center"/>
              <w:rPr>
                <w:rFonts w:ascii="宋体" w:hAnsi="宋体"/>
                <w:color w:val="auto"/>
                <w:sz w:val="24"/>
                <w:highlight w:val="none"/>
              </w:rPr>
            </w:pPr>
          </w:p>
        </w:tc>
        <w:tc>
          <w:tcPr>
            <w:tcW w:w="822" w:type="dxa"/>
            <w:tcBorders>
              <w:top w:val="double" w:color="auto" w:sz="4" w:space="0"/>
            </w:tcBorders>
            <w:vAlign w:val="center"/>
          </w:tcPr>
          <w:p>
            <w:pPr>
              <w:spacing w:line="400" w:lineRule="exact"/>
              <w:jc w:val="center"/>
              <w:rPr>
                <w:rFonts w:ascii="宋体" w:hAnsi="宋体"/>
                <w:color w:val="auto"/>
                <w:sz w:val="24"/>
                <w:highlight w:val="none"/>
              </w:rPr>
            </w:pPr>
          </w:p>
        </w:tc>
        <w:tc>
          <w:tcPr>
            <w:tcW w:w="822" w:type="dxa"/>
            <w:tcBorders>
              <w:top w:val="double" w:color="auto" w:sz="4" w:space="0"/>
            </w:tcBorders>
            <w:vAlign w:val="center"/>
          </w:tcPr>
          <w:p>
            <w:pPr>
              <w:spacing w:line="400" w:lineRule="exact"/>
              <w:jc w:val="center"/>
              <w:rPr>
                <w:rFonts w:ascii="宋体" w:hAnsi="宋体"/>
                <w:color w:val="auto"/>
                <w:sz w:val="24"/>
                <w:highlight w:val="none"/>
              </w:rPr>
            </w:pPr>
          </w:p>
        </w:tc>
        <w:tc>
          <w:tcPr>
            <w:tcW w:w="1051" w:type="dxa"/>
            <w:tcBorders>
              <w:top w:val="double" w:color="auto" w:sz="4" w:space="0"/>
            </w:tcBorders>
            <w:vAlign w:val="center"/>
          </w:tcPr>
          <w:p>
            <w:pPr>
              <w:spacing w:line="400" w:lineRule="exact"/>
              <w:jc w:val="center"/>
              <w:rPr>
                <w:rFonts w:ascii="宋体" w:hAnsi="宋体"/>
                <w:color w:val="auto"/>
                <w:sz w:val="24"/>
                <w:highlight w:val="none"/>
              </w:rPr>
            </w:pPr>
          </w:p>
        </w:tc>
        <w:tc>
          <w:tcPr>
            <w:tcW w:w="1217" w:type="dxa"/>
            <w:tcBorders>
              <w:top w:val="double" w:color="auto" w:sz="4" w:space="0"/>
            </w:tcBorders>
            <w:vAlign w:val="center"/>
          </w:tcPr>
          <w:p>
            <w:pPr>
              <w:spacing w:line="400" w:lineRule="exact"/>
              <w:jc w:val="center"/>
              <w:rPr>
                <w:rFonts w:ascii="宋体" w:hAnsi="宋体"/>
                <w:color w:val="auto"/>
                <w:sz w:val="24"/>
                <w:highlight w:val="none"/>
              </w:rPr>
            </w:pPr>
          </w:p>
        </w:tc>
        <w:tc>
          <w:tcPr>
            <w:tcW w:w="1242" w:type="dxa"/>
            <w:tcBorders>
              <w:top w:val="double" w:color="auto" w:sz="4" w:space="0"/>
            </w:tcBorders>
            <w:vAlign w:val="center"/>
          </w:tcPr>
          <w:p>
            <w:pPr>
              <w:spacing w:line="400" w:lineRule="exact"/>
              <w:jc w:val="center"/>
              <w:rPr>
                <w:rFonts w:ascii="宋体" w:hAnsi="宋体"/>
                <w:color w:val="auto"/>
                <w:sz w:val="24"/>
                <w:highlight w:val="none"/>
              </w:rPr>
            </w:pPr>
          </w:p>
        </w:tc>
        <w:tc>
          <w:tcPr>
            <w:tcW w:w="1681" w:type="dxa"/>
            <w:tcBorders>
              <w:top w:val="double" w:color="auto" w:sz="4" w:space="0"/>
            </w:tcBorders>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bl>
    <w:p>
      <w:pPr>
        <w:spacing w:line="500" w:lineRule="exact"/>
        <w:rPr>
          <w:rFonts w:ascii="宋体" w:hAnsi="宋体"/>
          <w:bCs/>
          <w:color w:val="auto"/>
          <w:sz w:val="24"/>
          <w:highlight w:val="none"/>
        </w:rPr>
      </w:pPr>
      <w:r>
        <w:rPr>
          <w:rFonts w:hint="eastAsia" w:ascii="宋体" w:hAnsi="宋体"/>
          <w:bCs/>
          <w:color w:val="auto"/>
          <w:sz w:val="24"/>
          <w:highlight w:val="none"/>
        </w:rPr>
        <w:t>备注</w:t>
      </w:r>
      <w:r>
        <w:rPr>
          <w:rFonts w:hint="eastAsia"/>
          <w:bCs/>
          <w:color w:val="auto"/>
          <w:sz w:val="24"/>
          <w:highlight w:val="none"/>
        </w:rPr>
        <w:t>：</w:t>
      </w:r>
      <w:r>
        <w:rPr>
          <w:rFonts w:hint="eastAsia" w:ascii="宋体" w:hAnsi="宋体"/>
          <w:color w:val="auto"/>
          <w:sz w:val="24"/>
          <w:highlight w:val="none"/>
        </w:rPr>
        <w:t>根据评分表的要求提交相应资料</w:t>
      </w:r>
      <w:r>
        <w:rPr>
          <w:rFonts w:hint="eastAsia" w:ascii="宋体" w:hAnsi="宋体"/>
          <w:bCs/>
          <w:color w:val="auto"/>
          <w:sz w:val="24"/>
          <w:highlight w:val="none"/>
        </w:rPr>
        <w:t>。</w:t>
      </w:r>
    </w:p>
    <w:p>
      <w:pPr>
        <w:spacing w:line="500" w:lineRule="exact"/>
        <w:ind w:firstLine="496" w:firstLineChars="200"/>
        <w:rPr>
          <w:color w:val="auto"/>
          <w:spacing w:val="4"/>
          <w:sz w:val="24"/>
          <w:highlight w:val="none"/>
        </w:rPr>
      </w:pPr>
    </w:p>
    <w:p>
      <w:pPr>
        <w:spacing w:line="500" w:lineRule="exact"/>
        <w:ind w:firstLine="436" w:firstLineChars="200"/>
        <w:rPr>
          <w:color w:val="auto"/>
          <w:spacing w:val="4"/>
          <w:highlight w:val="none"/>
        </w:rPr>
      </w:pPr>
    </w:p>
    <w:p>
      <w:pPr>
        <w:pStyle w:val="3"/>
        <w:numPr>
          <w:ilvl w:val="0"/>
          <w:numId w:val="10"/>
        </w:numPr>
        <w:tabs>
          <w:tab w:val="left" w:pos="360"/>
        </w:tabs>
        <w:spacing w:line="240" w:lineRule="auto"/>
        <w:ind w:left="0" w:firstLine="0"/>
        <w:jc w:val="center"/>
        <w:rPr>
          <w:b w:val="0"/>
          <w:color w:val="auto"/>
          <w:highlight w:val="none"/>
        </w:rPr>
      </w:pPr>
      <w:r>
        <w:rPr>
          <w:rFonts w:hint="eastAsia"/>
          <w:color w:val="auto"/>
          <w:highlight w:val="none"/>
        </w:rPr>
        <w:br w:type="page"/>
      </w:r>
      <w:bookmarkStart w:id="159" w:name="_Toc110937996"/>
      <w:r>
        <w:rPr>
          <w:rFonts w:hint="eastAsia"/>
          <w:b w:val="0"/>
          <w:color w:val="auto"/>
          <w:highlight w:val="none"/>
        </w:rPr>
        <w:t>投标人证书一览表</w:t>
      </w:r>
      <w:bookmarkEnd w:id="159"/>
    </w:p>
    <w:tbl>
      <w:tblPr>
        <w:tblStyle w:val="11"/>
        <w:tblW w:w="93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2545"/>
        <w:gridCol w:w="2400"/>
        <w:gridCol w:w="2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674" w:type="dxa"/>
            <w:shd w:val="clear" w:color="auto" w:fill="E7E6E6" w:themeFill="background2"/>
          </w:tcPr>
          <w:p>
            <w:pPr>
              <w:pStyle w:val="2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证书名称</w:t>
            </w:r>
          </w:p>
        </w:tc>
        <w:tc>
          <w:tcPr>
            <w:tcW w:w="2545" w:type="dxa"/>
            <w:shd w:val="clear" w:color="auto" w:fill="E7E6E6" w:themeFill="background2"/>
          </w:tcPr>
          <w:p>
            <w:pPr>
              <w:pStyle w:val="2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发证单位</w:t>
            </w:r>
          </w:p>
        </w:tc>
        <w:tc>
          <w:tcPr>
            <w:tcW w:w="2400" w:type="dxa"/>
            <w:shd w:val="clear" w:color="auto" w:fill="E7E6E6" w:themeFill="background2"/>
          </w:tcPr>
          <w:p>
            <w:pPr>
              <w:pStyle w:val="2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证书等级</w:t>
            </w:r>
          </w:p>
        </w:tc>
        <w:tc>
          <w:tcPr>
            <w:tcW w:w="2704" w:type="dxa"/>
            <w:shd w:val="clear" w:color="auto" w:fill="E7E6E6" w:themeFill="background2"/>
          </w:tcPr>
          <w:p>
            <w:pPr>
              <w:pStyle w:val="2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21"/>
              <w:spacing w:line="360" w:lineRule="auto"/>
              <w:jc w:val="center"/>
              <w:rPr>
                <w:rFonts w:ascii="宋体" w:hAnsi="宋体" w:cs="Arial"/>
                <w:color w:val="auto"/>
                <w:sz w:val="24"/>
                <w:szCs w:val="24"/>
                <w:highlight w:val="none"/>
              </w:rPr>
            </w:pPr>
          </w:p>
        </w:tc>
        <w:tc>
          <w:tcPr>
            <w:tcW w:w="2545" w:type="dxa"/>
          </w:tcPr>
          <w:p>
            <w:pPr>
              <w:pStyle w:val="21"/>
              <w:spacing w:line="360" w:lineRule="auto"/>
              <w:jc w:val="center"/>
              <w:rPr>
                <w:rFonts w:ascii="宋体" w:hAnsi="宋体" w:cs="Arial"/>
                <w:color w:val="auto"/>
                <w:sz w:val="24"/>
                <w:szCs w:val="24"/>
                <w:highlight w:val="none"/>
              </w:rPr>
            </w:pPr>
          </w:p>
        </w:tc>
        <w:tc>
          <w:tcPr>
            <w:tcW w:w="2400" w:type="dxa"/>
          </w:tcPr>
          <w:p>
            <w:pPr>
              <w:pStyle w:val="21"/>
              <w:spacing w:line="360" w:lineRule="auto"/>
              <w:jc w:val="center"/>
              <w:rPr>
                <w:rFonts w:ascii="宋体" w:hAnsi="宋体" w:cs="Arial"/>
                <w:color w:val="auto"/>
                <w:sz w:val="24"/>
                <w:szCs w:val="24"/>
                <w:highlight w:val="none"/>
              </w:rPr>
            </w:pPr>
          </w:p>
        </w:tc>
        <w:tc>
          <w:tcPr>
            <w:tcW w:w="2704" w:type="dxa"/>
          </w:tcPr>
          <w:p>
            <w:pPr>
              <w:pStyle w:val="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21"/>
              <w:spacing w:line="360" w:lineRule="auto"/>
              <w:jc w:val="center"/>
              <w:rPr>
                <w:rFonts w:ascii="宋体" w:hAnsi="宋体" w:cs="Arial"/>
                <w:color w:val="auto"/>
                <w:sz w:val="24"/>
                <w:szCs w:val="24"/>
                <w:highlight w:val="none"/>
              </w:rPr>
            </w:pPr>
          </w:p>
        </w:tc>
        <w:tc>
          <w:tcPr>
            <w:tcW w:w="2545" w:type="dxa"/>
          </w:tcPr>
          <w:p>
            <w:pPr>
              <w:pStyle w:val="21"/>
              <w:spacing w:line="360" w:lineRule="auto"/>
              <w:jc w:val="center"/>
              <w:rPr>
                <w:rFonts w:ascii="宋体" w:hAnsi="宋体" w:cs="Arial"/>
                <w:color w:val="auto"/>
                <w:sz w:val="24"/>
                <w:szCs w:val="24"/>
                <w:highlight w:val="none"/>
              </w:rPr>
            </w:pPr>
          </w:p>
        </w:tc>
        <w:tc>
          <w:tcPr>
            <w:tcW w:w="2400" w:type="dxa"/>
          </w:tcPr>
          <w:p>
            <w:pPr>
              <w:pStyle w:val="21"/>
              <w:spacing w:line="360" w:lineRule="auto"/>
              <w:jc w:val="center"/>
              <w:rPr>
                <w:rFonts w:ascii="宋体" w:hAnsi="宋体" w:cs="Arial"/>
                <w:color w:val="auto"/>
                <w:sz w:val="24"/>
                <w:szCs w:val="24"/>
                <w:highlight w:val="none"/>
              </w:rPr>
            </w:pPr>
          </w:p>
        </w:tc>
        <w:tc>
          <w:tcPr>
            <w:tcW w:w="2704" w:type="dxa"/>
          </w:tcPr>
          <w:p>
            <w:pPr>
              <w:pStyle w:val="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21"/>
              <w:spacing w:line="360" w:lineRule="auto"/>
              <w:jc w:val="center"/>
              <w:rPr>
                <w:rFonts w:ascii="宋体" w:hAnsi="宋体" w:cs="Arial"/>
                <w:color w:val="auto"/>
                <w:sz w:val="24"/>
                <w:szCs w:val="24"/>
                <w:highlight w:val="none"/>
              </w:rPr>
            </w:pPr>
          </w:p>
        </w:tc>
        <w:tc>
          <w:tcPr>
            <w:tcW w:w="2545" w:type="dxa"/>
          </w:tcPr>
          <w:p>
            <w:pPr>
              <w:pStyle w:val="21"/>
              <w:spacing w:line="360" w:lineRule="auto"/>
              <w:jc w:val="center"/>
              <w:rPr>
                <w:rFonts w:ascii="宋体" w:hAnsi="宋体" w:cs="Arial"/>
                <w:color w:val="auto"/>
                <w:sz w:val="24"/>
                <w:szCs w:val="24"/>
                <w:highlight w:val="none"/>
              </w:rPr>
            </w:pPr>
          </w:p>
        </w:tc>
        <w:tc>
          <w:tcPr>
            <w:tcW w:w="2400" w:type="dxa"/>
          </w:tcPr>
          <w:p>
            <w:pPr>
              <w:pStyle w:val="21"/>
              <w:spacing w:line="360" w:lineRule="auto"/>
              <w:jc w:val="center"/>
              <w:rPr>
                <w:rFonts w:ascii="宋体" w:hAnsi="宋体" w:cs="Arial"/>
                <w:color w:val="auto"/>
                <w:sz w:val="24"/>
                <w:szCs w:val="24"/>
                <w:highlight w:val="none"/>
              </w:rPr>
            </w:pPr>
          </w:p>
        </w:tc>
        <w:tc>
          <w:tcPr>
            <w:tcW w:w="2704" w:type="dxa"/>
          </w:tcPr>
          <w:p>
            <w:pPr>
              <w:pStyle w:val="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21"/>
              <w:spacing w:line="360" w:lineRule="auto"/>
              <w:jc w:val="center"/>
              <w:rPr>
                <w:rFonts w:ascii="宋体" w:hAnsi="宋体" w:cs="Arial"/>
                <w:color w:val="auto"/>
                <w:sz w:val="24"/>
                <w:szCs w:val="24"/>
                <w:highlight w:val="none"/>
              </w:rPr>
            </w:pPr>
          </w:p>
        </w:tc>
        <w:tc>
          <w:tcPr>
            <w:tcW w:w="2545" w:type="dxa"/>
          </w:tcPr>
          <w:p>
            <w:pPr>
              <w:pStyle w:val="21"/>
              <w:spacing w:line="360" w:lineRule="auto"/>
              <w:jc w:val="center"/>
              <w:rPr>
                <w:rFonts w:ascii="宋体" w:hAnsi="宋体" w:cs="Arial"/>
                <w:color w:val="auto"/>
                <w:sz w:val="24"/>
                <w:szCs w:val="24"/>
                <w:highlight w:val="none"/>
              </w:rPr>
            </w:pPr>
          </w:p>
        </w:tc>
        <w:tc>
          <w:tcPr>
            <w:tcW w:w="2400" w:type="dxa"/>
          </w:tcPr>
          <w:p>
            <w:pPr>
              <w:pStyle w:val="21"/>
              <w:spacing w:line="360" w:lineRule="auto"/>
              <w:jc w:val="center"/>
              <w:rPr>
                <w:rFonts w:ascii="宋体" w:hAnsi="宋体" w:cs="Arial"/>
                <w:color w:val="auto"/>
                <w:sz w:val="24"/>
                <w:szCs w:val="24"/>
                <w:highlight w:val="none"/>
              </w:rPr>
            </w:pPr>
          </w:p>
        </w:tc>
        <w:tc>
          <w:tcPr>
            <w:tcW w:w="2704" w:type="dxa"/>
          </w:tcPr>
          <w:p>
            <w:pPr>
              <w:pStyle w:val="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21"/>
              <w:spacing w:line="360" w:lineRule="auto"/>
              <w:jc w:val="center"/>
              <w:rPr>
                <w:rFonts w:ascii="宋体" w:hAnsi="宋体" w:cs="Arial"/>
                <w:color w:val="auto"/>
                <w:sz w:val="24"/>
                <w:szCs w:val="24"/>
                <w:highlight w:val="none"/>
              </w:rPr>
            </w:pPr>
          </w:p>
        </w:tc>
        <w:tc>
          <w:tcPr>
            <w:tcW w:w="2545" w:type="dxa"/>
          </w:tcPr>
          <w:p>
            <w:pPr>
              <w:pStyle w:val="21"/>
              <w:spacing w:line="360" w:lineRule="auto"/>
              <w:jc w:val="center"/>
              <w:rPr>
                <w:rFonts w:ascii="宋体" w:hAnsi="宋体" w:cs="Arial"/>
                <w:color w:val="auto"/>
                <w:sz w:val="24"/>
                <w:szCs w:val="24"/>
                <w:highlight w:val="none"/>
              </w:rPr>
            </w:pPr>
          </w:p>
        </w:tc>
        <w:tc>
          <w:tcPr>
            <w:tcW w:w="2400" w:type="dxa"/>
          </w:tcPr>
          <w:p>
            <w:pPr>
              <w:pStyle w:val="21"/>
              <w:spacing w:line="360" w:lineRule="auto"/>
              <w:jc w:val="center"/>
              <w:rPr>
                <w:rFonts w:ascii="宋体" w:hAnsi="宋体" w:cs="Arial"/>
                <w:color w:val="auto"/>
                <w:sz w:val="24"/>
                <w:szCs w:val="24"/>
                <w:highlight w:val="none"/>
              </w:rPr>
            </w:pPr>
          </w:p>
        </w:tc>
        <w:tc>
          <w:tcPr>
            <w:tcW w:w="2704" w:type="dxa"/>
          </w:tcPr>
          <w:p>
            <w:pPr>
              <w:pStyle w:val="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21"/>
              <w:spacing w:line="360" w:lineRule="auto"/>
              <w:jc w:val="center"/>
              <w:rPr>
                <w:rFonts w:ascii="宋体" w:hAnsi="宋体" w:cs="Arial"/>
                <w:color w:val="auto"/>
                <w:sz w:val="24"/>
                <w:szCs w:val="24"/>
                <w:highlight w:val="none"/>
              </w:rPr>
            </w:pPr>
          </w:p>
        </w:tc>
        <w:tc>
          <w:tcPr>
            <w:tcW w:w="2545" w:type="dxa"/>
          </w:tcPr>
          <w:p>
            <w:pPr>
              <w:pStyle w:val="21"/>
              <w:spacing w:line="360" w:lineRule="auto"/>
              <w:jc w:val="center"/>
              <w:rPr>
                <w:rFonts w:ascii="宋体" w:hAnsi="宋体" w:cs="Arial"/>
                <w:color w:val="auto"/>
                <w:sz w:val="24"/>
                <w:szCs w:val="24"/>
                <w:highlight w:val="none"/>
              </w:rPr>
            </w:pPr>
          </w:p>
        </w:tc>
        <w:tc>
          <w:tcPr>
            <w:tcW w:w="2400" w:type="dxa"/>
          </w:tcPr>
          <w:p>
            <w:pPr>
              <w:pStyle w:val="21"/>
              <w:spacing w:line="360" w:lineRule="auto"/>
              <w:jc w:val="center"/>
              <w:rPr>
                <w:rFonts w:ascii="宋体" w:hAnsi="宋体" w:cs="Arial"/>
                <w:color w:val="auto"/>
                <w:sz w:val="24"/>
                <w:szCs w:val="24"/>
                <w:highlight w:val="none"/>
              </w:rPr>
            </w:pPr>
          </w:p>
        </w:tc>
        <w:tc>
          <w:tcPr>
            <w:tcW w:w="2704" w:type="dxa"/>
          </w:tcPr>
          <w:p>
            <w:pPr>
              <w:pStyle w:val="21"/>
              <w:spacing w:line="360" w:lineRule="auto"/>
              <w:jc w:val="center"/>
              <w:rPr>
                <w:rFonts w:ascii="宋体" w:hAnsi="宋体" w:cs="Arial"/>
                <w:color w:val="auto"/>
                <w:sz w:val="24"/>
                <w:szCs w:val="24"/>
                <w:highlight w:val="none"/>
              </w:rPr>
            </w:pPr>
          </w:p>
        </w:tc>
      </w:tr>
    </w:tbl>
    <w:p>
      <w:pPr>
        <w:pStyle w:val="20"/>
        <w:widowControl/>
        <w:numPr>
          <w:ilvl w:val="0"/>
          <w:numId w:val="13"/>
        </w:numPr>
        <w:tabs>
          <w:tab w:val="left" w:pos="0"/>
        </w:tabs>
        <w:spacing w:line="360" w:lineRule="auto"/>
        <w:ind w:left="0" w:firstLine="0" w:firstLineChars="0"/>
        <w:rPr>
          <w:rFonts w:ascii="宋体" w:hAnsi="宋体"/>
          <w:color w:val="auto"/>
          <w:sz w:val="24"/>
          <w:highlight w:val="none"/>
        </w:rPr>
      </w:pPr>
      <w:r>
        <w:rPr>
          <w:rFonts w:hint="eastAsia" w:ascii="宋体" w:hAnsi="宋体"/>
          <w:color w:val="auto"/>
          <w:sz w:val="24"/>
          <w:highlight w:val="none"/>
        </w:rPr>
        <w:t>请根据评分表中要求填写投标人获得资质、认证或企业信誉证书。</w:t>
      </w:r>
    </w:p>
    <w:p>
      <w:pPr>
        <w:pStyle w:val="20"/>
        <w:widowControl/>
        <w:numPr>
          <w:ilvl w:val="0"/>
          <w:numId w:val="13"/>
        </w:numPr>
        <w:tabs>
          <w:tab w:val="left" w:pos="0"/>
        </w:tabs>
        <w:spacing w:line="360" w:lineRule="auto"/>
        <w:ind w:left="0" w:firstLine="0" w:firstLineChars="0"/>
        <w:rPr>
          <w:rFonts w:ascii="宋体" w:hAnsi="宋体"/>
          <w:color w:val="auto"/>
          <w:sz w:val="24"/>
          <w:highlight w:val="none"/>
        </w:rPr>
      </w:pPr>
      <w:r>
        <w:rPr>
          <w:rFonts w:hint="eastAsia" w:ascii="宋体" w:hAnsi="宋体"/>
          <w:color w:val="auto"/>
          <w:sz w:val="24"/>
          <w:highlight w:val="none"/>
        </w:rPr>
        <w:t>请提供本表所列的证书资料。</w:t>
      </w:r>
    </w:p>
    <w:p>
      <w:pPr>
        <w:spacing w:line="500" w:lineRule="exact"/>
        <w:ind w:firstLine="436" w:firstLineChars="200"/>
        <w:rPr>
          <w:color w:val="auto"/>
          <w:spacing w:val="4"/>
          <w:highlight w:val="none"/>
        </w:rPr>
      </w:pPr>
    </w:p>
    <w:p>
      <w:pPr>
        <w:widowControl/>
        <w:jc w:val="left"/>
        <w:rPr>
          <w:rFonts w:ascii="Arial" w:hAnsi="Arial" w:eastAsia="黑体"/>
          <w:bCs/>
          <w:color w:val="auto"/>
          <w:sz w:val="32"/>
          <w:szCs w:val="32"/>
          <w:highlight w:val="none"/>
        </w:rPr>
      </w:pPr>
    </w:p>
    <w:bookmarkEnd w:id="134"/>
    <w:bookmarkEnd w:id="135"/>
    <w:p>
      <w:pPr>
        <w:spacing w:line="520" w:lineRule="exact"/>
        <w:ind w:firstLine="436" w:firstLineChars="200"/>
        <w:rPr>
          <w:color w:val="auto"/>
          <w:spacing w:val="4"/>
          <w:highlight w:val="none"/>
        </w:rPr>
        <w:sectPr>
          <w:pgSz w:w="11906" w:h="16838"/>
          <w:pgMar w:top="1440" w:right="1286" w:bottom="1440" w:left="1440" w:header="851" w:footer="992" w:gutter="0"/>
          <w:cols w:space="720" w:num="1"/>
          <w:docGrid w:type="lines" w:linePitch="312" w:charSpace="0"/>
        </w:sectPr>
      </w:pPr>
      <w:bookmarkStart w:id="160" w:name="_Toc50703730"/>
      <w:bookmarkStart w:id="161" w:name="_Toc43264518"/>
      <w:bookmarkStart w:id="162" w:name="_Toc50691037"/>
    </w:p>
    <w:bookmarkEnd w:id="160"/>
    <w:bookmarkEnd w:id="161"/>
    <w:bookmarkEnd w:id="162"/>
    <w:p>
      <w:pPr>
        <w:pStyle w:val="2"/>
        <w:jc w:val="center"/>
        <w:rPr>
          <w:rFonts w:asciiTheme="majorEastAsia" w:hAnsiTheme="majorEastAsia" w:eastAsiaTheme="majorEastAsia" w:cstheme="majorEastAsia"/>
          <w:color w:val="auto"/>
          <w:sz w:val="32"/>
          <w:szCs w:val="32"/>
          <w:highlight w:val="none"/>
        </w:rPr>
      </w:pPr>
      <w:bookmarkStart w:id="163" w:name="_Toc435174932"/>
      <w:bookmarkStart w:id="164" w:name="_Toc13635"/>
      <w:bookmarkStart w:id="165" w:name="_Toc77947888"/>
      <w:bookmarkStart w:id="166" w:name="_Toc435516649"/>
      <w:bookmarkStart w:id="167" w:name="_Toc8307307"/>
      <w:bookmarkStart w:id="168" w:name="_Toc438223135"/>
      <w:bookmarkStart w:id="169" w:name="_Toc4723"/>
      <w:bookmarkStart w:id="170" w:name="_Toc5615_WPSOffice_Level1"/>
      <w:r>
        <w:rPr>
          <w:rFonts w:hint="eastAsia" w:asciiTheme="majorEastAsia" w:hAnsiTheme="majorEastAsia" w:eastAsiaTheme="majorEastAsia" w:cstheme="majorEastAsia"/>
          <w:color w:val="auto"/>
          <w:sz w:val="32"/>
          <w:szCs w:val="32"/>
          <w:highlight w:val="none"/>
        </w:rPr>
        <w:t>第七章 投标人须知</w:t>
      </w:r>
      <w:bookmarkEnd w:id="163"/>
      <w:bookmarkEnd w:id="164"/>
      <w:bookmarkEnd w:id="165"/>
      <w:bookmarkEnd w:id="166"/>
      <w:bookmarkEnd w:id="167"/>
      <w:bookmarkEnd w:id="168"/>
      <w:bookmarkEnd w:id="169"/>
      <w:bookmarkEnd w:id="170"/>
    </w:p>
    <w:p>
      <w:pPr>
        <w:pStyle w:val="3"/>
        <w:numPr>
          <w:ilvl w:val="0"/>
          <w:numId w:val="14"/>
        </w:numPr>
        <w:spacing w:line="240" w:lineRule="auto"/>
        <w:jc w:val="center"/>
        <w:rPr>
          <w:rFonts w:asciiTheme="majorEastAsia" w:hAnsiTheme="majorEastAsia" w:eastAsiaTheme="majorEastAsia"/>
          <w:color w:val="auto"/>
          <w:sz w:val="30"/>
          <w:szCs w:val="30"/>
          <w:highlight w:val="none"/>
        </w:rPr>
      </w:pPr>
      <w:bookmarkStart w:id="171" w:name="_Toc77947889"/>
      <w:bookmarkStart w:id="172" w:name="_Toc1658"/>
      <w:bookmarkStart w:id="173" w:name="_Toc435516650"/>
      <w:bookmarkStart w:id="174" w:name="_Toc438223136"/>
      <w:bookmarkStart w:id="175" w:name="_Toc435174933"/>
      <w:r>
        <w:rPr>
          <w:rFonts w:asciiTheme="majorEastAsia" w:hAnsiTheme="majorEastAsia" w:eastAsiaTheme="majorEastAsia"/>
          <w:color w:val="auto"/>
          <w:sz w:val="30"/>
          <w:szCs w:val="30"/>
          <w:highlight w:val="none"/>
          <w:lang w:eastAsia="zh-TW"/>
        </w:rPr>
        <w:t>说 明</w:t>
      </w:r>
      <w:bookmarkEnd w:id="171"/>
      <w:bookmarkEnd w:id="172"/>
      <w:bookmarkEnd w:id="173"/>
      <w:bookmarkEnd w:id="174"/>
      <w:bookmarkEnd w:id="175"/>
      <w:bookmarkStart w:id="176" w:name="_Toc292267791"/>
    </w:p>
    <w:bookmarkEnd w:id="176"/>
    <w:p>
      <w:pPr>
        <w:numPr>
          <w:ilvl w:val="0"/>
          <w:numId w:val="15"/>
        </w:numPr>
        <w:autoSpaceDE w:val="0"/>
        <w:autoSpaceDN w:val="0"/>
        <w:adjustRightInd w:val="0"/>
        <w:snapToGrid w:val="0"/>
        <w:spacing w:line="360" w:lineRule="auto"/>
        <w:outlineLvl w:val="2"/>
        <w:rPr>
          <w:rFonts w:ascii="宋体" w:hAnsi="宋体"/>
          <w:b/>
          <w:bCs/>
          <w:color w:val="auto"/>
          <w:szCs w:val="21"/>
          <w:highlight w:val="none"/>
        </w:rPr>
      </w:pPr>
      <w:bookmarkStart w:id="177" w:name="_Toc23054"/>
      <w:r>
        <w:rPr>
          <w:rFonts w:hint="eastAsia" w:ascii="宋体" w:hAnsi="宋体"/>
          <w:b/>
          <w:bCs/>
          <w:color w:val="auto"/>
          <w:szCs w:val="21"/>
          <w:highlight w:val="none"/>
        </w:rPr>
        <w:t>适用范围</w:t>
      </w:r>
      <w:bookmarkEnd w:id="177"/>
    </w:p>
    <w:p>
      <w:pPr>
        <w:numPr>
          <w:ilvl w:val="1"/>
          <w:numId w:val="1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本招标文件适用于本投标邀请中所述采购项目。</w:t>
      </w:r>
    </w:p>
    <w:p>
      <w:pPr>
        <w:numPr>
          <w:ilvl w:val="0"/>
          <w:numId w:val="15"/>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bookmarkStart w:id="178" w:name="_Toc28379"/>
      <w:r>
        <w:rPr>
          <w:rFonts w:hint="eastAsia" w:ascii="宋体" w:hAnsi="宋体"/>
          <w:b/>
          <w:color w:val="auto"/>
          <w:szCs w:val="21"/>
          <w:highlight w:val="none"/>
        </w:rPr>
        <w:t>定义</w:t>
      </w:r>
      <w:bookmarkEnd w:id="178"/>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采购人指各级</w:t>
      </w:r>
      <w:r>
        <w:rPr>
          <w:rFonts w:ascii="宋体" w:hAnsi="宋体"/>
          <w:color w:val="auto"/>
          <w:szCs w:val="21"/>
          <w:highlight w:val="none"/>
        </w:rPr>
        <w:t>国家机关、事业单位和团体组织</w:t>
      </w:r>
      <w:r>
        <w:rPr>
          <w:rFonts w:hint="eastAsia" w:ascii="宋体" w:hAnsi="宋体"/>
          <w:color w:val="auto"/>
          <w:szCs w:val="21"/>
          <w:highlight w:val="none"/>
        </w:rPr>
        <w:t>。</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中所述的采购人已拥有一笔</w:t>
      </w: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。采购人计划将一部分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供应商是指向采购人提供货物、工程或者服务的法人、其他组织或者自然人。</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9" w:name="_Toc4681"/>
      <w:r>
        <w:rPr>
          <w:rFonts w:hint="eastAsia" w:ascii="宋体" w:hAnsi="宋体"/>
          <w:b/>
          <w:bCs/>
          <w:color w:val="auto"/>
          <w:szCs w:val="21"/>
          <w:highlight w:val="none"/>
        </w:rPr>
        <w:t>合格的货物和服务</w:t>
      </w:r>
      <w:bookmarkEnd w:id="179"/>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“服务”是指除货物和工程以外的其他政府采购对象，其中包括：投标人须承担的运输、安装、技术支持、培训以及招标文件规定的其它服务。</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若所投产品属于政府强制采购节能产品的，则投标人必须提供该产品国家强制性节能产品进行响应，并提供强制性节能产品认证证书，否则视为无效投标。</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0" w:name="_Toc4403"/>
      <w:r>
        <w:rPr>
          <w:rFonts w:hint="eastAsia" w:ascii="宋体" w:hAnsi="宋体"/>
          <w:b/>
          <w:bCs/>
          <w:color w:val="auto"/>
          <w:szCs w:val="21"/>
          <w:highlight w:val="none"/>
        </w:rPr>
        <w:t>投标费用</w:t>
      </w:r>
      <w:bookmarkEnd w:id="180"/>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采购人均无义务和责任承担这些费用</w:t>
      </w:r>
      <w:r>
        <w:rPr>
          <w:rFonts w:hint="eastAsia" w:ascii="宋体" w:hAnsi="宋体" w:cs="宋体"/>
          <w:color w:val="auto"/>
          <w:szCs w:val="21"/>
          <w:highlight w:val="none"/>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1" w:name="_Toc27847"/>
      <w:r>
        <w:rPr>
          <w:rFonts w:hint="eastAsia" w:ascii="宋体" w:hAnsi="宋体"/>
          <w:b/>
          <w:bCs/>
          <w:color w:val="auto"/>
          <w:szCs w:val="21"/>
          <w:highlight w:val="none"/>
        </w:rPr>
        <w:t>其他</w:t>
      </w:r>
      <w:bookmarkEnd w:id="181"/>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1"/>
          <w:numId w:val="15"/>
        </w:numPr>
        <w:adjustRightInd w:val="0"/>
        <w:snapToGrid w:val="0"/>
        <w:spacing w:line="360" w:lineRule="auto"/>
        <w:rPr>
          <w:rFonts w:cs="宋体" w:asciiTheme="minorEastAsia" w:hAnsiTheme="minorEastAsia" w:eastAsiaTheme="minorEastAsia"/>
          <w:bCs/>
          <w:color w:val="auto"/>
          <w:szCs w:val="21"/>
          <w:highlight w:val="none"/>
        </w:rPr>
      </w:pPr>
      <w:bookmarkStart w:id="182"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83" w:name="_Hlk21591509"/>
      <w:r>
        <w:rPr>
          <w:rFonts w:hint="eastAsia" w:asciiTheme="minorEastAsia" w:hAnsiTheme="minorEastAsia" w:eastAsiaTheme="minorEastAsia"/>
          <w:color w:val="auto"/>
          <w:szCs w:val="21"/>
          <w:highlight w:val="none"/>
        </w:rPr>
        <w:t>供应商限制参与政府采购</w:t>
      </w:r>
      <w:bookmarkEnd w:id="183"/>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15"/>
          <w:rFonts w:asciiTheme="minorEastAsia" w:hAnsiTheme="minorEastAsia" w:eastAsiaTheme="minorEastAsia"/>
          <w:color w:val="auto"/>
          <w:sz w:val="21"/>
          <w:szCs w:val="21"/>
          <w:highlight w:val="none"/>
        </w:rPr>
        <w:t>www.creditchina.gov.cn</w:t>
      </w:r>
      <w:r>
        <w:rPr>
          <w:rStyle w:val="15"/>
          <w:rFonts w:asciiTheme="minorEastAsia" w:hAnsiTheme="minorEastAsia" w:eastAsiaTheme="minorEastAsia"/>
          <w:color w:val="auto"/>
          <w:sz w:val="21"/>
          <w:szCs w:val="21"/>
          <w:highlight w:val="none"/>
        </w:rPr>
        <w:fldChar w:fldCharType="end"/>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t>重大税收违法案件当事人名单</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82"/>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深圳市政府采购监督管理网（zfcg.sz.gov.cn）查询相关主体信用记录，对不符合《中华人民共和国政府采购法》第二十二条规定条件的供应商限制参与政府采购。本项目不接受</w:t>
      </w:r>
      <w:r>
        <w:rPr>
          <w:rFonts w:hint="eastAsia" w:cs="宋体" w:asciiTheme="minorEastAsia" w:hAnsiTheme="minorEastAsia" w:eastAsiaTheme="minorEastAsia"/>
          <w:color w:val="auto"/>
          <w:szCs w:val="21"/>
          <w:highlight w:val="none"/>
        </w:rPr>
        <w:t>联合体投标</w:t>
      </w:r>
      <w:r>
        <w:rPr>
          <w:rFonts w:cs="宋体" w:asciiTheme="minorEastAsia" w:hAnsiTheme="minorEastAsia" w:eastAsiaTheme="minorEastAsia"/>
          <w:color w:val="auto"/>
          <w:szCs w:val="21"/>
          <w:highlight w:val="none"/>
        </w:rPr>
        <w:t>。</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。由采购人对信用信息查询记录和证据截图或下载存档，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pPr>
        <w:pStyle w:val="3"/>
        <w:numPr>
          <w:ilvl w:val="0"/>
          <w:numId w:val="14"/>
        </w:numPr>
        <w:spacing w:line="240" w:lineRule="auto"/>
        <w:jc w:val="center"/>
        <w:rPr>
          <w:rFonts w:asciiTheme="majorEastAsia" w:hAnsiTheme="majorEastAsia" w:eastAsiaTheme="majorEastAsia"/>
          <w:color w:val="auto"/>
          <w:sz w:val="30"/>
          <w:szCs w:val="30"/>
          <w:highlight w:val="none"/>
          <w:lang w:eastAsia="zh-TW"/>
        </w:rPr>
      </w:pPr>
      <w:bookmarkStart w:id="184" w:name="_Toc438223137"/>
      <w:bookmarkStart w:id="185" w:name="_Toc77947890"/>
      <w:bookmarkStart w:id="186" w:name="_Toc435516651"/>
      <w:bookmarkStart w:id="187" w:name="_Toc21826"/>
      <w:bookmarkStart w:id="188" w:name="_Toc435174934"/>
      <w:r>
        <w:rPr>
          <w:rFonts w:hint="eastAsia" w:asciiTheme="majorEastAsia" w:hAnsiTheme="majorEastAsia" w:eastAsiaTheme="majorEastAsia"/>
          <w:color w:val="auto"/>
          <w:sz w:val="30"/>
          <w:szCs w:val="30"/>
          <w:highlight w:val="none"/>
          <w:lang w:eastAsia="zh-TW"/>
        </w:rPr>
        <w:t>招标文件</w:t>
      </w:r>
      <w:bookmarkEnd w:id="184"/>
      <w:bookmarkEnd w:id="185"/>
      <w:bookmarkEnd w:id="186"/>
      <w:bookmarkEnd w:id="187"/>
      <w:bookmarkEnd w:id="188"/>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9" w:name="_Toc23967"/>
      <w:r>
        <w:rPr>
          <w:rFonts w:hint="eastAsia" w:ascii="宋体" w:hAnsi="宋体"/>
          <w:b/>
          <w:bCs/>
          <w:color w:val="auto"/>
          <w:szCs w:val="21"/>
          <w:highlight w:val="none"/>
        </w:rPr>
        <w:t>招标文件的构成</w:t>
      </w:r>
      <w:bookmarkEnd w:id="189"/>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第一章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投标邀请</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第二章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投标资料表</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用户需求书</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四</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评标、定标</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五</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合同</w:t>
      </w:r>
      <w:r>
        <w:rPr>
          <w:rFonts w:hint="eastAsia" w:ascii="宋体" w:hAnsi="宋体" w:cs="宋体"/>
          <w:color w:val="auto"/>
          <w:szCs w:val="21"/>
          <w:highlight w:val="none"/>
        </w:rPr>
        <w:t>文本</w:t>
      </w:r>
    </w:p>
    <w:p>
      <w:pPr>
        <w:snapToGrid w:val="0"/>
        <w:spacing w:line="360" w:lineRule="auto"/>
        <w:ind w:left="445" w:leftChars="212" w:firstLine="1"/>
        <w:rPr>
          <w:rFonts w:ascii="宋体" w:hAnsi="宋体" w:cs="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六</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投标文件格式</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rPr>
        <w:t>第七章　</w:t>
      </w:r>
      <w:r>
        <w:rPr>
          <w:rFonts w:hint="eastAsia" w:ascii="宋体" w:hAnsi="宋体" w:cs="宋体"/>
          <w:color w:val="auto"/>
          <w:szCs w:val="21"/>
          <w:highlight w:val="none"/>
          <w:lang w:eastAsia="zh-TW"/>
        </w:rPr>
        <w:t>投标人须知</w:t>
      </w:r>
    </w:p>
    <w:p>
      <w:pPr>
        <w:numPr>
          <w:ilvl w:val="1"/>
          <w:numId w:val="1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rPr>
        <w:t>采联国际招标采购集团有限公司</w:t>
      </w:r>
      <w:r>
        <w:rPr>
          <w:rFonts w:hint="eastAsia" w:ascii="宋体" w:hAnsi="宋体" w:cs="宋体"/>
          <w:color w:val="auto"/>
          <w:szCs w:val="21"/>
          <w:highlight w:val="none"/>
          <w:lang w:eastAsia="zh-TW"/>
        </w:rPr>
        <w:t>”所有。</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0" w:name="_Toc9423"/>
      <w:r>
        <w:rPr>
          <w:rFonts w:hint="eastAsia" w:ascii="宋体" w:hAnsi="宋体"/>
          <w:b/>
          <w:bCs/>
          <w:color w:val="auto"/>
          <w:szCs w:val="21"/>
          <w:highlight w:val="none"/>
        </w:rPr>
        <w:t>招标文件的澄清或修改</w:t>
      </w:r>
      <w:bookmarkEnd w:id="190"/>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采购人可以对已发出的招标文件进行必要的澄清或者修改。澄清或者修改应当在原公告发布媒体上发布澄清</w:t>
      </w:r>
      <w:r>
        <w:rPr>
          <w:rFonts w:hint="eastAsia" w:ascii="宋体" w:hAnsi="宋体"/>
          <w:color w:val="auto"/>
          <w:szCs w:val="21"/>
          <w:highlight w:val="none"/>
        </w:rPr>
        <w:t>（更正/变更）</w:t>
      </w:r>
      <w:r>
        <w:rPr>
          <w:rFonts w:hint="eastAsia" w:ascii="宋体" w:hAnsi="宋体" w:cs="宋体"/>
          <w:color w:val="auto"/>
          <w:szCs w:val="21"/>
          <w:highlight w:val="none"/>
          <w:lang w:eastAsia="zh-TW"/>
        </w:rPr>
        <w:t>公告。</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无论出于何种原因</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采购人可以主动地或在解答投标人提出的疑问时对已发出的招标文件进行必要的</w:t>
      </w:r>
      <w:r>
        <w:rPr>
          <w:rFonts w:hint="eastAsia" w:ascii="宋体" w:hAnsi="宋体"/>
          <w:color w:val="auto"/>
          <w:szCs w:val="21"/>
          <w:highlight w:val="none"/>
        </w:rPr>
        <w:t>澄清或</w:t>
      </w:r>
      <w:r>
        <w:rPr>
          <w:rFonts w:hint="eastAsia" w:ascii="宋体" w:hAnsi="宋体" w:cs="宋体"/>
          <w:color w:val="auto"/>
          <w:szCs w:val="21"/>
          <w:highlight w:val="none"/>
          <w:lang w:eastAsia="zh-TW"/>
        </w:rPr>
        <w:t>修改</w:t>
      </w:r>
      <w:r>
        <w:rPr>
          <w:rFonts w:hint="eastAsia" w:ascii="宋体" w:hAnsi="宋体"/>
          <w:color w:val="auto"/>
          <w:szCs w:val="21"/>
          <w:highlight w:val="none"/>
        </w:rPr>
        <w:t>（更正）</w:t>
      </w:r>
      <w:r>
        <w:rPr>
          <w:rFonts w:hint="eastAsia" w:ascii="宋体" w:hAnsi="宋体" w:cs="宋体"/>
          <w:color w:val="auto"/>
          <w:szCs w:val="21"/>
          <w:highlight w:val="none"/>
        </w:rPr>
        <w:t>的</w:t>
      </w:r>
      <w:r>
        <w:rPr>
          <w:rFonts w:hint="eastAsia" w:ascii="宋体" w:hAnsi="宋体"/>
          <w:color w:val="auto"/>
          <w:szCs w:val="21"/>
          <w:highlight w:val="none"/>
        </w:rPr>
        <w:t>，于投标截止时间前在指定媒体上发布公告，并通知所有报名的投标</w:t>
      </w:r>
      <w:r>
        <w:rPr>
          <w:rFonts w:hint="eastAsia" w:ascii="宋体" w:hAnsi="宋体" w:cs="宋体"/>
          <w:color w:val="auto"/>
          <w:szCs w:val="21"/>
          <w:highlight w:val="none"/>
        </w:rPr>
        <w:t>人</w:t>
      </w:r>
      <w:r>
        <w:rPr>
          <w:rFonts w:hint="eastAsia" w:ascii="宋体" w:hAnsi="宋体"/>
          <w:color w:val="auto"/>
          <w:szCs w:val="21"/>
          <w:highlight w:val="none"/>
        </w:rPr>
        <w:t>，报名的投标人在收到澄清或修改（更正）通知后应按要求以书面形式（传真有效）予以确认，</w:t>
      </w:r>
      <w:r>
        <w:rPr>
          <w:rFonts w:hint="eastAsia" w:ascii="宋体" w:hAnsi="宋体" w:cs="宋体"/>
          <w:color w:val="auto"/>
          <w:szCs w:val="21"/>
          <w:highlight w:val="none"/>
          <w:lang w:eastAsia="zh-TW"/>
        </w:rPr>
        <w:t>如在24小时之内无书面回函则视为同意修改内容，并有责任履行相应的义务。</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并对供应商具有约束力</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对招标文件中描述有歧意或前后不一致的地方，评标委员会有权进行评判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numPr>
          <w:ilvl w:val="0"/>
          <w:numId w:val="15"/>
        </w:numPr>
        <w:autoSpaceDE w:val="0"/>
        <w:autoSpaceDN w:val="0"/>
        <w:adjustRightInd w:val="0"/>
        <w:snapToGrid w:val="0"/>
        <w:spacing w:line="360" w:lineRule="auto"/>
        <w:ind w:left="449" w:hanging="449" w:hangingChars="213"/>
        <w:outlineLvl w:val="2"/>
        <w:rPr>
          <w:rFonts w:ascii="宋体" w:hAnsi="宋体" w:cs="宋体"/>
          <w:color w:val="auto"/>
          <w:szCs w:val="21"/>
          <w:highlight w:val="none"/>
        </w:rPr>
      </w:pPr>
      <w:bookmarkStart w:id="191" w:name="_Toc32090"/>
      <w:r>
        <w:rPr>
          <w:rFonts w:hint="eastAsia" w:ascii="宋体" w:hAnsi="宋体"/>
          <w:b/>
          <w:bCs/>
          <w:color w:val="auto"/>
          <w:szCs w:val="21"/>
          <w:highlight w:val="none"/>
        </w:rPr>
        <w:t>现场考察或者召开开标前答疑会</w:t>
      </w:r>
      <w:bookmarkEnd w:id="191"/>
    </w:p>
    <w:p>
      <w:pPr>
        <w:numPr>
          <w:ilvl w:val="1"/>
          <w:numId w:val="15"/>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除非</w:t>
      </w:r>
      <w:r>
        <w:rPr>
          <w:rFonts w:hint="eastAsia" w:ascii="宋体" w:hAnsi="宋体" w:cs="黑体"/>
          <w:b/>
          <w:color w:val="auto"/>
          <w:szCs w:val="21"/>
          <w:highlight w:val="none"/>
        </w:rPr>
        <w:t>投标资料表</w:t>
      </w:r>
      <w:r>
        <w:rPr>
          <w:rFonts w:hint="eastAsia" w:ascii="宋体" w:hAnsi="宋体" w:cs="宋体"/>
          <w:color w:val="auto"/>
          <w:szCs w:val="21"/>
          <w:highlight w:val="none"/>
        </w:rPr>
        <w:t>中另有规定，不举行项目</w:t>
      </w:r>
      <w:r>
        <w:rPr>
          <w:rFonts w:hint="eastAsia" w:ascii="宋体" w:hAnsi="宋体"/>
          <w:bCs/>
          <w:color w:val="auto"/>
          <w:szCs w:val="21"/>
          <w:highlight w:val="none"/>
        </w:rPr>
        <w:t>现场考察或者召开评标前答疑会</w:t>
      </w:r>
      <w:r>
        <w:rPr>
          <w:rFonts w:hint="eastAsia" w:ascii="宋体" w:hAnsi="宋体" w:cs="宋体"/>
          <w:color w:val="auto"/>
          <w:szCs w:val="21"/>
          <w:highlight w:val="none"/>
        </w:rPr>
        <w:t>，如举行</w:t>
      </w:r>
      <w:r>
        <w:rPr>
          <w:rFonts w:hint="eastAsia" w:ascii="宋体" w:hAnsi="宋体"/>
          <w:bCs/>
          <w:color w:val="auto"/>
          <w:szCs w:val="21"/>
          <w:highlight w:val="none"/>
        </w:rPr>
        <w:t>现场考察或者召开评标前答疑会</w:t>
      </w:r>
      <w:r>
        <w:rPr>
          <w:rFonts w:hint="eastAsia" w:ascii="宋体" w:hAnsi="宋体" w:cs="宋体"/>
          <w:color w:val="auto"/>
          <w:szCs w:val="21"/>
          <w:highlight w:val="none"/>
        </w:rPr>
        <w:t>的，则按以下规定：</w:t>
      </w:r>
    </w:p>
    <w:p>
      <w:pPr>
        <w:numPr>
          <w:ilvl w:val="2"/>
          <w:numId w:val="15"/>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在</w:t>
      </w:r>
      <w:r>
        <w:rPr>
          <w:rFonts w:hint="eastAsia" w:ascii="宋体" w:hAnsi="宋体" w:cs="黑体"/>
          <w:color w:val="auto"/>
          <w:szCs w:val="21"/>
          <w:highlight w:val="none"/>
          <w:lang w:eastAsia="zh-TW"/>
        </w:rPr>
        <w:t>投标资料表</w:t>
      </w:r>
      <w:r>
        <w:rPr>
          <w:rFonts w:hint="eastAsia" w:ascii="宋体" w:hAnsi="宋体" w:cs="宋体"/>
          <w:color w:val="auto"/>
          <w:szCs w:val="21"/>
          <w:highlight w:val="none"/>
        </w:rPr>
        <w:t>中规定的日期、时间和地点组织</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rPr>
        <w:t>；</w:t>
      </w:r>
    </w:p>
    <w:p>
      <w:pPr>
        <w:numPr>
          <w:ilvl w:val="2"/>
          <w:numId w:val="15"/>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对本项目提出的疑问，</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在</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lang w:eastAsia="zh-TW"/>
        </w:rPr>
        <w:t>召开日前至少一个工作日将问题清单以书面形式（加盖公章）提交至采购人。</w:t>
      </w:r>
    </w:p>
    <w:p>
      <w:pPr>
        <w:pStyle w:val="3"/>
        <w:numPr>
          <w:ilvl w:val="0"/>
          <w:numId w:val="14"/>
        </w:numPr>
        <w:spacing w:line="240" w:lineRule="auto"/>
        <w:jc w:val="center"/>
        <w:rPr>
          <w:rFonts w:asciiTheme="majorEastAsia" w:hAnsiTheme="majorEastAsia" w:eastAsiaTheme="majorEastAsia"/>
          <w:color w:val="auto"/>
          <w:sz w:val="30"/>
          <w:szCs w:val="30"/>
          <w:highlight w:val="none"/>
          <w:lang w:eastAsia="zh-TW"/>
        </w:rPr>
      </w:pPr>
      <w:bookmarkStart w:id="192" w:name="_Toc15510"/>
      <w:bookmarkStart w:id="193" w:name="_Toc435516652"/>
      <w:bookmarkStart w:id="194" w:name="_Toc438223138"/>
      <w:bookmarkStart w:id="195" w:name="_Toc435174935"/>
      <w:bookmarkStart w:id="196" w:name="_Toc77947891"/>
      <w:r>
        <w:rPr>
          <w:rFonts w:hint="eastAsia" w:asciiTheme="majorEastAsia" w:hAnsiTheme="majorEastAsia" w:eastAsiaTheme="majorEastAsia"/>
          <w:color w:val="auto"/>
          <w:sz w:val="30"/>
          <w:szCs w:val="30"/>
          <w:highlight w:val="none"/>
          <w:lang w:eastAsia="zh-TW"/>
        </w:rPr>
        <w:t>投标文件的编制</w:t>
      </w:r>
      <w:bookmarkEnd w:id="192"/>
      <w:bookmarkEnd w:id="193"/>
      <w:bookmarkEnd w:id="194"/>
      <w:bookmarkEnd w:id="195"/>
      <w:bookmarkEnd w:id="196"/>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7" w:name="_Toc27317"/>
      <w:r>
        <w:rPr>
          <w:rFonts w:hint="eastAsia" w:ascii="宋体" w:hAnsi="宋体"/>
          <w:b/>
          <w:bCs/>
          <w:color w:val="auto"/>
          <w:szCs w:val="21"/>
          <w:highlight w:val="none"/>
        </w:rPr>
        <w:t>投标的语言</w:t>
      </w:r>
      <w:bookmarkEnd w:id="197"/>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投标人提交的投标文件以及投标人与采购人就有关投标的所有来往函电均应使用中文书写</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标人提交的支持文件或印刷的资料可以用另一种语言</w:t>
      </w:r>
      <w:r>
        <w:rPr>
          <w:rFonts w:hint="eastAsia" w:ascii="宋体" w:hAnsi="宋体" w:cs="宋体"/>
          <w:color w:val="auto"/>
          <w:szCs w:val="21"/>
          <w:highlight w:val="none"/>
        </w:rPr>
        <w:t>，</w:t>
      </w:r>
      <w:r>
        <w:rPr>
          <w:rFonts w:hint="eastAsia" w:ascii="宋体" w:hAnsi="宋体" w:cs="宋体"/>
          <w:color w:val="auto"/>
          <w:szCs w:val="21"/>
          <w:highlight w:val="none"/>
          <w:lang w:eastAsia="zh-TW"/>
        </w:rPr>
        <w:t>但相应内容应附有中文翻译本</w:t>
      </w:r>
      <w:r>
        <w:rPr>
          <w:rFonts w:hint="eastAsia" w:ascii="宋体" w:hAnsi="宋体" w:cs="宋体"/>
          <w:color w:val="auto"/>
          <w:szCs w:val="21"/>
          <w:highlight w:val="none"/>
        </w:rPr>
        <w:t>，由翻译机构盖章或者翻译人员签名。</w:t>
      </w:r>
      <w:r>
        <w:rPr>
          <w:rFonts w:hint="eastAsia" w:ascii="宋体" w:hAnsi="宋体"/>
          <w:color w:val="auto"/>
          <w:highlight w:val="none"/>
        </w:rPr>
        <w:t>两种语言不一致时以中文翻译本为准。</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8" w:name="_Toc2446"/>
      <w:r>
        <w:rPr>
          <w:rFonts w:hint="eastAsia" w:ascii="宋体" w:hAnsi="宋体"/>
          <w:b/>
          <w:bCs/>
          <w:color w:val="auto"/>
          <w:szCs w:val="21"/>
          <w:highlight w:val="none"/>
        </w:rPr>
        <w:t>投标文件的构成</w:t>
      </w:r>
      <w:bookmarkEnd w:id="198"/>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color w:val="auto"/>
          <w:szCs w:val="21"/>
          <w:highlight w:val="none"/>
        </w:rPr>
        <w:t>资格性文件、符合性文件、技术文件、商务文件等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9" w:name="_Toc11091"/>
      <w:r>
        <w:rPr>
          <w:rFonts w:hint="eastAsia" w:ascii="宋体" w:hAnsi="宋体"/>
          <w:b/>
          <w:bCs/>
          <w:color w:val="auto"/>
          <w:szCs w:val="21"/>
          <w:highlight w:val="none"/>
        </w:rPr>
        <w:t>投标文件的编写</w:t>
      </w:r>
      <w:bookmarkEnd w:id="199"/>
    </w:p>
    <w:p>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投标人对招标文件中多个包组进行投标的</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其投标文件的编制</w:t>
      </w:r>
      <w:r>
        <w:rPr>
          <w:rFonts w:hint="eastAsia" w:ascii="宋体" w:hAnsi="宋体" w:cs="宋体"/>
          <w:color w:val="auto"/>
          <w:szCs w:val="21"/>
          <w:highlight w:val="none"/>
        </w:rPr>
        <w:t>可按</w:t>
      </w:r>
      <w:r>
        <w:rPr>
          <w:rFonts w:hint="eastAsia" w:ascii="宋体" w:hAnsi="宋体" w:cs="宋体"/>
          <w:color w:val="auto"/>
          <w:szCs w:val="21"/>
          <w:highlight w:val="none"/>
          <w:lang w:eastAsia="zh-TW"/>
        </w:rPr>
        <w:t>每个包组的要求分别装订和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5"/>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投标人必须对投标文件所提供的全部资料的真实性承担法律责任，并无条件接受采购人或者采购人或者</w:t>
      </w:r>
      <w:r>
        <w:rPr>
          <w:rFonts w:hint="eastAsia" w:ascii="宋体" w:hAnsi="宋体"/>
          <w:color w:val="auto"/>
          <w:szCs w:val="21"/>
          <w:highlight w:val="none"/>
        </w:rPr>
        <w:t>政府采购监督管理部门</w:t>
      </w:r>
      <w:r>
        <w:rPr>
          <w:rFonts w:hint="eastAsia" w:ascii="宋体" w:hAnsi="宋体" w:cs="宋体"/>
          <w:color w:val="auto"/>
          <w:szCs w:val="21"/>
          <w:highlight w:val="none"/>
          <w:lang w:eastAsia="zh-TW"/>
        </w:rPr>
        <w:t>对其中任何资料进行核实的要求。</w:t>
      </w:r>
    </w:p>
    <w:p>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0" w:name="_Toc23174"/>
      <w:r>
        <w:rPr>
          <w:rFonts w:hint="eastAsia" w:ascii="宋体" w:hAnsi="宋体"/>
          <w:b/>
          <w:bCs/>
          <w:color w:val="auto"/>
          <w:szCs w:val="21"/>
          <w:highlight w:val="none"/>
        </w:rPr>
        <w:t>联合体投标</w:t>
      </w:r>
      <w:bookmarkEnd w:id="200"/>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以联合体形式参加投标的，联合体各方均必须符合联合体各方均必须符合</w:t>
      </w:r>
      <w:r>
        <w:rPr>
          <w:rFonts w:hint="eastAsia" w:ascii="宋体" w:hAnsi="宋体"/>
          <w:bCs/>
          <w:color w:val="auto"/>
          <w:szCs w:val="20"/>
          <w:highlight w:val="none"/>
        </w:rPr>
        <w:t>《中华人民共和国政府采购法》第二十二条第（一）至（六）项规定。</w:t>
      </w:r>
    </w:p>
    <w:p>
      <w:pPr>
        <w:numPr>
          <w:ilvl w:val="2"/>
          <w:numId w:val="15"/>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15"/>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15"/>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采购</w:t>
      </w:r>
      <w:r>
        <w:rPr>
          <w:rFonts w:ascii="宋体" w:hAnsi="宋体"/>
          <w:color w:val="auto"/>
          <w:szCs w:val="21"/>
          <w:highlight w:val="none"/>
        </w:rPr>
        <w:t>人签订合同。</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1" w:name="_Toc14020"/>
      <w:r>
        <w:rPr>
          <w:rFonts w:hint="eastAsia" w:ascii="宋体" w:hAnsi="宋体"/>
          <w:b/>
          <w:bCs/>
          <w:color w:val="auto"/>
          <w:szCs w:val="21"/>
          <w:highlight w:val="none"/>
        </w:rPr>
        <w:t>证明投标人合格和资格的文件</w:t>
      </w:r>
      <w:bookmarkEnd w:id="201"/>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w:t>
      </w:r>
      <w:r>
        <w:rPr>
          <w:rFonts w:hint="eastAsia" w:ascii="宋体" w:hAnsi="宋体"/>
          <w:color w:val="auto"/>
          <w:szCs w:val="21"/>
          <w:highlight w:val="none"/>
        </w:rPr>
        <w:t>联合</w:t>
      </w:r>
      <w:r>
        <w:rPr>
          <w:rFonts w:hint="eastAsia" w:ascii="宋体" w:hAnsi="宋体" w:cs="宋体"/>
          <w:color w:val="auto"/>
          <w:szCs w:val="21"/>
          <w:highlight w:val="none"/>
        </w:rPr>
        <w:t>投标协议</w:t>
      </w:r>
      <w:r>
        <w:rPr>
          <w:rFonts w:hint="eastAsia" w:ascii="宋体" w:hAnsi="宋体" w:cs="宋体"/>
          <w:color w:val="auto"/>
          <w:szCs w:val="21"/>
          <w:highlight w:val="none"/>
          <w:lang w:eastAsia="zh-TW"/>
        </w:rPr>
        <w:t>并注明</w:t>
      </w:r>
      <w:r>
        <w:rPr>
          <w:rFonts w:hint="eastAsia" w:ascii="宋体" w:hAnsi="宋体" w:cs="宋体"/>
          <w:color w:val="auto"/>
          <w:szCs w:val="21"/>
          <w:highlight w:val="none"/>
        </w:rPr>
        <w:t>主体方及各方拟承担的工作和责任。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2" w:name="_Toc17198"/>
      <w:r>
        <w:rPr>
          <w:rFonts w:ascii="宋体" w:hAnsi="宋体"/>
          <w:b/>
          <w:bCs/>
          <w:color w:val="auto"/>
          <w:szCs w:val="21"/>
          <w:highlight w:val="none"/>
        </w:rPr>
        <w:t>证明投标标的的合格性和符合招标文件规定的文件</w:t>
      </w:r>
      <w:bookmarkEnd w:id="202"/>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15"/>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3" w:name="_Toc30449"/>
      <w:r>
        <w:rPr>
          <w:rFonts w:hint="eastAsia" w:ascii="宋体" w:hAnsi="宋体"/>
          <w:b/>
          <w:bCs/>
          <w:color w:val="auto"/>
          <w:szCs w:val="21"/>
          <w:highlight w:val="none"/>
        </w:rPr>
        <w:t>投标保证金</w:t>
      </w:r>
      <w:bookmarkEnd w:id="203"/>
      <w:r>
        <w:rPr>
          <w:rFonts w:hint="eastAsia" w:ascii="宋体" w:hAnsi="宋体"/>
          <w:b/>
          <w:bCs/>
          <w:color w:val="auto"/>
          <w:szCs w:val="21"/>
          <w:highlight w:val="none"/>
        </w:rPr>
        <w:t>（本项目不适用）</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的金</w:t>
      </w:r>
      <w:r>
        <w:rPr>
          <w:rFonts w:hint="eastAsia" w:ascii="宋体" w:hAnsi="宋体" w:cs="宋体"/>
          <w:color w:val="auto"/>
          <w:szCs w:val="21"/>
          <w:highlight w:val="none"/>
          <w:lang w:eastAsia="zh-TW"/>
        </w:rPr>
        <w:t>额</w:t>
      </w:r>
      <w:r>
        <w:rPr>
          <w:rFonts w:hint="eastAsia" w:ascii="宋体" w:hAnsi="宋体" w:cs="宋体"/>
          <w:color w:val="auto"/>
          <w:szCs w:val="21"/>
          <w:highlight w:val="none"/>
        </w:rPr>
        <w:t>和期限缴纳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投标人在投标截止时间前撤回已提交的投标文件的，采购人或者采购人应当自收到投标人书面撤回通知之日起5个工作日内，退还已收取的投标保证金，但因投标人自身原因导致无法及时退还的除外。</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中标人的投标保证金，在中标人与采购人签订采购合同之日起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下列任一情况发生时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15"/>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15"/>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拒绝与采购人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15"/>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依法</w:t>
      </w:r>
      <w:r>
        <w:rPr>
          <w:rFonts w:hint="eastAsia" w:ascii="宋体" w:hAnsi="宋体" w:cs="宋体"/>
          <w:color w:val="auto"/>
          <w:szCs w:val="21"/>
          <w:highlight w:val="none"/>
        </w:rPr>
        <w:t>被认定中标无效</w:t>
      </w:r>
      <w:r>
        <w:rPr>
          <w:rFonts w:hint="eastAsia" w:ascii="宋体" w:hAnsi="宋体" w:cs="宋体"/>
          <w:color w:val="auto"/>
          <w:szCs w:val="21"/>
          <w:highlight w:val="none"/>
          <w:lang w:eastAsia="zh-TW"/>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4" w:name="_Toc23376"/>
      <w:r>
        <w:rPr>
          <w:rFonts w:hint="eastAsia" w:ascii="宋体" w:hAnsi="宋体"/>
          <w:b/>
          <w:bCs/>
          <w:color w:val="auto"/>
          <w:szCs w:val="21"/>
          <w:highlight w:val="none"/>
        </w:rPr>
        <w:t>投标有效期</w:t>
      </w:r>
      <w:bookmarkEnd w:id="204"/>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采购人可要求投标人延长投标有效期。这种要求与答复均应以书面形式提交。投标人可拒绝采购人的这种要求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w:t>
      </w:r>
      <w:r>
        <w:rPr>
          <w:rFonts w:hint="eastAsia" w:ascii="宋体" w:hAnsi="宋体" w:cs="宋体"/>
          <w:color w:val="auto"/>
          <w:szCs w:val="21"/>
          <w:highlight w:val="none"/>
        </w:rPr>
        <w:t>不予退还</w:t>
      </w:r>
      <w:r>
        <w:rPr>
          <w:rFonts w:hint="eastAsia" w:ascii="宋体" w:hAnsi="宋体" w:cs="宋体"/>
          <w:color w:val="auto"/>
          <w:szCs w:val="21"/>
          <w:highlight w:val="none"/>
          <w:lang w:eastAsia="zh-TW"/>
        </w:rPr>
        <w:t>的规定将在延长了的有效期内继续有效。</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5" w:name="_Toc20270"/>
      <w:r>
        <w:rPr>
          <w:rFonts w:hint="eastAsia" w:ascii="宋体" w:hAnsi="宋体"/>
          <w:b/>
          <w:bCs/>
          <w:color w:val="auto"/>
          <w:szCs w:val="21"/>
          <w:highlight w:val="none"/>
        </w:rPr>
        <w:t>投标文件的式样和签署、密封</w:t>
      </w:r>
      <w:bookmarkEnd w:id="205"/>
    </w:p>
    <w:p>
      <w:pPr>
        <w:numPr>
          <w:ilvl w:val="1"/>
          <w:numId w:val="15"/>
        </w:numPr>
        <w:autoSpaceDE w:val="0"/>
        <w:autoSpaceDN w:val="0"/>
        <w:adjustRightInd w:val="0"/>
        <w:snapToGrid w:val="0"/>
        <w:spacing w:line="360" w:lineRule="auto"/>
        <w:rPr>
          <w:rFonts w:ascii="宋体" w:hAnsi="宋体" w:cs="黑体"/>
          <w:b/>
          <w:bCs/>
          <w:color w:val="auto"/>
          <w:szCs w:val="21"/>
          <w:highlight w:val="none"/>
        </w:rPr>
      </w:pPr>
      <w:bookmarkStart w:id="206" w:name="_Toc438223139"/>
      <w:bookmarkStart w:id="207" w:name="_Toc435516653"/>
      <w:bookmarkStart w:id="208" w:name="_Toc435174936"/>
      <w:r>
        <w:rPr>
          <w:rFonts w:hint="eastAsia" w:ascii="宋体" w:hAnsi="宋体" w:cs="宋体"/>
          <w:color w:val="auto"/>
          <w:szCs w:val="21"/>
          <w:highlight w:val="none"/>
          <w:lang w:eastAsia="zh-TW"/>
        </w:rPr>
        <w:t>投标文件的式样：投标人应准备</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投标文件一份正本</w:t>
      </w:r>
      <w:r>
        <w:rPr>
          <w:rFonts w:hint="eastAsia" w:ascii="宋体" w:hAnsi="宋体" w:cs="宋体"/>
          <w:color w:val="auto"/>
          <w:szCs w:val="21"/>
          <w:highlight w:val="none"/>
        </w:rPr>
        <w:t>、电子文件</w:t>
      </w:r>
      <w:r>
        <w:rPr>
          <w:rFonts w:hint="eastAsia" w:ascii="宋体" w:hAnsi="宋体" w:cs="宋体"/>
          <w:color w:val="auto"/>
          <w:szCs w:val="21"/>
          <w:highlight w:val="none"/>
          <w:lang w:eastAsia="zh-TW"/>
        </w:rPr>
        <w:t>和</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中规定数目的</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副本</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投标文件的副本可采用正本的复印件。每套投标文件须清楚地标明“正本”或</w:t>
      </w:r>
      <w:r>
        <w:rPr>
          <w:rFonts w:hint="eastAsia" w:ascii="宋体" w:hAnsi="宋体" w:cs="宋体"/>
          <w:color w:val="auto"/>
          <w:szCs w:val="21"/>
          <w:highlight w:val="none"/>
        </w:rPr>
        <w:t>“副</w:t>
      </w:r>
      <w:r>
        <w:rPr>
          <w:rFonts w:hint="eastAsia" w:ascii="宋体" w:hAnsi="宋体" w:cs="宋体"/>
          <w:color w:val="auto"/>
          <w:szCs w:val="21"/>
          <w:highlight w:val="none"/>
          <w:lang w:eastAsia="zh-TW"/>
        </w:rPr>
        <w:t>本</w:t>
      </w:r>
      <w:r>
        <w:rPr>
          <w:rFonts w:hint="eastAsia" w:ascii="宋体" w:hAnsi="宋体" w:cs="宋体"/>
          <w:color w:val="auto"/>
          <w:szCs w:val="21"/>
          <w:highlight w:val="none"/>
        </w:rPr>
        <w:t>”</w:t>
      </w:r>
      <w:r>
        <w:rPr>
          <w:rFonts w:hint="eastAsia" w:ascii="宋体" w:hAnsi="宋体" w:cs="宋体"/>
          <w:color w:val="auto"/>
          <w:szCs w:val="21"/>
          <w:highlight w:val="none"/>
          <w:lang w:eastAsia="zh-TW"/>
        </w:rPr>
        <w:t>。若副本与正本不符</w:t>
      </w:r>
      <w:r>
        <w:rPr>
          <w:rFonts w:hint="eastAsia" w:ascii="宋体" w:hAnsi="宋体" w:cs="宋体"/>
          <w:color w:val="auto"/>
          <w:szCs w:val="21"/>
          <w:highlight w:val="none"/>
        </w:rPr>
        <w:t>，</w:t>
      </w:r>
      <w:r>
        <w:rPr>
          <w:rFonts w:hint="eastAsia" w:ascii="宋体" w:hAnsi="宋体" w:cs="宋体"/>
          <w:color w:val="auto"/>
          <w:szCs w:val="21"/>
          <w:highlight w:val="none"/>
          <w:lang w:eastAsia="zh-TW"/>
        </w:rPr>
        <w:t>以正本为准。</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电子文件：是指将按招标文件要求签署、盖章后的正本投标文件扫描成PDF格式后拷贝至无病毒无密码的U盘或光盘。电子文件与正本投标文件一同密封</w:t>
      </w:r>
      <w:r>
        <w:rPr>
          <w:rFonts w:hint="eastAsia" w:ascii="宋体" w:hAnsi="宋体" w:cs="宋体"/>
          <w:color w:val="auto"/>
          <w:szCs w:val="21"/>
          <w:highlight w:val="none"/>
        </w:rPr>
        <w:t>，若电子文件</w:t>
      </w:r>
      <w:r>
        <w:rPr>
          <w:rFonts w:hint="eastAsia" w:ascii="宋体" w:hAnsi="宋体" w:cs="宋体"/>
          <w:color w:val="auto"/>
          <w:szCs w:val="21"/>
          <w:highlight w:val="none"/>
          <w:lang w:eastAsia="zh-TW"/>
        </w:rPr>
        <w:t>与正本不符</w:t>
      </w:r>
      <w:r>
        <w:rPr>
          <w:rFonts w:hint="eastAsia" w:ascii="宋体" w:hAnsi="宋体" w:cs="宋体"/>
          <w:color w:val="auto"/>
          <w:szCs w:val="21"/>
          <w:highlight w:val="none"/>
        </w:rPr>
        <w:t>，</w:t>
      </w:r>
      <w:r>
        <w:rPr>
          <w:rFonts w:hint="eastAsia" w:ascii="宋体" w:hAnsi="宋体" w:cs="宋体"/>
          <w:color w:val="auto"/>
          <w:szCs w:val="21"/>
          <w:highlight w:val="none"/>
          <w:lang w:eastAsia="zh-TW"/>
        </w:rPr>
        <w:t>以正本为准</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投标文件的签署：</w:t>
      </w:r>
      <w:r>
        <w:rPr>
          <w:rFonts w:ascii="宋体" w:hAnsi="宋体" w:cs="黑体"/>
          <w:b/>
          <w:bCs/>
          <w:color w:val="auto"/>
          <w:szCs w:val="21"/>
          <w:highlight w:val="none"/>
        </w:rPr>
        <w:t xml:space="preserve"> </w:t>
      </w:r>
    </w:p>
    <w:p>
      <w:pPr>
        <w:numPr>
          <w:ilvl w:val="2"/>
          <w:numId w:val="15"/>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投标文件的正本需打印或用不褪色墨水书写</w:t>
      </w:r>
      <w:r>
        <w:rPr>
          <w:rFonts w:hint="eastAsia" w:ascii="宋体" w:hAnsi="宋体" w:cs="宋体"/>
          <w:color w:val="auto"/>
          <w:szCs w:val="21"/>
          <w:highlight w:val="none"/>
        </w:rPr>
        <w:t>，且招标文件要求签名的</w:t>
      </w:r>
      <w:r>
        <w:rPr>
          <w:rFonts w:hint="eastAsia" w:ascii="宋体" w:hAnsi="宋体" w:cs="宋体"/>
          <w:color w:val="auto"/>
          <w:szCs w:val="21"/>
          <w:highlight w:val="none"/>
          <w:lang w:eastAsia="zh-TW"/>
        </w:rPr>
        <w:t>由</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代表人或经其正式授权的代表签字</w:t>
      </w:r>
      <w:r>
        <w:rPr>
          <w:rFonts w:hint="eastAsia" w:ascii="宋体" w:hAnsi="宋体" w:cs="宋体"/>
          <w:color w:val="auto"/>
          <w:szCs w:val="21"/>
          <w:highlight w:val="none"/>
        </w:rPr>
        <w:t>或盖章</w:t>
      </w:r>
      <w:r>
        <w:rPr>
          <w:rFonts w:hint="eastAsia" w:ascii="宋体" w:hAnsi="宋体" w:cs="宋体"/>
          <w:color w:val="auto"/>
          <w:szCs w:val="21"/>
          <w:highlight w:val="none"/>
          <w:lang w:eastAsia="zh-TW"/>
        </w:rPr>
        <w:t>，以及招标文件中明示盖公章</w:t>
      </w:r>
      <w:r>
        <w:rPr>
          <w:rFonts w:hint="eastAsia" w:ascii="宋体" w:hAnsi="宋体" w:cs="宋体"/>
          <w:color w:val="auto"/>
          <w:szCs w:val="21"/>
          <w:highlight w:val="none"/>
        </w:rPr>
        <w:t>处</w:t>
      </w:r>
      <w:r>
        <w:rPr>
          <w:rFonts w:hint="eastAsia" w:ascii="宋体" w:hAnsi="宋体" w:cs="宋体"/>
          <w:color w:val="auto"/>
          <w:szCs w:val="21"/>
          <w:highlight w:val="none"/>
          <w:lang w:eastAsia="zh-TW"/>
        </w:rPr>
        <w:t>及</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提供的证明材料应盖投标人公章，</w:t>
      </w:r>
      <w:r>
        <w:rPr>
          <w:rFonts w:hint="eastAsia" w:ascii="宋体" w:hAnsi="宋体" w:cs="宋体"/>
          <w:color w:val="auto"/>
          <w:szCs w:val="21"/>
          <w:highlight w:val="none"/>
        </w:rPr>
        <w:t>副本可以</w:t>
      </w:r>
      <w:r>
        <w:rPr>
          <w:rFonts w:hint="eastAsia" w:ascii="宋体" w:hAnsi="宋体" w:cs="Courier New"/>
          <w:color w:val="auto"/>
          <w:highlight w:val="none"/>
        </w:rPr>
        <w:t>用正本</w:t>
      </w:r>
      <w:r>
        <w:rPr>
          <w:rFonts w:hint="eastAsia" w:ascii="宋体" w:hAnsi="宋体" w:cs="宋体"/>
          <w:color w:val="auto"/>
          <w:szCs w:val="21"/>
          <w:highlight w:val="none"/>
        </w:rPr>
        <w:t>复印，与正本具有同等法律效力</w:t>
      </w:r>
      <w:r>
        <w:rPr>
          <w:rFonts w:hint="eastAsia" w:ascii="宋体" w:hAnsi="宋体" w:cs="宋体"/>
          <w:color w:val="auto"/>
          <w:szCs w:val="21"/>
          <w:highlight w:val="none"/>
          <w:lang w:eastAsia="zh-TW"/>
        </w:rPr>
        <w:t>。授权代表须将以书面形式出具的《法定代表人授权</w:t>
      </w:r>
      <w:r>
        <w:rPr>
          <w:rFonts w:hint="eastAsia" w:ascii="宋体" w:hAnsi="宋体" w:cs="宋体"/>
          <w:color w:val="auto"/>
          <w:szCs w:val="21"/>
          <w:highlight w:val="none"/>
        </w:rPr>
        <w:t>委托</w:t>
      </w:r>
      <w:r>
        <w:rPr>
          <w:rFonts w:hint="eastAsia" w:ascii="宋体" w:hAnsi="宋体" w:cs="宋体"/>
          <w:color w:val="auto"/>
          <w:szCs w:val="21"/>
          <w:highlight w:val="none"/>
          <w:lang w:eastAsia="zh-TW"/>
        </w:rPr>
        <w:t>书》附在</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标文件中。</w:t>
      </w:r>
    </w:p>
    <w:p>
      <w:pPr>
        <w:numPr>
          <w:ilvl w:val="2"/>
          <w:numId w:val="15"/>
        </w:numPr>
        <w:tabs>
          <w:tab w:val="left" w:pos="851"/>
        </w:tabs>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投标文件中的任何重要的插字、涂改和增删，必须由法定代表人或经其正式授权的代表在旁边签章或签字</w:t>
      </w:r>
      <w:r>
        <w:rPr>
          <w:rFonts w:hint="eastAsia" w:ascii="宋体" w:hAnsi="宋体"/>
          <w:color w:val="auto"/>
          <w:highlight w:val="none"/>
        </w:rPr>
        <w:t>或盖投标人公章</w:t>
      </w:r>
      <w:r>
        <w:rPr>
          <w:rFonts w:hint="eastAsia" w:ascii="宋体" w:hAnsi="宋体" w:cs="宋体"/>
          <w:color w:val="auto"/>
          <w:szCs w:val="21"/>
          <w:highlight w:val="none"/>
          <w:lang w:eastAsia="zh-TW"/>
        </w:rPr>
        <w:t>才有效。</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color w:val="auto"/>
          <w:szCs w:val="21"/>
          <w:highlight w:val="none"/>
          <w:lang w:eastAsia="zh-TW"/>
        </w:rPr>
        <w:t>：</w:t>
      </w:r>
    </w:p>
    <w:p>
      <w:pPr>
        <w:numPr>
          <w:ilvl w:val="2"/>
          <w:numId w:val="15"/>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w:t>
      </w:r>
      <w:r>
        <w:rPr>
          <w:rFonts w:hint="eastAsia" w:ascii="宋体" w:hAnsi="宋体" w:cs="宋体"/>
          <w:color w:val="auto"/>
          <w:szCs w:val="21"/>
          <w:highlight w:val="none"/>
          <w:lang w:eastAsia="zh-TW"/>
        </w:rPr>
        <w:t>和</w:t>
      </w:r>
      <w:r>
        <w:rPr>
          <w:rFonts w:hint="eastAsia" w:ascii="宋体" w:hAnsi="宋体"/>
          <w:color w:val="auto"/>
          <w:szCs w:val="21"/>
          <w:highlight w:val="none"/>
        </w:rPr>
        <w:t>“</w:t>
      </w:r>
      <w:r>
        <w:rPr>
          <w:rFonts w:hint="eastAsia" w:ascii="宋体" w:hAnsi="宋体" w:cs="宋体"/>
          <w:color w:val="auto"/>
          <w:szCs w:val="21"/>
          <w:highlight w:val="none"/>
          <w:lang w:eastAsia="zh-TW"/>
        </w:rPr>
        <w:t>在</w:t>
      </w:r>
      <w:r>
        <w:rPr>
          <w:rFonts w:ascii="宋体" w:hAnsi="宋体" w:cs="宋体"/>
          <w:color w:val="auto"/>
          <w:szCs w:val="21"/>
          <w:highlight w:val="none"/>
        </w:rPr>
        <w:t>(</w:t>
      </w:r>
      <w:r>
        <w:rPr>
          <w:rFonts w:hint="eastAsia" w:ascii="宋体" w:hAnsi="宋体" w:cs="宋体"/>
          <w:color w:val="auto"/>
          <w:szCs w:val="21"/>
          <w:highlight w:val="none"/>
        </w:rPr>
        <w:t>招标文件中规定的开标日期和时间</w:t>
      </w:r>
      <w:r>
        <w:rPr>
          <w:rFonts w:ascii="宋体" w:hAnsi="宋体" w:cs="宋体"/>
          <w:color w:val="auto"/>
          <w:szCs w:val="21"/>
          <w:highlight w:val="none"/>
        </w:rPr>
        <w:t>)</w:t>
      </w:r>
      <w:r>
        <w:rPr>
          <w:rFonts w:hint="eastAsia" w:ascii="宋体" w:hAnsi="宋体" w:cs="宋体"/>
          <w:color w:val="auto"/>
          <w:szCs w:val="21"/>
          <w:highlight w:val="none"/>
        </w:rPr>
        <w:t>之前不得启封”的</w:t>
      </w:r>
      <w:r>
        <w:rPr>
          <w:rFonts w:hint="eastAsia" w:ascii="宋体" w:hAnsi="宋体" w:cs="宋体"/>
          <w:color w:val="auto"/>
          <w:szCs w:val="21"/>
          <w:highlight w:val="none"/>
          <w:lang w:eastAsia="zh-TW"/>
        </w:rPr>
        <w:t>字样。</w:t>
      </w:r>
    </w:p>
    <w:p>
      <w:pPr>
        <w:numPr>
          <w:ilvl w:val="2"/>
          <w:numId w:val="15"/>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采购人对误投或提前启封概不负责</w:t>
      </w:r>
      <w:r>
        <w:rPr>
          <w:rFonts w:hint="eastAsia" w:ascii="宋体" w:hAnsi="宋体" w:cs="宋体"/>
          <w:color w:val="auto"/>
          <w:szCs w:val="21"/>
          <w:highlight w:val="none"/>
        </w:rPr>
        <w:t>。</w:t>
      </w:r>
    </w:p>
    <w:p>
      <w:pPr>
        <w:pStyle w:val="3"/>
        <w:numPr>
          <w:ilvl w:val="0"/>
          <w:numId w:val="14"/>
        </w:numPr>
        <w:spacing w:line="240" w:lineRule="auto"/>
        <w:jc w:val="center"/>
        <w:rPr>
          <w:rFonts w:asciiTheme="majorEastAsia" w:hAnsiTheme="majorEastAsia" w:eastAsiaTheme="majorEastAsia"/>
          <w:color w:val="auto"/>
          <w:sz w:val="30"/>
          <w:szCs w:val="30"/>
          <w:highlight w:val="none"/>
          <w:lang w:eastAsia="zh-TW"/>
        </w:rPr>
      </w:pPr>
      <w:bookmarkStart w:id="209" w:name="_Toc28883"/>
      <w:bookmarkStart w:id="210" w:name="_Toc77947892"/>
      <w:r>
        <w:rPr>
          <w:rFonts w:hint="eastAsia" w:asciiTheme="majorEastAsia" w:hAnsiTheme="majorEastAsia" w:eastAsiaTheme="majorEastAsia"/>
          <w:color w:val="auto"/>
          <w:sz w:val="30"/>
          <w:szCs w:val="30"/>
          <w:highlight w:val="none"/>
          <w:lang w:eastAsia="zh-TW"/>
        </w:rPr>
        <w:t>投标文件的递交</w:t>
      </w:r>
      <w:bookmarkEnd w:id="206"/>
      <w:bookmarkEnd w:id="207"/>
      <w:bookmarkEnd w:id="208"/>
      <w:bookmarkEnd w:id="209"/>
      <w:bookmarkEnd w:id="210"/>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1" w:name="_Toc13202"/>
      <w:r>
        <w:rPr>
          <w:rFonts w:hint="eastAsia" w:ascii="宋体" w:hAnsi="宋体"/>
          <w:b/>
          <w:bCs/>
          <w:color w:val="auto"/>
          <w:szCs w:val="21"/>
          <w:highlight w:val="none"/>
        </w:rPr>
        <w:t>投标文件递交</w:t>
      </w:r>
      <w:bookmarkEnd w:id="211"/>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15"/>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逾期送达或者未按照招标文件要求密封的投标文件，采购人应当拒收。</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2" w:name="_Toc22017"/>
      <w:r>
        <w:rPr>
          <w:rFonts w:hint="eastAsia" w:ascii="宋体" w:hAnsi="宋体"/>
          <w:b/>
          <w:bCs/>
          <w:color w:val="auto"/>
          <w:szCs w:val="21"/>
          <w:highlight w:val="none"/>
        </w:rPr>
        <w:t>投标文件的修改和撤回、撤销</w:t>
      </w:r>
      <w:bookmarkEnd w:id="212"/>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采购人。补充、修改的内容应当按招标文件要求签署、盖章、密封后，并作为投标文件的组成部分。在投标截止时间之后，投标人不得对其投标文件做任何修改和补充。</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bCs/>
          <w:color w:val="auto"/>
          <w:highlight w:val="none"/>
        </w:rPr>
        <w:t>投标人在投标截止后或在招标文件中规定的投标有效期内不可撤销其投标。否则，不予退还其投标保证金。</w:t>
      </w:r>
    </w:p>
    <w:p>
      <w:pPr>
        <w:numPr>
          <w:ilvl w:val="1"/>
          <w:numId w:val="15"/>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投标人所提交的投标文件在本项目投标截止时间后均不予退还。</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3" w:name="_Toc18853"/>
      <w:r>
        <w:rPr>
          <w:rFonts w:hint="eastAsia" w:ascii="宋体" w:hAnsi="宋体"/>
          <w:b/>
          <w:bCs/>
          <w:color w:val="auto"/>
          <w:szCs w:val="21"/>
          <w:highlight w:val="none"/>
        </w:rPr>
        <w:t>质疑</w:t>
      </w:r>
      <w:bookmarkEnd w:id="213"/>
    </w:p>
    <w:p>
      <w:pPr>
        <w:numPr>
          <w:ilvl w:val="1"/>
          <w:numId w:val="15"/>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15"/>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15"/>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供应商认为采购文件的内容损害其权益的，应在采购文件公布之日起七个工作日内。</w:t>
      </w:r>
    </w:p>
    <w:p>
      <w:pPr>
        <w:numPr>
          <w:ilvl w:val="3"/>
          <w:numId w:val="15"/>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供应商认为采购过程损害其权益的，应在各采购程序环节结束之日起七个工作日内。</w:t>
      </w:r>
    </w:p>
    <w:p>
      <w:pPr>
        <w:numPr>
          <w:ilvl w:val="3"/>
          <w:numId w:val="15"/>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供应商认为中标或者成交结果以及评审委员会、谈判小组、竞价小组组成人员损害其权益的，应在中标或者成交结果公示之日起七个工作日内。</w:t>
      </w:r>
    </w:p>
    <w:p>
      <w:pPr>
        <w:numPr>
          <w:ilvl w:val="2"/>
          <w:numId w:val="15"/>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15"/>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以书面形式向采购人</w:t>
      </w:r>
      <w:r>
        <w:rPr>
          <w:rFonts w:hint="eastAsia" w:ascii="宋体" w:hAnsi="宋体" w:cs="宋体"/>
          <w:color w:val="auto"/>
          <w:szCs w:val="21"/>
          <w:highlight w:val="none"/>
        </w:rPr>
        <w:t>一次性提出针对同一采购程序环节的</w:t>
      </w:r>
      <w:r>
        <w:rPr>
          <w:rFonts w:hint="eastAsia" w:ascii="宋体" w:hAnsi="宋体" w:cs="黑体"/>
          <w:bCs/>
          <w:color w:val="auto"/>
          <w:szCs w:val="21"/>
          <w:highlight w:val="none"/>
        </w:rPr>
        <w:t>质疑。</w:t>
      </w:r>
    </w:p>
    <w:p>
      <w:pPr>
        <w:numPr>
          <w:ilvl w:val="3"/>
          <w:numId w:val="15"/>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以联合体形式参加政府采购活动的，其质疑应当由组成联合体的所有供应商共同提出。</w:t>
      </w:r>
    </w:p>
    <w:p>
      <w:pPr>
        <w:numPr>
          <w:ilvl w:val="3"/>
          <w:numId w:val="15"/>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15"/>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15"/>
        </w:numPr>
        <w:tabs>
          <w:tab w:val="left" w:pos="1134"/>
        </w:tabs>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olor w:val="auto"/>
          <w:szCs w:val="21"/>
          <w:highlight w:val="none"/>
        </w:rPr>
        <w:tab/>
      </w:r>
      <w:r>
        <w:rPr>
          <w:rFonts w:hint="eastAsia" w:ascii="宋体" w:hAnsi="宋体" w:cs="宋体"/>
          <w:color w:val="auto"/>
          <w:szCs w:val="21"/>
          <w:highlight w:val="none"/>
          <w:lang w:eastAsia="zh-TW"/>
        </w:rPr>
        <w:t>采购人</w:t>
      </w:r>
      <w:r>
        <w:rPr>
          <w:rFonts w:hint="eastAsia" w:ascii="宋体" w:hAnsi="宋体"/>
          <w:color w:val="auto"/>
          <w:szCs w:val="21"/>
          <w:highlight w:val="none"/>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15"/>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hAnsi="宋体"/>
          <w:snapToGrid w:val="0"/>
          <w:color w:val="auto"/>
          <w:szCs w:val="21"/>
          <w:highlight w:val="none"/>
        </w:rPr>
        <w:t>采购人接收以书面形式递交的质疑函，接收质疑函的联系人、联系方式和通讯地址详见</w:t>
      </w:r>
      <w:bookmarkStart w:id="214" w:name="_Hlk57971227"/>
      <w:r>
        <w:rPr>
          <w:rFonts w:hint="eastAsia" w:hAnsi="宋体"/>
          <w:b/>
          <w:bCs/>
          <w:snapToGrid w:val="0"/>
          <w:color w:val="auto"/>
          <w:szCs w:val="21"/>
          <w:highlight w:val="none"/>
        </w:rPr>
        <w:t>第二章 投标资料表</w:t>
      </w:r>
      <w:bookmarkEnd w:id="214"/>
      <w:r>
        <w:rPr>
          <w:rFonts w:hint="eastAsia" w:ascii="宋体" w:hAnsi="宋体"/>
          <w:color w:val="auto"/>
          <w:szCs w:val="21"/>
          <w:highlight w:val="none"/>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5" w:name="_Toc19729"/>
      <w:r>
        <w:rPr>
          <w:rFonts w:hint="eastAsia" w:ascii="宋体" w:hAnsi="宋体"/>
          <w:b/>
          <w:bCs/>
          <w:color w:val="auto"/>
          <w:szCs w:val="21"/>
          <w:highlight w:val="none"/>
        </w:rPr>
        <w:t>中标通知书</w:t>
      </w:r>
      <w:bookmarkEnd w:id="215"/>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上发布中标公告，并向中标人发出《中标通知书》，向采购人及未中标人发出《招标结果通知书》，《中标通知书》对中标人和采购人具有同等法律效力。</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pStyle w:val="3"/>
        <w:numPr>
          <w:ilvl w:val="0"/>
          <w:numId w:val="14"/>
        </w:numPr>
        <w:spacing w:line="240" w:lineRule="auto"/>
        <w:jc w:val="center"/>
        <w:rPr>
          <w:rFonts w:asciiTheme="majorEastAsia" w:hAnsiTheme="majorEastAsia" w:eastAsiaTheme="majorEastAsia"/>
          <w:color w:val="auto"/>
          <w:sz w:val="30"/>
          <w:szCs w:val="30"/>
          <w:highlight w:val="none"/>
          <w:lang w:eastAsia="zh-TW"/>
        </w:rPr>
      </w:pPr>
      <w:bookmarkStart w:id="216" w:name="_Toc435516655"/>
      <w:bookmarkStart w:id="217" w:name="_Toc77947893"/>
      <w:bookmarkStart w:id="218" w:name="_Toc6704"/>
      <w:bookmarkStart w:id="219" w:name="_Toc438223141"/>
      <w:bookmarkStart w:id="220" w:name="_Toc435174938"/>
      <w:r>
        <w:rPr>
          <w:rFonts w:hint="eastAsia" w:asciiTheme="majorEastAsia" w:hAnsiTheme="majorEastAsia" w:eastAsiaTheme="majorEastAsia"/>
          <w:color w:val="auto"/>
          <w:sz w:val="30"/>
          <w:szCs w:val="30"/>
          <w:highlight w:val="none"/>
          <w:lang w:eastAsia="zh-TW"/>
        </w:rPr>
        <w:t>授予合同</w:t>
      </w:r>
      <w:bookmarkEnd w:id="216"/>
      <w:bookmarkEnd w:id="217"/>
      <w:bookmarkEnd w:id="218"/>
      <w:bookmarkEnd w:id="219"/>
      <w:bookmarkEnd w:id="220"/>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1" w:name="_Toc5467"/>
      <w:r>
        <w:rPr>
          <w:rFonts w:hint="eastAsia" w:ascii="宋体" w:hAnsi="宋体"/>
          <w:b/>
          <w:bCs/>
          <w:color w:val="auto"/>
          <w:szCs w:val="21"/>
          <w:highlight w:val="none"/>
        </w:rPr>
        <w:t>合同的订立</w:t>
      </w:r>
      <w:bookmarkEnd w:id="221"/>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采购人应当自中标通知书发出之日起</w:t>
      </w:r>
      <w:r>
        <w:rPr>
          <w:rFonts w:hint="eastAsia" w:ascii="宋体" w:hAnsi="宋体" w:cs="宋体"/>
          <w:color w:val="auto"/>
          <w:szCs w:val="21"/>
          <w:highlight w:val="none"/>
        </w:rPr>
        <w:t>30</w:t>
      </w:r>
      <w:r>
        <w:rPr>
          <w:rFonts w:hint="eastAsia" w:ascii="宋体" w:hAnsi="宋体" w:cs="宋体"/>
          <w:color w:val="auto"/>
          <w:szCs w:val="21"/>
          <w:highlight w:val="none"/>
          <w:lang w:eastAsia="zh-TW"/>
        </w:rPr>
        <w:t>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采购人</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2" w:name="_Toc560"/>
      <w:r>
        <w:rPr>
          <w:rFonts w:hint="eastAsia" w:ascii="宋体" w:hAnsi="宋体"/>
          <w:b/>
          <w:bCs/>
          <w:color w:val="auto"/>
          <w:szCs w:val="21"/>
          <w:highlight w:val="none"/>
        </w:rPr>
        <w:t>合同的履行</w:t>
      </w:r>
      <w:bookmarkEnd w:id="222"/>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3" w:name="_Toc20193"/>
      <w:r>
        <w:rPr>
          <w:rFonts w:hint="eastAsia" w:ascii="宋体" w:hAnsi="宋体"/>
          <w:b/>
          <w:bCs/>
          <w:color w:val="auto"/>
          <w:szCs w:val="21"/>
          <w:highlight w:val="none"/>
        </w:rPr>
        <w:t>履约保证金</w:t>
      </w:r>
      <w:bookmarkEnd w:id="223"/>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中标人应按照</w:t>
      </w:r>
      <w:r>
        <w:rPr>
          <w:rFonts w:hint="eastAsia" w:ascii="宋体" w:hAnsi="宋体" w:cs="宋体"/>
          <w:b/>
          <w:color w:val="auto"/>
          <w:szCs w:val="21"/>
          <w:highlight w:val="none"/>
        </w:rPr>
        <w:t>投标资料表</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金额，</w:t>
      </w:r>
      <w:r>
        <w:rPr>
          <w:rFonts w:hint="eastAsia" w:ascii="宋体" w:hAnsi="宋体" w:cs="宋体"/>
          <w:color w:val="auto"/>
          <w:szCs w:val="21"/>
          <w:highlight w:val="none"/>
          <w:lang w:eastAsia="zh-TW"/>
        </w:rPr>
        <w:t>采用招标文件中提供的履约保证金保函格式或采购人可以接受的其他形式向采购人提交履约保证金。</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4" w:name="_Toc25777"/>
      <w:r>
        <w:rPr>
          <w:rFonts w:hint="eastAsia" w:ascii="宋体" w:hAnsi="宋体"/>
          <w:b/>
          <w:bCs/>
          <w:color w:val="auto"/>
          <w:szCs w:val="21"/>
          <w:highlight w:val="none"/>
        </w:rPr>
        <w:t>采购代理服务费</w:t>
      </w:r>
      <w:bookmarkEnd w:id="224"/>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rPr>
        <w:t>中标人应按照招标文件</w:t>
      </w:r>
      <w:r>
        <w:rPr>
          <w:rFonts w:hint="eastAsia" w:ascii="宋体" w:hAnsi="宋体" w:cs="宋体"/>
          <w:b/>
          <w:color w:val="auto"/>
          <w:szCs w:val="21"/>
          <w:highlight w:val="none"/>
        </w:rPr>
        <w:t>投标资料表</w:t>
      </w:r>
      <w:r>
        <w:rPr>
          <w:rFonts w:hint="eastAsia" w:ascii="宋体" w:hAnsi="宋体" w:cs="宋体"/>
          <w:color w:val="auto"/>
          <w:szCs w:val="21"/>
          <w:highlight w:val="none"/>
        </w:rPr>
        <w:t>中的规定缴纳采购代理服务费。否则，不予退还其投标保证金。</w:t>
      </w:r>
    </w:p>
    <w:p>
      <w:pPr>
        <w:numPr>
          <w:ilvl w:val="1"/>
          <w:numId w:val="15"/>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经依法取消中标资格的，采购代理服务费不予退还。</w:t>
      </w:r>
    </w:p>
    <w:p>
      <w:pPr>
        <w:rPr>
          <w:color w:val="auto"/>
          <w:highlight w:val="none"/>
        </w:rPr>
      </w:pPr>
    </w:p>
    <w:sectPr>
      <w:headerReference r:id="rId10"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http：//www.chinapsp.cn/                              </w:t>
    </w:r>
    <w:r>
      <w:fldChar w:fldCharType="begin"/>
    </w:r>
    <w:r>
      <w:rPr>
        <w:rStyle w:val="14"/>
      </w:rPr>
      <w:instrText xml:space="preserve"> PAGE </w:instrText>
    </w:r>
    <w:r>
      <w:fldChar w:fldCharType="separate"/>
    </w:r>
    <w:r>
      <w:rPr>
        <w:rStyle w:val="14"/>
      </w:rPr>
      <w:t>2</w:t>
    </w:r>
    <w:r>
      <w:fldChar w:fldCharType="end"/>
    </w:r>
    <w:r>
      <w:rPr>
        <w:rFonts w:hint="eastAsia"/>
      </w:rPr>
      <w:t>采联国际招标采购集团有限公司</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第</w:t>
    </w:r>
    <w:r>
      <w:fldChar w:fldCharType="begin"/>
    </w:r>
    <w:r>
      <w:rPr>
        <w:rStyle w:val="14"/>
      </w:rPr>
      <w:instrText xml:space="preserve"> PAGE </w:instrText>
    </w:r>
    <w:r>
      <w:fldChar w:fldCharType="separate"/>
    </w:r>
    <w:r>
      <w:rPr>
        <w:rStyle w:val="14"/>
      </w:rPr>
      <w:t>4</w:t>
    </w:r>
    <w:r>
      <w:fldChar w:fldCharType="end"/>
    </w:r>
    <w:r>
      <w:rPr>
        <w:rStyle w:val="14"/>
        <w:rFonts w:hint="eastAsia"/>
      </w:rPr>
      <w:t>页，共</w:t>
    </w:r>
    <w:r>
      <w:fldChar w:fldCharType="begin"/>
    </w:r>
    <w:r>
      <w:rPr>
        <w:rStyle w:val="14"/>
      </w:rPr>
      <w:instrText xml:space="preserve"> NUMPAGES </w:instrText>
    </w:r>
    <w:r>
      <w:fldChar w:fldCharType="separate"/>
    </w:r>
    <w:r>
      <w:rPr>
        <w:rStyle w:val="14"/>
      </w:rPr>
      <w:t>52</w:t>
    </w:r>
    <w:r>
      <w:fldChar w:fldCharType="end"/>
    </w:r>
    <w:r>
      <w:rPr>
        <w:rStyle w:val="14"/>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ascii="黑体" w:eastAsia="黑体"/>
        <w:sz w:val="24"/>
      </w:rPr>
      <w:drawing>
        <wp:inline distT="0" distB="0" distL="0" distR="0">
          <wp:extent cx="664845" cy="249555"/>
          <wp:effectExtent l="0" t="0" r="1905" b="171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default" w:ascii="宋体" w:hAnsi="宋体" w:eastAsia="宋体"/>
        <w:lang w:val="en" w:eastAsia="zh-CN"/>
      </w:rPr>
    </w:pPr>
    <w:r>
      <w:rPr>
        <w:rFonts w:hint="eastAsia" w:ascii="宋体" w:hAnsi="宋体"/>
      </w:rPr>
      <w:t xml:space="preserve">                           </w:t>
    </w:r>
    <w:r>
      <w:rPr>
        <w:rFonts w:hint="eastAsia" w:ascii="宋体"/>
        <w:bCs/>
        <w:szCs w:val="20"/>
      </w:rPr>
      <w:t>项目编号：</w:t>
    </w:r>
    <w:r>
      <w:rPr>
        <w:rFonts w:hint="default" w:ascii="宋体" w:hAnsi="宋体"/>
        <w:color w:val="auto"/>
        <w:lang w:val="en"/>
      </w:rPr>
      <w:t>NSSHJDMSWSS20221107-2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ascii="宋体" w:hAnsi="宋体"/>
        <w:lang w:val="en"/>
      </w:rPr>
    </w:pPr>
    <w:r>
      <w:drawing>
        <wp:inline distT="0" distB="0" distL="0" distR="0">
          <wp:extent cx="632460" cy="219075"/>
          <wp:effectExtent l="0" t="0" r="152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hint="eastAsia" w:ascii="宋体" w:hAnsi="宋体"/>
      </w:rPr>
      <w:t xml:space="preserve"> ︱让︱您︱的︱选︱择︱更︱专︱业︱               </w:t>
    </w:r>
    <w:r>
      <w:rPr>
        <w:rFonts w:hint="eastAsia" w:ascii="宋体" w:hAnsi="宋体"/>
        <w:lang w:val="en-US" w:eastAsia="zh-CN"/>
      </w:rPr>
      <w:t xml:space="preserve">   </w:t>
    </w:r>
    <w:r>
      <w:rPr>
        <w:rFonts w:hint="eastAsia" w:ascii="宋体" w:hAnsi="宋体"/>
      </w:rPr>
      <w:t xml:space="preserve">   </w:t>
    </w:r>
    <w:r>
      <w:rPr>
        <w:rFonts w:hint="eastAsia" w:ascii="宋体"/>
        <w:bCs/>
        <w:szCs w:val="20"/>
      </w:rPr>
      <w:t>项目编号：</w:t>
    </w:r>
    <w:r>
      <w:rPr>
        <w:rFonts w:hint="default" w:ascii="宋体" w:hAnsi="宋体"/>
        <w:lang w:val="en"/>
      </w:rPr>
      <w:t>NSSHJDMSWSS20221107-2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E4019CA"/>
    <w:multiLevelType w:val="multilevel"/>
    <w:tmpl w:val="2E4019C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01719F"/>
    <w:multiLevelType w:val="multilevel"/>
    <w:tmpl w:val="4501719F"/>
    <w:lvl w:ilvl="0" w:tentative="0">
      <w:start w:val="1"/>
      <w:numFmt w:val="decimal"/>
      <w:lvlText w:val="%1."/>
      <w:lvlJc w:val="left"/>
      <w:pPr>
        <w:tabs>
          <w:tab w:val="left" w:pos="420"/>
        </w:tabs>
        <w:ind w:left="420" w:hanging="420"/>
      </w:pPr>
      <w:rPr>
        <w:rFonts w:asciiTheme="minorEastAsia" w:hAnsiTheme="minorEastAsia" w:eastAsiaTheme="minorEastAsia"/>
        <w:b/>
        <w:bCs/>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6">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6E6F6101"/>
    <w:multiLevelType w:val="multilevel"/>
    <w:tmpl w:val="6E6F610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EB7F65"/>
    <w:multiLevelType w:val="multilevel"/>
    <w:tmpl w:val="6EEB7F65"/>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11"/>
  </w:num>
  <w:num w:numId="4">
    <w:abstractNumId w:val="6"/>
  </w:num>
  <w:num w:numId="5">
    <w:abstractNumId w:val="4"/>
  </w:num>
  <w:num w:numId="6">
    <w:abstractNumId w:val="14"/>
  </w:num>
  <w:num w:numId="7">
    <w:abstractNumId w:val="0"/>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5"/>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MzVkYzlkZDI5YjE5YWMwYjU5Y2RmNjA4Nzk1NTEifQ=="/>
  </w:docVars>
  <w:rsids>
    <w:rsidRoot w:val="7BE1047E"/>
    <w:rsid w:val="0324049F"/>
    <w:rsid w:val="13DE4296"/>
    <w:rsid w:val="1A1ECA79"/>
    <w:rsid w:val="1D9A3AEC"/>
    <w:rsid w:val="23E3036F"/>
    <w:rsid w:val="2F3F1916"/>
    <w:rsid w:val="2FBF922E"/>
    <w:rsid w:val="31E24A0E"/>
    <w:rsid w:val="37C371C2"/>
    <w:rsid w:val="37FECA55"/>
    <w:rsid w:val="3E834FD1"/>
    <w:rsid w:val="3FF55CE3"/>
    <w:rsid w:val="4AFD5131"/>
    <w:rsid w:val="4BFFB65A"/>
    <w:rsid w:val="4EB57DCF"/>
    <w:rsid w:val="579D734E"/>
    <w:rsid w:val="57BF6B8C"/>
    <w:rsid w:val="57FA93FD"/>
    <w:rsid w:val="5BF6AD3C"/>
    <w:rsid w:val="5D42521B"/>
    <w:rsid w:val="5D4AFC5F"/>
    <w:rsid w:val="5FF5C2D0"/>
    <w:rsid w:val="634B193A"/>
    <w:rsid w:val="66AB556A"/>
    <w:rsid w:val="671EEA34"/>
    <w:rsid w:val="6994CD55"/>
    <w:rsid w:val="6BF7EA92"/>
    <w:rsid w:val="6BFFA3B8"/>
    <w:rsid w:val="6EC54D48"/>
    <w:rsid w:val="6FC5545E"/>
    <w:rsid w:val="7583F92B"/>
    <w:rsid w:val="762385EB"/>
    <w:rsid w:val="797DB49F"/>
    <w:rsid w:val="7AFE7805"/>
    <w:rsid w:val="7B86B3C5"/>
    <w:rsid w:val="7BBF2D44"/>
    <w:rsid w:val="7BBF7BB8"/>
    <w:rsid w:val="7BE1047E"/>
    <w:rsid w:val="7DF3C8ED"/>
    <w:rsid w:val="7EDE6CBC"/>
    <w:rsid w:val="7F60F9D5"/>
    <w:rsid w:val="7FFFAFAA"/>
    <w:rsid w:val="A6BB2E20"/>
    <w:rsid w:val="AEECB2DE"/>
    <w:rsid w:val="AEFED45E"/>
    <w:rsid w:val="B3ED47D5"/>
    <w:rsid w:val="B5FD5AF6"/>
    <w:rsid w:val="B77D13A3"/>
    <w:rsid w:val="BB7EF3EF"/>
    <w:rsid w:val="BBDAA82C"/>
    <w:rsid w:val="BFE42AED"/>
    <w:rsid w:val="BFF72A33"/>
    <w:rsid w:val="CFDC361A"/>
    <w:rsid w:val="D77F974F"/>
    <w:rsid w:val="D7AF2DE7"/>
    <w:rsid w:val="DDCE8900"/>
    <w:rsid w:val="DED72526"/>
    <w:rsid w:val="DFBB53F3"/>
    <w:rsid w:val="EFDD4A87"/>
    <w:rsid w:val="EFFBBD68"/>
    <w:rsid w:val="F6F79B2D"/>
    <w:rsid w:val="F7FF18FF"/>
    <w:rsid w:val="FAF5EC22"/>
    <w:rsid w:val="FB4A0D24"/>
    <w:rsid w:val="FB73132D"/>
    <w:rsid w:val="FCF7DFED"/>
    <w:rsid w:val="FDFB90A8"/>
    <w:rsid w:val="FF5B11BD"/>
    <w:rsid w:val="FF9E19EB"/>
    <w:rsid w:val="FFF3E27A"/>
    <w:rsid w:val="FFF47F6E"/>
    <w:rsid w:val="FFFF9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heme="minorHAnsi" w:hAnsiTheme="minorHAnsi" w:eastAsiaTheme="minorEastAsia" w:cstheme="minorBidi"/>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eastAsiaTheme="minorEastAsia"/>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cs="Calibri"/>
      <w:b/>
      <w:bCs/>
      <w:caps/>
      <w:szCs w:val="20"/>
    </w:rPr>
  </w:style>
  <w:style w:type="paragraph" w:styleId="10">
    <w:name w:val="toc 2"/>
    <w:basedOn w:val="1"/>
    <w:next w:val="1"/>
    <w:qFormat/>
    <w:uiPriority w:val="39"/>
    <w:pPr>
      <w:ind w:left="210"/>
      <w:jc w:val="left"/>
    </w:pPr>
    <w:rPr>
      <w:rFonts w:ascii="Calibri" w:hAnsi="Calibri" w:cs="Calibri"/>
      <w:smallCaps/>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99"/>
    <w:rPr>
      <w:rFonts w:eastAsia="宋体"/>
      <w:color w:val="0000FF"/>
      <w:sz w:val="28"/>
      <w:u w:val="single"/>
    </w:rPr>
  </w:style>
  <w:style w:type="character" w:styleId="16">
    <w:name w:val="annotation reference"/>
    <w:qFormat/>
    <w:uiPriority w:val="0"/>
    <w:rPr>
      <w:sz w:val="21"/>
      <w:szCs w:val="21"/>
    </w:rPr>
  </w:style>
  <w:style w:type="paragraph" w:customStyle="1" w:styleId="1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
    <w:name w:val="列出段落1"/>
    <w:basedOn w:val="1"/>
    <w:qFormat/>
    <w:uiPriority w:val="34"/>
    <w:pPr>
      <w:ind w:firstLine="420" w:firstLineChars="200"/>
    </w:pPr>
  </w:style>
  <w:style w:type="paragraph" w:customStyle="1" w:styleId="19">
    <w:name w:val="样式4"/>
    <w:basedOn w:val="1"/>
    <w:qFormat/>
    <w:uiPriority w:val="0"/>
    <w:pPr>
      <w:tabs>
        <w:tab w:val="left" w:pos="2328"/>
      </w:tabs>
      <w:ind w:left="2328" w:hanging="708"/>
    </w:pPr>
  </w:style>
  <w:style w:type="paragraph" w:styleId="20">
    <w:name w:val="List Paragraph"/>
    <w:basedOn w:val="1"/>
    <w:qFormat/>
    <w:uiPriority w:val="34"/>
    <w:pPr>
      <w:ind w:firstLine="420" w:firstLineChars="200"/>
    </w:pPr>
  </w:style>
  <w:style w:type="paragraph" w:customStyle="1" w:styleId="21">
    <w:name w:val="Normal_13"/>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21884</Words>
  <Characters>22531</Characters>
  <Lines>0</Lines>
  <Paragraphs>0</Paragraphs>
  <TotalTime>6</TotalTime>
  <ScaleCrop>false</ScaleCrop>
  <LinksUpToDate>false</LinksUpToDate>
  <CharactersWithSpaces>23240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2022-11-04T22:27:00Z</dcterms:created>
  <dc:creator>采联-审核</dc:creator>
  <cp:lastModifiedBy>珊Q。</cp:lastModifiedBy>
  <dcterms:modified xsi:type="dcterms:W3CDTF">2022-12-31T04:24:21Z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0DA8251227F64D82BC2CB10833C12C7A</vt:lpwstr>
  </property>
</Properties>
</file>