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F5DA9">
      <w:pPr>
        <w:widowControl/>
        <w:spacing w:after="225"/>
        <w:jc w:val="center"/>
        <w:rPr>
          <w:rFonts w:hint="eastAsia" w:ascii="宋体" w:hAnsi="宋体" w:eastAsia="宋体"/>
          <w:b/>
          <w:sz w:val="36"/>
          <w:szCs w:val="36"/>
        </w:rPr>
      </w:pPr>
      <w:r>
        <w:rPr>
          <w:rFonts w:hint="eastAsia" w:ascii="宋体" w:hAnsi="宋体" w:eastAsia="宋体"/>
          <w:b/>
          <w:kern w:val="0"/>
          <w:sz w:val="36"/>
          <w:szCs w:val="36"/>
          <w:shd w:val="clear" w:color="auto" w:fill="FFFFFF"/>
        </w:rPr>
        <w:t>物业管理安全生产监督检查清单</w:t>
      </w:r>
    </w:p>
    <w:p w14:paraId="0548ED65">
      <w:pPr>
        <w:pStyle w:val="6"/>
        <w:spacing w:after="150"/>
        <w:ind w:firstLine="482" w:firstLineChars="200"/>
        <w:rPr>
          <w:rFonts w:hint="eastAsia" w:ascii="仿宋" w:hAnsi="仿宋" w:eastAsia="仿宋" w:cs="仿宋_GB2312"/>
          <w:b/>
        </w:rPr>
      </w:pPr>
      <w:r>
        <w:rPr>
          <w:rFonts w:hint="eastAsia" w:ascii="仿宋" w:hAnsi="仿宋" w:eastAsia="仿宋" w:cs="仿宋_GB2312"/>
          <w:b/>
        </w:rPr>
        <w:t xml:space="preserve">物业项目名称：                                                     物业服务企业名称： </w:t>
      </w:r>
    </w:p>
    <w:p w14:paraId="59C7FCBA">
      <w:pPr>
        <w:pStyle w:val="6"/>
        <w:spacing w:after="150"/>
        <w:ind w:firstLine="482" w:firstLineChars="200"/>
        <w:rPr>
          <w:rFonts w:hint="eastAsia" w:ascii="仿宋" w:hAnsi="仿宋" w:eastAsia="仿宋" w:cs="仿宋_GB2312"/>
          <w:b/>
          <w:u w:val="single"/>
        </w:rPr>
      </w:pPr>
      <w:r>
        <w:rPr>
          <w:rFonts w:hint="eastAsia" w:ascii="仿宋" w:hAnsi="仿宋" w:eastAsia="仿宋" w:cs="仿宋_GB2312"/>
          <w:b/>
        </w:rPr>
        <w:t xml:space="preserve">项目负责人：                                                       联系电话： </w:t>
      </w:r>
    </w:p>
    <w:p w14:paraId="68375EE2">
      <w:pPr>
        <w:pStyle w:val="6"/>
        <w:spacing w:after="150"/>
        <w:ind w:firstLine="482" w:firstLineChars="200"/>
        <w:rPr>
          <w:rFonts w:hint="eastAsia" w:ascii="仿宋" w:hAnsi="仿宋" w:eastAsia="仿宋" w:cs="仿宋_GB2312"/>
          <w:b/>
        </w:rPr>
      </w:pPr>
      <w:r>
        <w:rPr>
          <w:rFonts w:hint="eastAsia" w:ascii="仿宋" w:hAnsi="仿宋" w:eastAsia="仿宋" w:cs="仿宋_GB2312"/>
          <w:b/>
        </w:rPr>
        <w:t>物业地址：          街道            社区                           检查评分：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7"/>
        <w:gridCol w:w="1428"/>
        <w:gridCol w:w="4721"/>
        <w:gridCol w:w="1075"/>
        <w:gridCol w:w="2924"/>
        <w:gridCol w:w="3635"/>
        <w:gridCol w:w="457"/>
        <w:gridCol w:w="737"/>
      </w:tblGrid>
      <w:tr w14:paraId="4354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74" w:type="dxa"/>
            <w:gridSpan w:val="8"/>
            <w:tcBorders>
              <w:top w:val="single" w:color="auto" w:sz="4" w:space="0"/>
              <w:left w:val="single" w:color="auto" w:sz="4" w:space="0"/>
              <w:bottom w:val="single" w:color="auto" w:sz="4" w:space="0"/>
              <w:right w:val="single" w:color="auto" w:sz="4" w:space="0"/>
            </w:tcBorders>
            <w:shd w:val="clear" w:color="auto" w:fill="A5A5A5"/>
          </w:tcPr>
          <w:p w14:paraId="2F3FF2D9">
            <w:pPr>
              <w:pStyle w:val="6"/>
              <w:jc w:val="center"/>
              <w:rPr>
                <w:rFonts w:hint="eastAsia" w:ascii="仿宋" w:hAnsi="仿宋" w:eastAsia="仿宋" w:cs="仿宋_GB2312"/>
                <w:b/>
                <w:sz w:val="21"/>
                <w:szCs w:val="21"/>
              </w:rPr>
            </w:pPr>
            <w:r>
              <w:rPr>
                <w:rFonts w:hint="eastAsia" w:ascii="仿宋" w:hAnsi="仿宋" w:eastAsia="仿宋" w:cs="仿宋_GB2312"/>
                <w:b/>
                <w:sz w:val="28"/>
                <w:szCs w:val="28"/>
              </w:rPr>
              <w:t>物业管理安全生产基础制度监督检查（38分）</w:t>
            </w:r>
          </w:p>
        </w:tc>
      </w:tr>
      <w:tr w14:paraId="3F48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10612398">
            <w:pPr>
              <w:pStyle w:val="6"/>
              <w:spacing w:after="150"/>
              <w:jc w:val="center"/>
              <w:rPr>
                <w:rFonts w:hint="eastAsia" w:ascii="仿宋" w:hAnsi="仿宋" w:eastAsia="仿宋" w:cs="仿宋_GB2312"/>
                <w:b/>
                <w:sz w:val="21"/>
                <w:szCs w:val="21"/>
              </w:rPr>
            </w:pPr>
            <w:r>
              <w:rPr>
                <w:rFonts w:hint="eastAsia" w:ascii="仿宋" w:hAnsi="仿宋" w:eastAsia="仿宋" w:cs="仿宋_GB2312"/>
                <w:b/>
                <w:sz w:val="21"/>
                <w:szCs w:val="21"/>
              </w:rPr>
              <w:t>序号</w:t>
            </w:r>
          </w:p>
        </w:tc>
        <w:tc>
          <w:tcPr>
            <w:tcW w:w="1428" w:type="dxa"/>
            <w:tcBorders>
              <w:top w:val="single" w:color="auto" w:sz="4" w:space="0"/>
              <w:left w:val="single" w:color="auto" w:sz="4" w:space="0"/>
              <w:bottom w:val="single" w:color="auto" w:sz="4" w:space="0"/>
              <w:right w:val="single" w:color="auto" w:sz="4" w:space="0"/>
            </w:tcBorders>
            <w:vAlign w:val="center"/>
          </w:tcPr>
          <w:p w14:paraId="799F41E0">
            <w:pPr>
              <w:pStyle w:val="6"/>
              <w:spacing w:after="150"/>
              <w:jc w:val="center"/>
              <w:rPr>
                <w:rFonts w:hint="eastAsia" w:ascii="仿宋" w:hAnsi="仿宋" w:eastAsia="仿宋" w:cs="仿宋_GB2312"/>
                <w:b/>
                <w:sz w:val="21"/>
                <w:szCs w:val="21"/>
              </w:rPr>
            </w:pPr>
            <w:r>
              <w:rPr>
                <w:rFonts w:hint="eastAsia" w:ascii="仿宋" w:hAnsi="仿宋" w:eastAsia="仿宋" w:cs="仿宋_GB2312"/>
                <w:b/>
                <w:sz w:val="21"/>
                <w:szCs w:val="21"/>
              </w:rPr>
              <w:t>检查事项</w:t>
            </w:r>
          </w:p>
        </w:tc>
        <w:tc>
          <w:tcPr>
            <w:tcW w:w="4721" w:type="dxa"/>
            <w:tcBorders>
              <w:top w:val="single" w:color="auto" w:sz="4" w:space="0"/>
              <w:left w:val="single" w:color="auto" w:sz="4" w:space="0"/>
              <w:bottom w:val="single" w:color="auto" w:sz="4" w:space="0"/>
              <w:right w:val="single" w:color="auto" w:sz="4" w:space="0"/>
            </w:tcBorders>
            <w:vAlign w:val="center"/>
          </w:tcPr>
          <w:p w14:paraId="6DAF2F66">
            <w:pPr>
              <w:pStyle w:val="6"/>
              <w:spacing w:after="150"/>
              <w:jc w:val="center"/>
              <w:rPr>
                <w:rFonts w:hint="eastAsia" w:ascii="仿宋" w:hAnsi="仿宋" w:eastAsia="仿宋" w:cs="仿宋_GB2312"/>
                <w:b/>
                <w:sz w:val="21"/>
                <w:szCs w:val="21"/>
              </w:rPr>
            </w:pPr>
            <w:r>
              <w:rPr>
                <w:rFonts w:hint="eastAsia" w:ascii="仿宋" w:hAnsi="仿宋" w:eastAsia="仿宋" w:cs="仿宋_GB2312"/>
                <w:b/>
                <w:sz w:val="21"/>
                <w:szCs w:val="21"/>
              </w:rPr>
              <w:t>检查内容</w:t>
            </w:r>
          </w:p>
        </w:tc>
        <w:tc>
          <w:tcPr>
            <w:tcW w:w="1075" w:type="dxa"/>
            <w:tcBorders>
              <w:top w:val="single" w:color="auto" w:sz="4" w:space="0"/>
              <w:left w:val="single" w:color="auto" w:sz="4" w:space="0"/>
              <w:bottom w:val="single" w:color="auto" w:sz="4" w:space="0"/>
              <w:right w:val="single" w:color="auto" w:sz="4" w:space="0"/>
            </w:tcBorders>
            <w:vAlign w:val="center"/>
          </w:tcPr>
          <w:p w14:paraId="74BA5429">
            <w:pPr>
              <w:pStyle w:val="6"/>
              <w:spacing w:after="150"/>
              <w:jc w:val="center"/>
              <w:rPr>
                <w:rFonts w:hint="eastAsia" w:ascii="仿宋" w:hAnsi="仿宋" w:eastAsia="仿宋" w:cs="仿宋_GB2312"/>
                <w:b/>
                <w:sz w:val="21"/>
                <w:szCs w:val="21"/>
              </w:rPr>
            </w:pPr>
            <w:r>
              <w:rPr>
                <w:rFonts w:hint="eastAsia" w:ascii="仿宋" w:hAnsi="仿宋" w:eastAsia="仿宋" w:cs="仿宋_GB2312"/>
                <w:b/>
                <w:sz w:val="21"/>
                <w:szCs w:val="21"/>
              </w:rPr>
              <w:t>检查形式</w:t>
            </w:r>
          </w:p>
        </w:tc>
        <w:tc>
          <w:tcPr>
            <w:tcW w:w="2924" w:type="dxa"/>
            <w:tcBorders>
              <w:top w:val="single" w:color="auto" w:sz="4" w:space="0"/>
              <w:left w:val="single" w:color="auto" w:sz="4" w:space="0"/>
              <w:bottom w:val="single" w:color="auto" w:sz="4" w:space="0"/>
              <w:right w:val="single" w:color="auto" w:sz="4" w:space="0"/>
            </w:tcBorders>
            <w:vAlign w:val="center"/>
          </w:tcPr>
          <w:p w14:paraId="2B3BAFB1">
            <w:pPr>
              <w:pStyle w:val="6"/>
              <w:spacing w:after="150"/>
              <w:jc w:val="center"/>
              <w:rPr>
                <w:rFonts w:hint="eastAsia" w:ascii="仿宋" w:hAnsi="仿宋" w:eastAsia="仿宋" w:cs="仿宋_GB2312"/>
                <w:b/>
                <w:sz w:val="21"/>
                <w:szCs w:val="21"/>
              </w:rPr>
            </w:pPr>
            <w:r>
              <w:rPr>
                <w:rFonts w:hint="eastAsia" w:ascii="仿宋" w:hAnsi="仿宋" w:eastAsia="仿宋" w:cs="仿宋_GB2312"/>
                <w:b/>
                <w:sz w:val="21"/>
                <w:szCs w:val="21"/>
              </w:rPr>
              <w:t>依据</w:t>
            </w:r>
          </w:p>
        </w:tc>
        <w:tc>
          <w:tcPr>
            <w:tcW w:w="3635" w:type="dxa"/>
            <w:tcBorders>
              <w:top w:val="single" w:color="auto" w:sz="4" w:space="0"/>
              <w:left w:val="single" w:color="auto" w:sz="4" w:space="0"/>
              <w:bottom w:val="single" w:color="auto" w:sz="4" w:space="0"/>
              <w:right w:val="single" w:color="auto" w:sz="4" w:space="0"/>
            </w:tcBorders>
          </w:tcPr>
          <w:p w14:paraId="2BCFEA73">
            <w:pPr>
              <w:pStyle w:val="6"/>
              <w:spacing w:after="150"/>
              <w:jc w:val="center"/>
              <w:rPr>
                <w:rFonts w:hint="eastAsia" w:ascii="仿宋" w:hAnsi="仿宋" w:eastAsia="仿宋" w:cs="仿宋_GB2312"/>
                <w:b/>
                <w:sz w:val="21"/>
                <w:szCs w:val="21"/>
              </w:rPr>
            </w:pPr>
            <w:r>
              <w:rPr>
                <w:rFonts w:hint="eastAsia" w:ascii="仿宋" w:hAnsi="仿宋" w:eastAsia="仿宋" w:cs="仿宋_GB2312"/>
                <w:b/>
                <w:sz w:val="21"/>
                <w:szCs w:val="21"/>
              </w:rPr>
              <w:t>评分细则</w:t>
            </w:r>
          </w:p>
        </w:tc>
        <w:tc>
          <w:tcPr>
            <w:tcW w:w="457" w:type="dxa"/>
            <w:tcBorders>
              <w:top w:val="single" w:color="auto" w:sz="4" w:space="0"/>
              <w:left w:val="single" w:color="auto" w:sz="4" w:space="0"/>
              <w:bottom w:val="single" w:color="auto" w:sz="4" w:space="0"/>
              <w:right w:val="single" w:color="auto" w:sz="4" w:space="0"/>
            </w:tcBorders>
          </w:tcPr>
          <w:p w14:paraId="62620CC0">
            <w:pPr>
              <w:pStyle w:val="6"/>
              <w:spacing w:after="150"/>
              <w:jc w:val="center"/>
              <w:rPr>
                <w:rFonts w:hint="eastAsia" w:ascii="仿宋" w:hAnsi="仿宋" w:eastAsia="仿宋" w:cs="仿宋_GB2312"/>
                <w:b/>
                <w:sz w:val="21"/>
                <w:szCs w:val="21"/>
              </w:rPr>
            </w:pPr>
            <w:r>
              <w:rPr>
                <w:rFonts w:hint="eastAsia" w:ascii="仿宋" w:hAnsi="仿宋" w:eastAsia="仿宋" w:cs="仿宋_GB2312"/>
                <w:b/>
                <w:sz w:val="21"/>
                <w:szCs w:val="21"/>
              </w:rPr>
              <w:t>扣分</w:t>
            </w:r>
          </w:p>
        </w:tc>
        <w:tc>
          <w:tcPr>
            <w:tcW w:w="737" w:type="dxa"/>
            <w:tcBorders>
              <w:top w:val="single" w:color="auto" w:sz="4" w:space="0"/>
              <w:left w:val="single" w:color="auto" w:sz="4" w:space="0"/>
              <w:bottom w:val="single" w:color="auto" w:sz="4" w:space="0"/>
              <w:right w:val="single" w:color="auto" w:sz="4" w:space="0"/>
            </w:tcBorders>
            <w:vAlign w:val="center"/>
          </w:tcPr>
          <w:p w14:paraId="66900CD2">
            <w:pPr>
              <w:pStyle w:val="6"/>
              <w:spacing w:after="150"/>
              <w:jc w:val="center"/>
              <w:rPr>
                <w:rFonts w:hint="eastAsia" w:ascii="仿宋" w:hAnsi="仿宋" w:eastAsia="仿宋" w:cs="仿宋_GB2312"/>
                <w:b/>
                <w:sz w:val="21"/>
                <w:szCs w:val="21"/>
              </w:rPr>
            </w:pPr>
            <w:r>
              <w:rPr>
                <w:rFonts w:hint="eastAsia" w:ascii="仿宋" w:hAnsi="仿宋" w:eastAsia="仿宋" w:cs="仿宋_GB2312"/>
                <w:b/>
                <w:sz w:val="21"/>
                <w:szCs w:val="21"/>
              </w:rPr>
              <w:t>备注</w:t>
            </w:r>
          </w:p>
        </w:tc>
      </w:tr>
      <w:tr w14:paraId="2798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7"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658BB448">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1</w:t>
            </w:r>
          </w:p>
        </w:tc>
        <w:tc>
          <w:tcPr>
            <w:tcW w:w="1428" w:type="dxa"/>
            <w:tcBorders>
              <w:top w:val="single" w:color="auto" w:sz="4" w:space="0"/>
              <w:left w:val="single" w:color="auto" w:sz="4" w:space="0"/>
              <w:bottom w:val="single" w:color="auto" w:sz="4" w:space="0"/>
              <w:right w:val="single" w:color="auto" w:sz="4" w:space="0"/>
            </w:tcBorders>
            <w:vAlign w:val="center"/>
          </w:tcPr>
          <w:p w14:paraId="3B902C30">
            <w:pPr>
              <w:pStyle w:val="6"/>
              <w:rPr>
                <w:rFonts w:hint="eastAsia" w:ascii="仿宋" w:hAnsi="仿宋" w:eastAsia="仿宋" w:cs="仿宋_GB2312"/>
                <w:sz w:val="21"/>
                <w:szCs w:val="21"/>
              </w:rPr>
            </w:pPr>
            <w:r>
              <w:rPr>
                <w:rFonts w:hint="eastAsia" w:ascii="仿宋" w:hAnsi="仿宋" w:eastAsia="仿宋" w:cs="仿宋_GB2312"/>
                <w:sz w:val="21"/>
                <w:szCs w:val="21"/>
              </w:rPr>
              <w:t>安全生产管理制度的建立、公开和实施（6分）</w:t>
            </w:r>
          </w:p>
        </w:tc>
        <w:tc>
          <w:tcPr>
            <w:tcW w:w="4721" w:type="dxa"/>
            <w:tcBorders>
              <w:top w:val="single" w:color="auto" w:sz="4" w:space="0"/>
              <w:left w:val="single" w:color="auto" w:sz="4" w:space="0"/>
              <w:bottom w:val="single" w:color="auto" w:sz="4" w:space="0"/>
              <w:right w:val="single" w:color="auto" w:sz="4" w:space="0"/>
            </w:tcBorders>
            <w:vAlign w:val="center"/>
          </w:tcPr>
          <w:p w14:paraId="24FBF4D9">
            <w:pPr>
              <w:pStyle w:val="6"/>
              <w:rPr>
                <w:rFonts w:hint="eastAsia" w:ascii="仿宋" w:hAnsi="仿宋" w:eastAsia="仿宋" w:cs="仿宋_GB2312"/>
                <w:sz w:val="21"/>
                <w:szCs w:val="21"/>
              </w:rPr>
            </w:pPr>
            <w:r>
              <w:rPr>
                <w:rFonts w:hint="eastAsia" w:ascii="仿宋" w:hAnsi="仿宋" w:eastAsia="仿宋" w:cs="仿宋_GB2312"/>
                <w:sz w:val="21"/>
                <w:szCs w:val="21"/>
              </w:rPr>
              <w:t>（1）安全生产岗位责任制和监督考核制度；（2）安全生产资金管理和设备、设施保障制度；（3）风险辨识、分级管控和安全生产检查、事故隐患排查治理制度；（4）特种作业和危险作业管理制度；（5）安全生产教育培训制度；（6）生产安全事故报告、应急救援和调查处理制度。</w:t>
            </w:r>
          </w:p>
        </w:tc>
        <w:tc>
          <w:tcPr>
            <w:tcW w:w="1075" w:type="dxa"/>
            <w:tcBorders>
              <w:top w:val="single" w:color="auto" w:sz="4" w:space="0"/>
              <w:left w:val="single" w:color="auto" w:sz="4" w:space="0"/>
              <w:bottom w:val="single" w:color="auto" w:sz="4" w:space="0"/>
              <w:right w:val="single" w:color="auto" w:sz="4" w:space="0"/>
            </w:tcBorders>
            <w:vAlign w:val="center"/>
          </w:tcPr>
          <w:p w14:paraId="70ECE047">
            <w:pPr>
              <w:pStyle w:val="6"/>
              <w:rPr>
                <w:rFonts w:hint="eastAsia" w:ascii="仿宋" w:hAnsi="仿宋" w:eastAsia="仿宋" w:cs="仿宋_GB2312"/>
                <w:sz w:val="21"/>
                <w:szCs w:val="21"/>
              </w:rPr>
            </w:pPr>
            <w:r>
              <w:rPr>
                <w:rFonts w:hint="eastAsia" w:ascii="仿宋" w:hAnsi="仿宋" w:eastAsia="仿宋" w:cs="仿宋_GB2312"/>
                <w:sz w:val="21"/>
                <w:szCs w:val="21"/>
              </w:rPr>
              <w:t>文本资料、相关张贴照片</w:t>
            </w:r>
          </w:p>
        </w:tc>
        <w:tc>
          <w:tcPr>
            <w:tcW w:w="2924" w:type="dxa"/>
            <w:tcBorders>
              <w:top w:val="single" w:color="auto" w:sz="4" w:space="0"/>
              <w:left w:val="single" w:color="auto" w:sz="4" w:space="0"/>
              <w:bottom w:val="single" w:color="auto" w:sz="4" w:space="0"/>
              <w:right w:val="single" w:color="auto" w:sz="4" w:space="0"/>
            </w:tcBorders>
            <w:vAlign w:val="center"/>
          </w:tcPr>
          <w:p w14:paraId="4A64ED84">
            <w:pPr>
              <w:pStyle w:val="6"/>
              <w:rPr>
                <w:rFonts w:hint="eastAsia" w:ascii="仿宋" w:hAnsi="仿宋" w:eastAsia="仿宋" w:cs="仿宋_GB2312"/>
                <w:sz w:val="21"/>
                <w:szCs w:val="21"/>
              </w:rPr>
            </w:pPr>
            <w:r>
              <w:rPr>
                <w:rFonts w:hint="eastAsia" w:ascii="仿宋" w:hAnsi="仿宋" w:eastAsia="仿宋" w:cs="仿宋_GB2312"/>
                <w:sz w:val="21"/>
                <w:szCs w:val="21"/>
              </w:rPr>
              <w:t>《安全生产法》（2021年修正）第二十一条、第二十二条；《深圳市生产经营单位安全生产主体责任规定》（深圳市人民政府第308号令）第七条</w:t>
            </w:r>
          </w:p>
        </w:tc>
        <w:tc>
          <w:tcPr>
            <w:tcW w:w="3635" w:type="dxa"/>
            <w:tcBorders>
              <w:top w:val="single" w:color="auto" w:sz="4" w:space="0"/>
              <w:left w:val="single" w:color="auto" w:sz="4" w:space="0"/>
              <w:bottom w:val="single" w:color="auto" w:sz="4" w:space="0"/>
              <w:right w:val="single" w:color="auto" w:sz="4" w:space="0"/>
            </w:tcBorders>
            <w:vAlign w:val="center"/>
          </w:tcPr>
          <w:p w14:paraId="1CF8C62F">
            <w:pPr>
              <w:pStyle w:val="6"/>
              <w:rPr>
                <w:rFonts w:hint="eastAsia" w:ascii="仿宋" w:hAnsi="仿宋" w:eastAsia="仿宋" w:cs="仿宋_GB2312"/>
                <w:sz w:val="21"/>
                <w:szCs w:val="21"/>
              </w:rPr>
            </w:pPr>
            <w:r>
              <w:rPr>
                <w:rFonts w:hint="eastAsia" w:ascii="仿宋" w:hAnsi="仿宋" w:eastAsia="仿宋" w:cs="仿宋_GB2312"/>
                <w:sz w:val="21"/>
                <w:szCs w:val="21"/>
              </w:rPr>
              <w:t>未制定安全生产管理制度或制度不完善，每项不符合扣1分，最多扣6分。</w:t>
            </w:r>
          </w:p>
        </w:tc>
        <w:tc>
          <w:tcPr>
            <w:tcW w:w="457" w:type="dxa"/>
            <w:tcBorders>
              <w:top w:val="single" w:color="auto" w:sz="4" w:space="0"/>
              <w:left w:val="single" w:color="auto" w:sz="4" w:space="0"/>
              <w:bottom w:val="single" w:color="auto" w:sz="4" w:space="0"/>
              <w:right w:val="single" w:color="auto" w:sz="4" w:space="0"/>
            </w:tcBorders>
          </w:tcPr>
          <w:p w14:paraId="0ED7BBC4">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054AF4A5">
            <w:pPr>
              <w:widowControl/>
              <w:rPr>
                <w:rFonts w:hint="eastAsia" w:ascii="仿宋" w:hAnsi="仿宋" w:eastAsia="仿宋" w:cs="仿宋_GB2312"/>
              </w:rPr>
            </w:pPr>
          </w:p>
        </w:tc>
      </w:tr>
      <w:tr w14:paraId="7C6E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5"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10EC5B85">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2</w:t>
            </w:r>
          </w:p>
        </w:tc>
        <w:tc>
          <w:tcPr>
            <w:tcW w:w="1428" w:type="dxa"/>
            <w:tcBorders>
              <w:top w:val="single" w:color="auto" w:sz="4" w:space="0"/>
              <w:left w:val="single" w:color="auto" w:sz="4" w:space="0"/>
              <w:bottom w:val="single" w:color="auto" w:sz="4" w:space="0"/>
              <w:right w:val="single" w:color="auto" w:sz="4" w:space="0"/>
            </w:tcBorders>
            <w:vAlign w:val="center"/>
          </w:tcPr>
          <w:p w14:paraId="567FB0B7">
            <w:pPr>
              <w:pStyle w:val="6"/>
              <w:rPr>
                <w:rFonts w:hint="eastAsia" w:ascii="仿宋" w:hAnsi="仿宋" w:eastAsia="仿宋" w:cs="仿宋_GB2312"/>
                <w:sz w:val="21"/>
                <w:szCs w:val="21"/>
              </w:rPr>
            </w:pPr>
            <w:r>
              <w:rPr>
                <w:rFonts w:hint="eastAsia" w:ascii="仿宋" w:hAnsi="仿宋" w:eastAsia="仿宋" w:cs="仿宋_GB2312"/>
                <w:sz w:val="21"/>
                <w:szCs w:val="21"/>
              </w:rPr>
              <w:t>实行全员安全生产责任制（2分）</w:t>
            </w:r>
          </w:p>
        </w:tc>
        <w:tc>
          <w:tcPr>
            <w:tcW w:w="4721" w:type="dxa"/>
            <w:tcBorders>
              <w:top w:val="single" w:color="auto" w:sz="4" w:space="0"/>
              <w:left w:val="single" w:color="auto" w:sz="4" w:space="0"/>
              <w:bottom w:val="single" w:color="auto" w:sz="4" w:space="0"/>
              <w:right w:val="single" w:color="auto" w:sz="4" w:space="0"/>
            </w:tcBorders>
            <w:vAlign w:val="center"/>
          </w:tcPr>
          <w:p w14:paraId="7BAB4D8B">
            <w:pPr>
              <w:pStyle w:val="6"/>
              <w:rPr>
                <w:rFonts w:hint="eastAsia" w:ascii="仿宋" w:hAnsi="仿宋" w:eastAsia="仿宋" w:cs="仿宋_GB2312"/>
                <w:sz w:val="21"/>
                <w:szCs w:val="21"/>
              </w:rPr>
            </w:pPr>
            <w:r>
              <w:rPr>
                <w:rFonts w:hint="eastAsia" w:ascii="仿宋" w:hAnsi="仿宋" w:eastAsia="仿宋" w:cs="仿宋_GB2312"/>
                <w:sz w:val="21"/>
                <w:szCs w:val="21"/>
              </w:rPr>
              <w:t>以书面形式确认物业服务企业主要负责人、分管安全生产负责人、安全生产管理机构或者专兼职安全生产管理人员、物业项目负责人有关安全管理工作职责，</w:t>
            </w:r>
            <w:r>
              <w:rPr>
                <w:rFonts w:hint="eastAsia" w:ascii="仿宋" w:hAnsi="仿宋" w:eastAsia="仿宋" w:cs="Times New Roman"/>
                <w:sz w:val="21"/>
                <w:szCs w:val="21"/>
                <w:shd w:val="clear" w:color="auto" w:fill="FFFFFF"/>
              </w:rPr>
              <w:t>并向本单位人员公示。</w:t>
            </w:r>
          </w:p>
        </w:tc>
        <w:tc>
          <w:tcPr>
            <w:tcW w:w="1075" w:type="dxa"/>
            <w:tcBorders>
              <w:top w:val="single" w:color="auto" w:sz="4" w:space="0"/>
              <w:left w:val="single" w:color="auto" w:sz="4" w:space="0"/>
              <w:bottom w:val="single" w:color="auto" w:sz="4" w:space="0"/>
              <w:right w:val="single" w:color="auto" w:sz="4" w:space="0"/>
            </w:tcBorders>
            <w:vAlign w:val="center"/>
          </w:tcPr>
          <w:p w14:paraId="75CAD15E">
            <w:pPr>
              <w:pStyle w:val="6"/>
              <w:rPr>
                <w:rFonts w:hint="eastAsia" w:ascii="仿宋" w:hAnsi="仿宋" w:eastAsia="仿宋" w:cs="仿宋_GB2312"/>
                <w:sz w:val="21"/>
                <w:szCs w:val="21"/>
              </w:rPr>
            </w:pPr>
            <w:r>
              <w:rPr>
                <w:rFonts w:hint="eastAsia" w:ascii="仿宋" w:hAnsi="仿宋" w:eastAsia="仿宋" w:cs="仿宋_GB2312"/>
                <w:sz w:val="21"/>
                <w:szCs w:val="21"/>
              </w:rPr>
              <w:t>文本资料、相关张贴照片</w:t>
            </w:r>
          </w:p>
        </w:tc>
        <w:tc>
          <w:tcPr>
            <w:tcW w:w="2924" w:type="dxa"/>
            <w:tcBorders>
              <w:top w:val="single" w:color="auto" w:sz="4" w:space="0"/>
              <w:left w:val="single" w:color="auto" w:sz="4" w:space="0"/>
              <w:bottom w:val="single" w:color="auto" w:sz="4" w:space="0"/>
              <w:right w:val="single" w:color="auto" w:sz="4" w:space="0"/>
            </w:tcBorders>
            <w:vAlign w:val="center"/>
          </w:tcPr>
          <w:p w14:paraId="00CEF75E">
            <w:pPr>
              <w:pStyle w:val="6"/>
              <w:rPr>
                <w:rFonts w:hint="eastAsia" w:ascii="仿宋" w:hAnsi="仿宋" w:eastAsia="仿宋" w:cs="仿宋_GB2312"/>
                <w:sz w:val="21"/>
                <w:szCs w:val="21"/>
              </w:rPr>
            </w:pPr>
            <w:r>
              <w:rPr>
                <w:rFonts w:hint="eastAsia" w:ascii="仿宋" w:hAnsi="仿宋" w:eastAsia="仿宋" w:cs="仿宋_GB2312"/>
                <w:sz w:val="21"/>
                <w:szCs w:val="21"/>
              </w:rPr>
              <w:t>《安全生产法》（2021年修正）第二十一条、第二十二条；《深圳市生产经营单位安全生产主体责任规定》（深圳市人民政府第308号令）第十五条</w:t>
            </w:r>
          </w:p>
        </w:tc>
        <w:tc>
          <w:tcPr>
            <w:tcW w:w="3635" w:type="dxa"/>
            <w:tcBorders>
              <w:top w:val="single" w:color="auto" w:sz="4" w:space="0"/>
              <w:left w:val="single" w:color="auto" w:sz="4" w:space="0"/>
              <w:bottom w:val="single" w:color="auto" w:sz="4" w:space="0"/>
              <w:right w:val="single" w:color="auto" w:sz="4" w:space="0"/>
            </w:tcBorders>
            <w:vAlign w:val="center"/>
          </w:tcPr>
          <w:p w14:paraId="1EF47A23">
            <w:pPr>
              <w:pStyle w:val="6"/>
              <w:rPr>
                <w:rFonts w:hint="eastAsia" w:ascii="仿宋" w:hAnsi="仿宋" w:eastAsia="仿宋" w:cs="仿宋_GB2312"/>
                <w:sz w:val="21"/>
                <w:szCs w:val="21"/>
              </w:rPr>
            </w:pPr>
            <w:r>
              <w:rPr>
                <w:rFonts w:hint="eastAsia" w:ascii="仿宋" w:hAnsi="仿宋" w:eastAsia="仿宋" w:cs="仿宋_GB2312"/>
                <w:sz w:val="21"/>
                <w:szCs w:val="21"/>
              </w:rPr>
              <w:t>无安全相关责任人员书面确认文件，缺少一个扣1分，最多扣2分。</w:t>
            </w:r>
          </w:p>
        </w:tc>
        <w:tc>
          <w:tcPr>
            <w:tcW w:w="457" w:type="dxa"/>
            <w:tcBorders>
              <w:top w:val="single" w:color="auto" w:sz="4" w:space="0"/>
              <w:left w:val="single" w:color="auto" w:sz="4" w:space="0"/>
              <w:bottom w:val="single" w:color="auto" w:sz="4" w:space="0"/>
              <w:right w:val="single" w:color="auto" w:sz="4" w:space="0"/>
            </w:tcBorders>
          </w:tcPr>
          <w:p w14:paraId="23FE51E8">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6E98F14E">
            <w:pPr>
              <w:widowControl/>
              <w:rPr>
                <w:rFonts w:hint="eastAsia" w:ascii="仿宋" w:hAnsi="仿宋" w:eastAsia="仿宋" w:cs="仿宋_GB2312"/>
              </w:rPr>
            </w:pPr>
          </w:p>
        </w:tc>
      </w:tr>
      <w:tr w14:paraId="5904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7"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2A93ABEB">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3</w:t>
            </w:r>
          </w:p>
        </w:tc>
        <w:tc>
          <w:tcPr>
            <w:tcW w:w="1428" w:type="dxa"/>
            <w:tcBorders>
              <w:top w:val="single" w:color="auto" w:sz="4" w:space="0"/>
              <w:left w:val="single" w:color="auto" w:sz="4" w:space="0"/>
              <w:bottom w:val="single" w:color="auto" w:sz="4" w:space="0"/>
              <w:right w:val="single" w:color="auto" w:sz="4" w:space="0"/>
            </w:tcBorders>
            <w:vAlign w:val="center"/>
          </w:tcPr>
          <w:p w14:paraId="7E372D5C">
            <w:pPr>
              <w:pStyle w:val="6"/>
              <w:rPr>
                <w:rFonts w:hint="eastAsia" w:ascii="仿宋" w:hAnsi="仿宋" w:eastAsia="仿宋" w:cs="仿宋_GB2312"/>
                <w:sz w:val="21"/>
                <w:szCs w:val="21"/>
              </w:rPr>
            </w:pPr>
            <w:r>
              <w:rPr>
                <w:rFonts w:hint="eastAsia" w:ascii="仿宋" w:hAnsi="仿宋" w:eastAsia="仿宋" w:cs="仿宋_GB2312"/>
                <w:sz w:val="21"/>
                <w:szCs w:val="21"/>
              </w:rPr>
              <w:t>安全生产管理机构及安全生产管理人员配备（1分）</w:t>
            </w:r>
          </w:p>
        </w:tc>
        <w:tc>
          <w:tcPr>
            <w:tcW w:w="4721" w:type="dxa"/>
            <w:tcBorders>
              <w:top w:val="single" w:color="auto" w:sz="4" w:space="0"/>
              <w:left w:val="single" w:color="auto" w:sz="4" w:space="0"/>
              <w:bottom w:val="single" w:color="auto" w:sz="4" w:space="0"/>
              <w:right w:val="single" w:color="auto" w:sz="4" w:space="0"/>
            </w:tcBorders>
            <w:vAlign w:val="center"/>
          </w:tcPr>
          <w:p w14:paraId="25D41E35">
            <w:pPr>
              <w:pStyle w:val="6"/>
              <w:rPr>
                <w:rFonts w:hint="eastAsia" w:ascii="仿宋" w:hAnsi="仿宋" w:eastAsia="仿宋" w:cs="仿宋_GB2312"/>
                <w:sz w:val="21"/>
                <w:szCs w:val="21"/>
              </w:rPr>
            </w:pPr>
            <w:r>
              <w:rPr>
                <w:rFonts w:hint="eastAsia" w:ascii="仿宋" w:hAnsi="仿宋" w:eastAsia="仿宋" w:cs="仿宋_GB2312"/>
                <w:sz w:val="21"/>
                <w:szCs w:val="21"/>
              </w:rPr>
              <w:t>（1）从业人员超过一百人的物业服务企业、物业管理项目，设置安全生产管理机构</w:t>
            </w:r>
            <w:r>
              <w:rPr>
                <w:rFonts w:hint="eastAsia" w:ascii="仿宋" w:hAnsi="仿宋" w:eastAsia="仿宋" w:cs="Times New Roman"/>
                <w:sz w:val="21"/>
                <w:szCs w:val="21"/>
                <w:shd w:val="clear" w:color="auto" w:fill="FFFFFF"/>
              </w:rPr>
              <w:t>或者配备专职安全生产管理人员；</w:t>
            </w:r>
            <w:r>
              <w:rPr>
                <w:rFonts w:hint="eastAsia" w:ascii="仿宋" w:hAnsi="仿宋" w:eastAsia="仿宋" w:cs="仿宋_GB2312"/>
                <w:sz w:val="21"/>
                <w:szCs w:val="21"/>
              </w:rPr>
              <w:t>（2）从业人员在一百人以下的，配备专职或者兼职的安全管理人员。</w:t>
            </w:r>
          </w:p>
        </w:tc>
        <w:tc>
          <w:tcPr>
            <w:tcW w:w="1075" w:type="dxa"/>
            <w:tcBorders>
              <w:top w:val="single" w:color="auto" w:sz="4" w:space="0"/>
              <w:left w:val="single" w:color="auto" w:sz="4" w:space="0"/>
              <w:bottom w:val="single" w:color="auto" w:sz="4" w:space="0"/>
              <w:right w:val="single" w:color="auto" w:sz="4" w:space="0"/>
            </w:tcBorders>
            <w:vAlign w:val="center"/>
          </w:tcPr>
          <w:p w14:paraId="55978D6D">
            <w:pPr>
              <w:pStyle w:val="6"/>
              <w:rPr>
                <w:rFonts w:hint="eastAsia" w:ascii="仿宋" w:hAnsi="仿宋" w:eastAsia="仿宋" w:cs="仿宋_GB2312"/>
                <w:sz w:val="21"/>
                <w:szCs w:val="21"/>
              </w:rPr>
            </w:pPr>
            <w:r>
              <w:rPr>
                <w:rFonts w:hint="eastAsia" w:ascii="仿宋" w:hAnsi="仿宋" w:eastAsia="仿宋" w:cs="仿宋_GB2312"/>
                <w:sz w:val="21"/>
                <w:szCs w:val="21"/>
              </w:rPr>
              <w:t>文本资料、相关张贴照片</w:t>
            </w:r>
          </w:p>
        </w:tc>
        <w:tc>
          <w:tcPr>
            <w:tcW w:w="2924" w:type="dxa"/>
            <w:tcBorders>
              <w:top w:val="single" w:color="auto" w:sz="4" w:space="0"/>
              <w:left w:val="single" w:color="auto" w:sz="4" w:space="0"/>
              <w:bottom w:val="single" w:color="auto" w:sz="4" w:space="0"/>
              <w:right w:val="single" w:color="auto" w:sz="4" w:space="0"/>
            </w:tcBorders>
            <w:vAlign w:val="center"/>
          </w:tcPr>
          <w:p w14:paraId="321974F3">
            <w:pPr>
              <w:pStyle w:val="6"/>
              <w:rPr>
                <w:rFonts w:hint="eastAsia" w:ascii="仿宋" w:hAnsi="仿宋" w:eastAsia="仿宋" w:cs="仿宋_GB2312"/>
                <w:sz w:val="21"/>
                <w:szCs w:val="21"/>
              </w:rPr>
            </w:pPr>
            <w:r>
              <w:rPr>
                <w:rFonts w:hint="eastAsia" w:ascii="仿宋" w:hAnsi="仿宋" w:eastAsia="仿宋" w:cs="仿宋_GB2312"/>
                <w:sz w:val="21"/>
                <w:szCs w:val="21"/>
              </w:rPr>
              <w:t>《安全生产法》(2021年修正）第二十四条</w:t>
            </w:r>
          </w:p>
        </w:tc>
        <w:tc>
          <w:tcPr>
            <w:tcW w:w="3635" w:type="dxa"/>
            <w:tcBorders>
              <w:top w:val="single" w:color="auto" w:sz="4" w:space="0"/>
              <w:left w:val="single" w:color="auto" w:sz="4" w:space="0"/>
              <w:bottom w:val="single" w:color="auto" w:sz="4" w:space="0"/>
              <w:right w:val="single" w:color="auto" w:sz="4" w:space="0"/>
            </w:tcBorders>
            <w:vAlign w:val="center"/>
          </w:tcPr>
          <w:p w14:paraId="15A86CC4">
            <w:pPr>
              <w:pStyle w:val="6"/>
              <w:rPr>
                <w:rFonts w:hint="eastAsia" w:ascii="仿宋" w:hAnsi="仿宋" w:eastAsia="仿宋" w:cs="仿宋_GB2312"/>
                <w:sz w:val="21"/>
                <w:szCs w:val="21"/>
              </w:rPr>
            </w:pPr>
            <w:r>
              <w:rPr>
                <w:rFonts w:hint="eastAsia" w:ascii="仿宋" w:hAnsi="仿宋" w:eastAsia="仿宋" w:cs="仿宋_GB2312"/>
                <w:sz w:val="21"/>
                <w:szCs w:val="21"/>
              </w:rPr>
              <w:t>未设置安全管理机构或未配备管理人员，缺少一个扣0.5分，最多扣1分。</w:t>
            </w:r>
          </w:p>
        </w:tc>
        <w:tc>
          <w:tcPr>
            <w:tcW w:w="457" w:type="dxa"/>
            <w:tcBorders>
              <w:top w:val="single" w:color="auto" w:sz="4" w:space="0"/>
              <w:left w:val="single" w:color="auto" w:sz="4" w:space="0"/>
              <w:bottom w:val="single" w:color="auto" w:sz="4" w:space="0"/>
              <w:right w:val="single" w:color="auto" w:sz="4" w:space="0"/>
            </w:tcBorders>
          </w:tcPr>
          <w:p w14:paraId="7961508D">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255C17A7">
            <w:pPr>
              <w:widowControl/>
              <w:rPr>
                <w:rFonts w:hint="eastAsia" w:ascii="仿宋" w:hAnsi="仿宋" w:eastAsia="仿宋" w:cs="仿宋_GB2312"/>
              </w:rPr>
            </w:pPr>
          </w:p>
        </w:tc>
      </w:tr>
      <w:tr w14:paraId="7393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0E6C69F1">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4</w:t>
            </w:r>
          </w:p>
        </w:tc>
        <w:tc>
          <w:tcPr>
            <w:tcW w:w="1428" w:type="dxa"/>
            <w:tcBorders>
              <w:top w:val="single" w:color="auto" w:sz="4" w:space="0"/>
              <w:left w:val="single" w:color="auto" w:sz="4" w:space="0"/>
              <w:bottom w:val="single" w:color="auto" w:sz="4" w:space="0"/>
              <w:right w:val="single" w:color="auto" w:sz="4" w:space="0"/>
            </w:tcBorders>
            <w:vAlign w:val="center"/>
          </w:tcPr>
          <w:p w14:paraId="7028FEDE">
            <w:pPr>
              <w:pStyle w:val="6"/>
              <w:rPr>
                <w:rFonts w:hint="eastAsia" w:ascii="仿宋" w:hAnsi="仿宋" w:eastAsia="仿宋" w:cs="仿宋_GB2312"/>
                <w:sz w:val="21"/>
                <w:szCs w:val="21"/>
              </w:rPr>
            </w:pPr>
            <w:r>
              <w:rPr>
                <w:rFonts w:hint="eastAsia" w:ascii="仿宋" w:hAnsi="仿宋" w:eastAsia="仿宋" w:cs="仿宋_GB2312"/>
                <w:sz w:val="21"/>
                <w:szCs w:val="21"/>
              </w:rPr>
              <w:t>安全生产资金投入（1分）</w:t>
            </w:r>
          </w:p>
        </w:tc>
        <w:tc>
          <w:tcPr>
            <w:tcW w:w="4721" w:type="dxa"/>
            <w:tcBorders>
              <w:top w:val="single" w:color="auto" w:sz="4" w:space="0"/>
              <w:left w:val="single" w:color="auto" w:sz="4" w:space="0"/>
              <w:bottom w:val="single" w:color="auto" w:sz="4" w:space="0"/>
              <w:right w:val="single" w:color="auto" w:sz="4" w:space="0"/>
            </w:tcBorders>
            <w:vAlign w:val="center"/>
          </w:tcPr>
          <w:p w14:paraId="6FC66CF4">
            <w:pPr>
              <w:pStyle w:val="6"/>
              <w:rPr>
                <w:rFonts w:hint="eastAsia" w:ascii="仿宋" w:hAnsi="仿宋" w:eastAsia="仿宋" w:cs="仿宋_GB2312"/>
                <w:sz w:val="21"/>
                <w:szCs w:val="21"/>
              </w:rPr>
            </w:pPr>
            <w:r>
              <w:rPr>
                <w:rFonts w:hint="eastAsia" w:ascii="仿宋" w:hAnsi="仿宋" w:eastAsia="仿宋" w:cs="仿宋_GB2312"/>
                <w:sz w:val="21"/>
                <w:szCs w:val="21"/>
              </w:rPr>
              <w:t>（1）是否将安全生产费用在成本中据实列支；（2）、是否为安全生产条件所必需的资金投入。</w:t>
            </w:r>
          </w:p>
        </w:tc>
        <w:tc>
          <w:tcPr>
            <w:tcW w:w="1075" w:type="dxa"/>
            <w:tcBorders>
              <w:top w:val="single" w:color="auto" w:sz="4" w:space="0"/>
              <w:left w:val="single" w:color="auto" w:sz="4" w:space="0"/>
              <w:bottom w:val="single" w:color="auto" w:sz="4" w:space="0"/>
              <w:right w:val="single" w:color="auto" w:sz="4" w:space="0"/>
            </w:tcBorders>
            <w:vAlign w:val="center"/>
          </w:tcPr>
          <w:p w14:paraId="2A4EB278">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282179BD">
            <w:pPr>
              <w:pStyle w:val="6"/>
              <w:rPr>
                <w:rFonts w:hint="eastAsia" w:ascii="仿宋" w:hAnsi="仿宋" w:eastAsia="仿宋" w:cs="仿宋_GB2312"/>
                <w:sz w:val="21"/>
                <w:szCs w:val="21"/>
              </w:rPr>
            </w:pPr>
            <w:r>
              <w:rPr>
                <w:rFonts w:hint="eastAsia" w:ascii="仿宋" w:hAnsi="仿宋" w:eastAsia="仿宋" w:cs="仿宋_GB2312"/>
                <w:sz w:val="21"/>
                <w:szCs w:val="21"/>
              </w:rPr>
              <w:t>《安全生产法》（2021年修正）第二十三条、第九十三条；《企业安全生产费用提取和使用管理办法》四十五条、四十六条、四十七条；《生产安全事故罚款处罚规定（试行）》第十九条；《安全生产违法行为行政处罚办法》第四十三条。</w:t>
            </w:r>
          </w:p>
        </w:tc>
        <w:tc>
          <w:tcPr>
            <w:tcW w:w="3635" w:type="dxa"/>
            <w:tcBorders>
              <w:top w:val="single" w:color="auto" w:sz="4" w:space="0"/>
              <w:left w:val="single" w:color="auto" w:sz="4" w:space="0"/>
              <w:bottom w:val="single" w:color="auto" w:sz="4" w:space="0"/>
              <w:right w:val="single" w:color="auto" w:sz="4" w:space="0"/>
            </w:tcBorders>
            <w:vAlign w:val="center"/>
          </w:tcPr>
          <w:p w14:paraId="274820D4">
            <w:pPr>
              <w:pStyle w:val="6"/>
              <w:rPr>
                <w:rFonts w:hint="eastAsia" w:ascii="仿宋" w:hAnsi="仿宋" w:eastAsia="仿宋" w:cs="仿宋_GB2312"/>
                <w:sz w:val="21"/>
                <w:szCs w:val="21"/>
              </w:rPr>
            </w:pPr>
            <w:r>
              <w:rPr>
                <w:rFonts w:hint="eastAsia" w:ascii="仿宋" w:hAnsi="仿宋" w:eastAsia="仿宋" w:cs="仿宋_GB2312"/>
                <w:sz w:val="21"/>
                <w:szCs w:val="21"/>
              </w:rPr>
              <w:t>未将安全生产资金投入纳入年度预算，扣1分。</w:t>
            </w:r>
          </w:p>
        </w:tc>
        <w:tc>
          <w:tcPr>
            <w:tcW w:w="457" w:type="dxa"/>
            <w:tcBorders>
              <w:top w:val="single" w:color="auto" w:sz="4" w:space="0"/>
              <w:left w:val="single" w:color="auto" w:sz="4" w:space="0"/>
              <w:bottom w:val="single" w:color="auto" w:sz="4" w:space="0"/>
              <w:right w:val="single" w:color="auto" w:sz="4" w:space="0"/>
            </w:tcBorders>
          </w:tcPr>
          <w:p w14:paraId="15201E57">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0C38A15D">
            <w:pPr>
              <w:widowControl/>
              <w:rPr>
                <w:rFonts w:hint="eastAsia" w:ascii="仿宋" w:hAnsi="仿宋" w:eastAsia="仿宋" w:cs="仿宋_GB2312"/>
              </w:rPr>
            </w:pPr>
          </w:p>
        </w:tc>
      </w:tr>
      <w:tr w14:paraId="4E20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6C0A95E0">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5</w:t>
            </w:r>
          </w:p>
        </w:tc>
        <w:tc>
          <w:tcPr>
            <w:tcW w:w="1428" w:type="dxa"/>
            <w:tcBorders>
              <w:top w:val="single" w:color="auto" w:sz="4" w:space="0"/>
              <w:left w:val="single" w:color="auto" w:sz="4" w:space="0"/>
              <w:bottom w:val="single" w:color="auto" w:sz="4" w:space="0"/>
              <w:right w:val="single" w:color="auto" w:sz="4" w:space="0"/>
            </w:tcBorders>
            <w:vAlign w:val="center"/>
          </w:tcPr>
          <w:p w14:paraId="6D249E7E">
            <w:pPr>
              <w:pStyle w:val="6"/>
              <w:rPr>
                <w:rFonts w:hint="eastAsia" w:ascii="仿宋" w:hAnsi="仿宋" w:eastAsia="仿宋" w:cs="仿宋_GB2312"/>
                <w:sz w:val="21"/>
                <w:szCs w:val="21"/>
              </w:rPr>
            </w:pPr>
            <w:r>
              <w:rPr>
                <w:rFonts w:hint="eastAsia" w:ascii="仿宋" w:hAnsi="仿宋" w:eastAsia="仿宋" w:cs="仿宋_GB2312"/>
                <w:sz w:val="21"/>
                <w:szCs w:val="21"/>
              </w:rPr>
              <w:t>劳动防护用品使用（1分）</w:t>
            </w:r>
          </w:p>
        </w:tc>
        <w:tc>
          <w:tcPr>
            <w:tcW w:w="4721" w:type="dxa"/>
            <w:tcBorders>
              <w:top w:val="single" w:color="auto" w:sz="4" w:space="0"/>
              <w:left w:val="single" w:color="auto" w:sz="4" w:space="0"/>
              <w:bottom w:val="single" w:color="auto" w:sz="4" w:space="0"/>
              <w:right w:val="single" w:color="auto" w:sz="4" w:space="0"/>
            </w:tcBorders>
            <w:vAlign w:val="center"/>
          </w:tcPr>
          <w:p w14:paraId="30E14C2C">
            <w:pPr>
              <w:pStyle w:val="6"/>
              <w:rPr>
                <w:rFonts w:hint="eastAsia" w:ascii="仿宋" w:hAnsi="仿宋" w:eastAsia="仿宋" w:cs="仿宋_GB2312"/>
                <w:sz w:val="21"/>
                <w:szCs w:val="21"/>
              </w:rPr>
            </w:pPr>
            <w:r>
              <w:rPr>
                <w:rFonts w:hint="eastAsia" w:ascii="仿宋" w:hAnsi="仿宋" w:eastAsia="仿宋" w:cs="仿宋_GB2312"/>
                <w:sz w:val="21"/>
                <w:szCs w:val="21"/>
              </w:rPr>
              <w:t>是否及时为从业人员提供符合国家标准或者行业标准的劳动防护用品并登记建档。</w:t>
            </w:r>
          </w:p>
        </w:tc>
        <w:tc>
          <w:tcPr>
            <w:tcW w:w="1075" w:type="dxa"/>
            <w:tcBorders>
              <w:top w:val="single" w:color="auto" w:sz="4" w:space="0"/>
              <w:left w:val="single" w:color="auto" w:sz="4" w:space="0"/>
              <w:bottom w:val="single" w:color="auto" w:sz="4" w:space="0"/>
              <w:right w:val="single" w:color="auto" w:sz="4" w:space="0"/>
            </w:tcBorders>
            <w:vAlign w:val="center"/>
          </w:tcPr>
          <w:p w14:paraId="4E340C53">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3DC9ABE9">
            <w:pPr>
              <w:pStyle w:val="6"/>
              <w:rPr>
                <w:rFonts w:hint="eastAsia" w:ascii="仿宋" w:hAnsi="仿宋" w:cs="仿宋_GB2312"/>
                <w:sz w:val="21"/>
                <w:szCs w:val="21"/>
              </w:rPr>
            </w:pPr>
            <w:r>
              <w:rPr>
                <w:rFonts w:hint="eastAsia" w:ascii="仿宋" w:hAnsi="仿宋" w:eastAsia="仿宋" w:cs="仿宋_GB2312"/>
                <w:sz w:val="21"/>
                <w:szCs w:val="21"/>
              </w:rPr>
              <w:t>《安全生产法》(2021年修正）第四十五条、第九十九条；《用人单位劳动防护用品管理规范》第十八条。</w:t>
            </w:r>
          </w:p>
        </w:tc>
        <w:tc>
          <w:tcPr>
            <w:tcW w:w="3635" w:type="dxa"/>
            <w:tcBorders>
              <w:top w:val="single" w:color="auto" w:sz="4" w:space="0"/>
              <w:left w:val="single" w:color="auto" w:sz="4" w:space="0"/>
              <w:bottom w:val="single" w:color="auto" w:sz="4" w:space="0"/>
              <w:right w:val="single" w:color="auto" w:sz="4" w:space="0"/>
            </w:tcBorders>
            <w:vAlign w:val="center"/>
          </w:tcPr>
          <w:p w14:paraId="7CD4E8BA">
            <w:pPr>
              <w:pStyle w:val="6"/>
              <w:rPr>
                <w:rFonts w:hint="eastAsia" w:ascii="仿宋" w:hAnsi="仿宋" w:eastAsia="仿宋" w:cs="仿宋_GB2312"/>
                <w:sz w:val="21"/>
                <w:szCs w:val="21"/>
              </w:rPr>
            </w:pPr>
            <w:r>
              <w:rPr>
                <w:rFonts w:hint="eastAsia" w:ascii="仿宋" w:hAnsi="仿宋" w:eastAsia="仿宋" w:cs="仿宋_GB2312"/>
                <w:sz w:val="21"/>
                <w:szCs w:val="21"/>
              </w:rPr>
              <w:t>未建立劳动防护用品发放登记使用记录，扣1分。</w:t>
            </w:r>
          </w:p>
        </w:tc>
        <w:tc>
          <w:tcPr>
            <w:tcW w:w="457" w:type="dxa"/>
            <w:tcBorders>
              <w:top w:val="single" w:color="auto" w:sz="4" w:space="0"/>
              <w:left w:val="single" w:color="auto" w:sz="4" w:space="0"/>
              <w:bottom w:val="single" w:color="auto" w:sz="4" w:space="0"/>
              <w:right w:val="single" w:color="auto" w:sz="4" w:space="0"/>
            </w:tcBorders>
          </w:tcPr>
          <w:p w14:paraId="0EF114AB">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51B2A994">
            <w:pPr>
              <w:widowControl/>
              <w:rPr>
                <w:rFonts w:hint="eastAsia" w:ascii="仿宋" w:hAnsi="仿宋" w:eastAsia="仿宋" w:cs="仿宋_GB2312"/>
              </w:rPr>
            </w:pPr>
          </w:p>
        </w:tc>
      </w:tr>
      <w:tr w14:paraId="2425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4F23CEC3">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6</w:t>
            </w:r>
          </w:p>
        </w:tc>
        <w:tc>
          <w:tcPr>
            <w:tcW w:w="1428" w:type="dxa"/>
            <w:tcBorders>
              <w:top w:val="single" w:color="auto" w:sz="4" w:space="0"/>
              <w:left w:val="single" w:color="auto" w:sz="4" w:space="0"/>
              <w:bottom w:val="single" w:color="auto" w:sz="4" w:space="0"/>
              <w:right w:val="single" w:color="auto" w:sz="4" w:space="0"/>
            </w:tcBorders>
            <w:vAlign w:val="center"/>
          </w:tcPr>
          <w:p w14:paraId="2BBFEA41">
            <w:pPr>
              <w:pStyle w:val="6"/>
              <w:rPr>
                <w:rFonts w:hint="eastAsia" w:ascii="仿宋" w:hAnsi="仿宋" w:eastAsia="仿宋" w:cs="仿宋_GB2312"/>
                <w:sz w:val="21"/>
                <w:szCs w:val="21"/>
              </w:rPr>
            </w:pPr>
            <w:r>
              <w:rPr>
                <w:rFonts w:hint="eastAsia" w:ascii="仿宋" w:hAnsi="仿宋" w:eastAsia="仿宋" w:cs="仿宋_GB2312"/>
                <w:sz w:val="21"/>
                <w:szCs w:val="21"/>
              </w:rPr>
              <w:t>安全生产培训教育</w:t>
            </w:r>
          </w:p>
          <w:p w14:paraId="7C8A8A2A">
            <w:pPr>
              <w:pStyle w:val="6"/>
              <w:rPr>
                <w:rFonts w:hint="eastAsia" w:ascii="仿宋" w:hAnsi="仿宋" w:eastAsia="仿宋" w:cs="仿宋_GB2312"/>
                <w:sz w:val="21"/>
                <w:szCs w:val="21"/>
              </w:rPr>
            </w:pPr>
            <w:r>
              <w:rPr>
                <w:rFonts w:hint="eastAsia" w:ascii="仿宋" w:hAnsi="仿宋" w:eastAsia="仿宋" w:cs="仿宋_GB2312"/>
                <w:sz w:val="21"/>
                <w:szCs w:val="21"/>
              </w:rPr>
              <w:t>（2分）</w:t>
            </w:r>
          </w:p>
        </w:tc>
        <w:tc>
          <w:tcPr>
            <w:tcW w:w="4721" w:type="dxa"/>
            <w:tcBorders>
              <w:top w:val="single" w:color="auto" w:sz="4" w:space="0"/>
              <w:left w:val="single" w:color="auto" w:sz="4" w:space="0"/>
              <w:bottom w:val="single" w:color="auto" w:sz="4" w:space="0"/>
              <w:right w:val="single" w:color="auto" w:sz="4" w:space="0"/>
            </w:tcBorders>
            <w:vAlign w:val="center"/>
          </w:tcPr>
          <w:p w14:paraId="69E36331">
            <w:pPr>
              <w:pStyle w:val="6"/>
              <w:rPr>
                <w:rFonts w:hint="eastAsia" w:ascii="仿宋" w:hAnsi="仿宋" w:eastAsia="仿宋" w:cs="仿宋_GB2312"/>
                <w:sz w:val="21"/>
                <w:szCs w:val="21"/>
              </w:rPr>
            </w:pPr>
            <w:r>
              <w:rPr>
                <w:rFonts w:hint="eastAsia" w:ascii="仿宋" w:hAnsi="仿宋" w:eastAsia="仿宋" w:cs="仿宋_GB2312"/>
                <w:sz w:val="21"/>
                <w:szCs w:val="21"/>
              </w:rPr>
              <w:t>（1）对从业人员进行安全生产教育和培训，按照规定如实告知有关的安全生产事项；（2）对从业人员安全培训的时间是否满足《生产经营单位安全培训规定》或者有关标准规定；（3）是否建立安全生产教育和培训档案，如实记录安全生产教育和培训的时间、内容、参加人员以及考核结果等情况。</w:t>
            </w:r>
          </w:p>
          <w:p w14:paraId="53614B68">
            <w:pPr>
              <w:pStyle w:val="6"/>
              <w:rPr>
                <w:rFonts w:hint="eastAsia" w:ascii="仿宋" w:hAnsi="仿宋" w:eastAsia="仿宋" w:cs="仿宋_GB2312"/>
                <w:sz w:val="21"/>
                <w:szCs w:val="21"/>
              </w:rPr>
            </w:pPr>
          </w:p>
        </w:tc>
        <w:tc>
          <w:tcPr>
            <w:tcW w:w="1075" w:type="dxa"/>
            <w:tcBorders>
              <w:top w:val="single" w:color="auto" w:sz="4" w:space="0"/>
              <w:left w:val="single" w:color="auto" w:sz="4" w:space="0"/>
              <w:bottom w:val="single" w:color="auto" w:sz="4" w:space="0"/>
              <w:right w:val="single" w:color="auto" w:sz="4" w:space="0"/>
            </w:tcBorders>
            <w:vAlign w:val="center"/>
          </w:tcPr>
          <w:p w14:paraId="5696B13E">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6E1A76E8">
            <w:pPr>
              <w:pStyle w:val="6"/>
              <w:rPr>
                <w:rFonts w:hint="eastAsia" w:ascii="仿宋" w:hAnsi="仿宋" w:eastAsia="仿宋" w:cs="仿宋_GB2312"/>
                <w:sz w:val="21"/>
                <w:szCs w:val="21"/>
              </w:rPr>
            </w:pPr>
            <w:r>
              <w:rPr>
                <w:rFonts w:hint="eastAsia" w:ascii="仿宋" w:hAnsi="仿宋" w:eastAsia="仿宋" w:cs="仿宋_GB2312"/>
                <w:sz w:val="21"/>
                <w:szCs w:val="21"/>
              </w:rPr>
              <w:t>《安全生产法》(2021年修正）第二十八条、第九十七条；《生产经营单位安全培训规定》第十三条、第二十一条、第二十二条、第二十九条、第三十条；《安全生产培训管理办法》第十一条、第三十六条；《深圳市生产经营单位安全生产主体责任规定》第四十七条。</w:t>
            </w:r>
          </w:p>
        </w:tc>
        <w:tc>
          <w:tcPr>
            <w:tcW w:w="3635" w:type="dxa"/>
            <w:tcBorders>
              <w:top w:val="single" w:color="auto" w:sz="4" w:space="0"/>
              <w:left w:val="single" w:color="auto" w:sz="4" w:space="0"/>
              <w:bottom w:val="single" w:color="auto" w:sz="4" w:space="0"/>
              <w:right w:val="single" w:color="auto" w:sz="4" w:space="0"/>
            </w:tcBorders>
            <w:vAlign w:val="center"/>
          </w:tcPr>
          <w:p w14:paraId="085084E4">
            <w:pPr>
              <w:pStyle w:val="6"/>
              <w:rPr>
                <w:rFonts w:hint="eastAsia" w:ascii="仿宋" w:hAnsi="仿宋" w:eastAsia="仿宋" w:cs="仿宋_GB2312"/>
                <w:sz w:val="21"/>
                <w:szCs w:val="21"/>
              </w:rPr>
            </w:pPr>
            <w:r>
              <w:rPr>
                <w:rFonts w:hint="eastAsia" w:ascii="仿宋" w:hAnsi="仿宋" w:eastAsia="仿宋" w:cs="仿宋_GB2312"/>
                <w:sz w:val="21"/>
                <w:szCs w:val="21"/>
              </w:rPr>
              <w:t>培训时间不符合要求，扣1分，未建立培训档案或记录不完善，扣1分。</w:t>
            </w:r>
          </w:p>
        </w:tc>
        <w:tc>
          <w:tcPr>
            <w:tcW w:w="457" w:type="dxa"/>
            <w:tcBorders>
              <w:top w:val="single" w:color="auto" w:sz="4" w:space="0"/>
              <w:left w:val="single" w:color="auto" w:sz="4" w:space="0"/>
              <w:bottom w:val="single" w:color="auto" w:sz="4" w:space="0"/>
              <w:right w:val="single" w:color="auto" w:sz="4" w:space="0"/>
            </w:tcBorders>
          </w:tcPr>
          <w:p w14:paraId="1406D3CE">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64F8496B">
            <w:pPr>
              <w:widowControl/>
              <w:rPr>
                <w:rFonts w:hint="eastAsia" w:ascii="仿宋" w:hAnsi="仿宋" w:eastAsia="仿宋" w:cs="仿宋_GB2312"/>
              </w:rPr>
            </w:pPr>
          </w:p>
        </w:tc>
      </w:tr>
      <w:tr w14:paraId="1946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4EDC8B2E">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7</w:t>
            </w:r>
          </w:p>
        </w:tc>
        <w:tc>
          <w:tcPr>
            <w:tcW w:w="1428" w:type="dxa"/>
            <w:tcBorders>
              <w:top w:val="single" w:color="auto" w:sz="4" w:space="0"/>
              <w:left w:val="single" w:color="auto" w:sz="4" w:space="0"/>
              <w:bottom w:val="single" w:color="auto" w:sz="4" w:space="0"/>
              <w:right w:val="single" w:color="auto" w:sz="4" w:space="0"/>
            </w:tcBorders>
            <w:vAlign w:val="center"/>
          </w:tcPr>
          <w:p w14:paraId="7DD435C1">
            <w:pPr>
              <w:pStyle w:val="6"/>
              <w:rPr>
                <w:rFonts w:hint="eastAsia" w:ascii="仿宋" w:hAnsi="仿宋" w:eastAsia="仿宋" w:cs="仿宋_GB2312"/>
                <w:sz w:val="21"/>
                <w:szCs w:val="21"/>
              </w:rPr>
            </w:pPr>
            <w:r>
              <w:rPr>
                <w:rFonts w:hint="eastAsia" w:ascii="仿宋" w:hAnsi="仿宋" w:eastAsia="仿宋" w:cs="仿宋_GB2312"/>
                <w:sz w:val="21"/>
                <w:szCs w:val="21"/>
              </w:rPr>
              <w:t>风险分级管控制度（5分）</w:t>
            </w:r>
          </w:p>
        </w:tc>
        <w:tc>
          <w:tcPr>
            <w:tcW w:w="4721" w:type="dxa"/>
            <w:tcBorders>
              <w:top w:val="single" w:color="auto" w:sz="4" w:space="0"/>
              <w:left w:val="single" w:color="auto" w:sz="4" w:space="0"/>
              <w:bottom w:val="single" w:color="auto" w:sz="4" w:space="0"/>
              <w:right w:val="single" w:color="auto" w:sz="4" w:space="0"/>
            </w:tcBorders>
            <w:vAlign w:val="center"/>
          </w:tcPr>
          <w:p w14:paraId="511F2958">
            <w:pPr>
              <w:pStyle w:val="6"/>
              <w:rPr>
                <w:rFonts w:hint="eastAsia" w:ascii="仿宋" w:hAnsi="仿宋" w:eastAsia="仿宋" w:cs="仿宋_GB2312"/>
                <w:sz w:val="21"/>
                <w:szCs w:val="21"/>
              </w:rPr>
            </w:pPr>
            <w:r>
              <w:rPr>
                <w:rFonts w:hint="eastAsia" w:ascii="仿宋" w:hAnsi="仿宋" w:eastAsia="仿宋" w:cs="仿宋_GB2312"/>
                <w:sz w:val="21"/>
                <w:szCs w:val="21"/>
              </w:rPr>
              <w:t>（1）是否建立风险排查机制，明确风险排查范围，全面排查危险源；（2）是否明确风险辨识方法，对排查出的危险源进行识别；（3）是否组织专业技术力量进行风险分析，判断事故发生的可能性和危害后果严重程度；（4）是否明确风险分级标准，根据风险分析结果评价确认风险等级；（5）是否遵循消除、预防、减弱、隔离、警示等原则，科学设置风险控制措施，突出重大风险的有效控制；（6）常态化实施风险排查、辨识、分析、评价、确认、控制，建立风险清单，根据风险消除或降低情况动态更新风险清单。</w:t>
            </w:r>
          </w:p>
        </w:tc>
        <w:tc>
          <w:tcPr>
            <w:tcW w:w="1075" w:type="dxa"/>
            <w:tcBorders>
              <w:top w:val="single" w:color="auto" w:sz="4" w:space="0"/>
              <w:left w:val="single" w:color="auto" w:sz="4" w:space="0"/>
              <w:bottom w:val="single" w:color="auto" w:sz="4" w:space="0"/>
              <w:right w:val="single" w:color="auto" w:sz="4" w:space="0"/>
            </w:tcBorders>
            <w:vAlign w:val="center"/>
          </w:tcPr>
          <w:p w14:paraId="3381F51A">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1BA4C203">
            <w:pPr>
              <w:pStyle w:val="6"/>
              <w:rPr>
                <w:rFonts w:hint="eastAsia" w:ascii="仿宋" w:hAnsi="仿宋" w:eastAsia="仿宋" w:cs="仿宋_GB2312"/>
                <w:sz w:val="21"/>
                <w:szCs w:val="21"/>
              </w:rPr>
            </w:pPr>
            <w:r>
              <w:rPr>
                <w:rFonts w:hint="eastAsia" w:ascii="仿宋" w:hAnsi="仿宋" w:eastAsia="仿宋" w:cs="仿宋_GB2312"/>
                <w:sz w:val="21"/>
                <w:szCs w:val="21"/>
              </w:rPr>
              <w:t>依据《广东省应急管理厅关于安全风险分级管控办法（试行）》第六条、第三十一条。</w:t>
            </w:r>
          </w:p>
        </w:tc>
        <w:tc>
          <w:tcPr>
            <w:tcW w:w="3635" w:type="dxa"/>
            <w:tcBorders>
              <w:top w:val="single" w:color="auto" w:sz="4" w:space="0"/>
              <w:left w:val="single" w:color="auto" w:sz="4" w:space="0"/>
              <w:bottom w:val="single" w:color="auto" w:sz="4" w:space="0"/>
              <w:right w:val="single" w:color="auto" w:sz="4" w:space="0"/>
            </w:tcBorders>
            <w:vAlign w:val="center"/>
          </w:tcPr>
          <w:p w14:paraId="1AB39F38">
            <w:pPr>
              <w:pStyle w:val="6"/>
              <w:rPr>
                <w:rFonts w:hint="eastAsia" w:ascii="仿宋" w:hAnsi="仿宋" w:eastAsia="仿宋" w:cs="仿宋_GB2312"/>
                <w:sz w:val="21"/>
                <w:szCs w:val="21"/>
              </w:rPr>
            </w:pPr>
            <w:r>
              <w:rPr>
                <w:rFonts w:hint="eastAsia" w:ascii="仿宋" w:hAnsi="仿宋" w:eastAsia="仿宋" w:cs="仿宋_GB2312"/>
                <w:sz w:val="21"/>
                <w:szCs w:val="21"/>
              </w:rPr>
              <w:t>未建立风险排查机制扣1分；未进行风险常态化排查，根据风险消除或降低情况动态更新风险清单扣1分；未对排查出的危险源进行识别扣0.5分；未对危险源进行风险分析扣0.5分；未根据风险分析结果评价确认风险等级进行分级管理扣0.5分；未针对风险分级结果采取管控措施扣1分；未建立风险清单扣0.5分</w:t>
            </w:r>
          </w:p>
        </w:tc>
        <w:tc>
          <w:tcPr>
            <w:tcW w:w="457" w:type="dxa"/>
            <w:tcBorders>
              <w:top w:val="single" w:color="auto" w:sz="4" w:space="0"/>
              <w:left w:val="single" w:color="auto" w:sz="4" w:space="0"/>
              <w:bottom w:val="single" w:color="auto" w:sz="4" w:space="0"/>
              <w:right w:val="single" w:color="auto" w:sz="4" w:space="0"/>
            </w:tcBorders>
          </w:tcPr>
          <w:p w14:paraId="77EFEEAC">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4AA439B0">
            <w:pPr>
              <w:widowControl/>
              <w:rPr>
                <w:rFonts w:hint="eastAsia" w:ascii="仿宋" w:hAnsi="仿宋" w:eastAsia="仿宋" w:cs="仿宋_GB2312"/>
              </w:rPr>
            </w:pPr>
          </w:p>
        </w:tc>
      </w:tr>
      <w:tr w14:paraId="3BF1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2DE8774F">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8</w:t>
            </w:r>
          </w:p>
        </w:tc>
        <w:tc>
          <w:tcPr>
            <w:tcW w:w="1428" w:type="dxa"/>
            <w:tcBorders>
              <w:top w:val="single" w:color="auto" w:sz="4" w:space="0"/>
              <w:left w:val="single" w:color="auto" w:sz="4" w:space="0"/>
              <w:bottom w:val="single" w:color="auto" w:sz="4" w:space="0"/>
              <w:right w:val="single" w:color="auto" w:sz="4" w:space="0"/>
            </w:tcBorders>
            <w:vAlign w:val="center"/>
          </w:tcPr>
          <w:p w14:paraId="4A35CCD1">
            <w:pPr>
              <w:pStyle w:val="6"/>
              <w:rPr>
                <w:rFonts w:hint="eastAsia" w:ascii="仿宋" w:hAnsi="仿宋" w:eastAsia="仿宋" w:cs="仿宋_GB2312"/>
                <w:sz w:val="21"/>
                <w:szCs w:val="21"/>
              </w:rPr>
            </w:pPr>
            <w:r>
              <w:rPr>
                <w:rFonts w:hint="eastAsia" w:ascii="仿宋" w:hAnsi="仿宋" w:eastAsia="仿宋" w:cs="仿宋_GB2312"/>
                <w:sz w:val="21"/>
                <w:szCs w:val="21"/>
              </w:rPr>
              <w:t>隐患排查治理制度（5分）</w:t>
            </w:r>
          </w:p>
        </w:tc>
        <w:tc>
          <w:tcPr>
            <w:tcW w:w="4721" w:type="dxa"/>
            <w:tcBorders>
              <w:top w:val="single" w:color="auto" w:sz="4" w:space="0"/>
              <w:left w:val="single" w:color="auto" w:sz="4" w:space="0"/>
              <w:bottom w:val="single" w:color="auto" w:sz="4" w:space="0"/>
              <w:right w:val="single" w:color="auto" w:sz="4" w:space="0"/>
            </w:tcBorders>
            <w:vAlign w:val="center"/>
          </w:tcPr>
          <w:p w14:paraId="0CFF53D5">
            <w:pPr>
              <w:pStyle w:val="6"/>
              <w:rPr>
                <w:rFonts w:hint="eastAsia" w:ascii="仿宋" w:hAnsi="仿宋" w:eastAsia="仿宋" w:cs="仿宋_GB2312"/>
                <w:sz w:val="21"/>
                <w:szCs w:val="21"/>
              </w:rPr>
            </w:pPr>
            <w:r>
              <w:rPr>
                <w:rFonts w:hint="eastAsia" w:ascii="仿宋" w:hAnsi="仿宋" w:eastAsia="仿宋" w:cs="仿宋_GB2312"/>
                <w:sz w:val="21"/>
                <w:szCs w:val="21"/>
              </w:rPr>
              <w:t>（1）是否建立事故隐患排查治理制度；（2）是否采取措施消除事故隐患；（3）是否将事故隐患排查治理情况如实记录并通过职工大会或者职工代表大会、信息公示栏等方式向从业人员通报；（4）对监管部门针对重大事故隐患做出的停止施工、停止使用相关设施或者设备的决定，是否执行；（5）是否按时对本单位事故隐患排查治理情况进行统计分析，是否按时向安全监管监察部门和有关部门报送书面统计分析表；（6）是否建立“一线三排”隐患排查排序排除台账，设置并张贴“一线三排”标识牌、工作机制牌，严格落实“一线三排”安全生产相关工作，开展事故隐患的排查、排序、排除。</w:t>
            </w:r>
          </w:p>
        </w:tc>
        <w:tc>
          <w:tcPr>
            <w:tcW w:w="1075" w:type="dxa"/>
            <w:tcBorders>
              <w:top w:val="single" w:color="auto" w:sz="4" w:space="0"/>
              <w:left w:val="single" w:color="auto" w:sz="4" w:space="0"/>
              <w:bottom w:val="single" w:color="auto" w:sz="4" w:space="0"/>
              <w:right w:val="single" w:color="auto" w:sz="4" w:space="0"/>
            </w:tcBorders>
            <w:vAlign w:val="center"/>
          </w:tcPr>
          <w:p w14:paraId="3A3FC70E">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3BC43229">
            <w:pPr>
              <w:pStyle w:val="6"/>
              <w:rPr>
                <w:rFonts w:hint="eastAsia" w:ascii="仿宋" w:hAnsi="仿宋" w:eastAsia="仿宋" w:cs="仿宋_GB2312"/>
                <w:sz w:val="21"/>
                <w:szCs w:val="21"/>
              </w:rPr>
            </w:pPr>
            <w:r>
              <w:rPr>
                <w:rFonts w:hint="eastAsia" w:ascii="仿宋" w:hAnsi="仿宋" w:eastAsia="仿宋" w:cs="仿宋_GB2312"/>
                <w:sz w:val="21"/>
                <w:szCs w:val="21"/>
              </w:rPr>
              <w:t>《安全生产法》(2021年修正）第四十一条、第七十条、第九十七条、第一百零一条；《安全生产违法行为行政处罚办法》第四十五条；《安全生产事故隐患排查治理暂行规定》第十四条、第十五条、第十六条、第十八条、第二十六条；《广东省生产经营单位安全生产“一线三排”工作指引》第一条、第三条、第六条。</w:t>
            </w:r>
          </w:p>
        </w:tc>
        <w:tc>
          <w:tcPr>
            <w:tcW w:w="3635" w:type="dxa"/>
            <w:tcBorders>
              <w:top w:val="single" w:color="auto" w:sz="4" w:space="0"/>
              <w:left w:val="single" w:color="auto" w:sz="4" w:space="0"/>
              <w:bottom w:val="single" w:color="auto" w:sz="4" w:space="0"/>
              <w:right w:val="single" w:color="auto" w:sz="4" w:space="0"/>
            </w:tcBorders>
            <w:vAlign w:val="center"/>
          </w:tcPr>
          <w:p w14:paraId="70C53312">
            <w:pPr>
              <w:pStyle w:val="6"/>
              <w:rPr>
                <w:rFonts w:hint="eastAsia" w:ascii="仿宋" w:hAnsi="仿宋" w:eastAsia="仿宋" w:cs="仿宋_GB2312"/>
                <w:sz w:val="21"/>
                <w:szCs w:val="21"/>
              </w:rPr>
            </w:pPr>
            <w:r>
              <w:rPr>
                <w:rFonts w:hint="eastAsia" w:ascii="仿宋" w:hAnsi="仿宋" w:eastAsia="仿宋" w:cs="仿宋_GB2312"/>
                <w:sz w:val="21"/>
                <w:szCs w:val="21"/>
              </w:rPr>
              <w:t>未建立事故隐患排查治理制度，扣1分；未采取措施消除隐患，每发现一项扣0.5分，最多扣1分；未及时将隐患情况告知从业人员扣1分；未及时将治理情况按时报送，扣1分；未落实“一线三排”相关规定，每发现一项扣0.5分，最多扣1分。</w:t>
            </w:r>
          </w:p>
        </w:tc>
        <w:tc>
          <w:tcPr>
            <w:tcW w:w="457" w:type="dxa"/>
            <w:tcBorders>
              <w:top w:val="single" w:color="auto" w:sz="4" w:space="0"/>
              <w:left w:val="single" w:color="auto" w:sz="4" w:space="0"/>
              <w:bottom w:val="single" w:color="auto" w:sz="4" w:space="0"/>
              <w:right w:val="single" w:color="auto" w:sz="4" w:space="0"/>
            </w:tcBorders>
          </w:tcPr>
          <w:p w14:paraId="5845341F">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71ED6964">
            <w:pPr>
              <w:widowControl/>
              <w:rPr>
                <w:rFonts w:hint="eastAsia" w:ascii="仿宋" w:hAnsi="仿宋" w:eastAsia="仿宋" w:cs="仿宋_GB2312"/>
              </w:rPr>
            </w:pPr>
          </w:p>
        </w:tc>
      </w:tr>
      <w:tr w14:paraId="222C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2CE24D41">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9</w:t>
            </w:r>
          </w:p>
        </w:tc>
        <w:tc>
          <w:tcPr>
            <w:tcW w:w="1428" w:type="dxa"/>
            <w:tcBorders>
              <w:top w:val="single" w:color="auto" w:sz="4" w:space="0"/>
              <w:left w:val="single" w:color="auto" w:sz="4" w:space="0"/>
              <w:bottom w:val="single" w:color="auto" w:sz="4" w:space="0"/>
              <w:right w:val="single" w:color="auto" w:sz="4" w:space="0"/>
            </w:tcBorders>
            <w:vAlign w:val="center"/>
          </w:tcPr>
          <w:p w14:paraId="00BA8BE3">
            <w:pPr>
              <w:pStyle w:val="6"/>
              <w:rPr>
                <w:rFonts w:hint="eastAsia" w:ascii="仿宋" w:hAnsi="仿宋" w:eastAsia="仿宋" w:cs="仿宋_GB2312"/>
                <w:sz w:val="21"/>
                <w:szCs w:val="21"/>
              </w:rPr>
            </w:pPr>
            <w:r>
              <w:rPr>
                <w:rFonts w:hint="eastAsia" w:ascii="仿宋" w:hAnsi="仿宋" w:eastAsia="仿宋" w:cs="仿宋_GB2312"/>
                <w:sz w:val="21"/>
                <w:szCs w:val="21"/>
              </w:rPr>
              <w:t>重大危险源安全管理（2分）</w:t>
            </w:r>
          </w:p>
        </w:tc>
        <w:tc>
          <w:tcPr>
            <w:tcW w:w="4721" w:type="dxa"/>
            <w:tcBorders>
              <w:top w:val="single" w:color="auto" w:sz="4" w:space="0"/>
              <w:left w:val="single" w:color="auto" w:sz="4" w:space="0"/>
              <w:bottom w:val="single" w:color="auto" w:sz="4" w:space="0"/>
              <w:right w:val="single" w:color="auto" w:sz="4" w:space="0"/>
            </w:tcBorders>
            <w:vAlign w:val="center"/>
          </w:tcPr>
          <w:p w14:paraId="0F952BB4">
            <w:pPr>
              <w:pStyle w:val="6"/>
              <w:rPr>
                <w:rFonts w:hint="eastAsia" w:ascii="仿宋" w:hAnsi="仿宋" w:eastAsia="仿宋" w:cs="仿宋_GB2312"/>
                <w:sz w:val="21"/>
                <w:szCs w:val="21"/>
              </w:rPr>
            </w:pPr>
            <w:r>
              <w:rPr>
                <w:rFonts w:hint="eastAsia" w:ascii="仿宋" w:hAnsi="仿宋" w:eastAsia="仿宋" w:cs="仿宋_GB2312"/>
                <w:sz w:val="21"/>
                <w:szCs w:val="21"/>
              </w:rPr>
              <w:t>（1）是否建立重大危险源管理制度，全面辨识重大危险源，对确认的重大危险源制定安全管理技术措施和应急预案；</w:t>
            </w:r>
          </w:p>
        </w:tc>
        <w:tc>
          <w:tcPr>
            <w:tcW w:w="1075" w:type="dxa"/>
            <w:tcBorders>
              <w:top w:val="single" w:color="auto" w:sz="4" w:space="0"/>
              <w:left w:val="single" w:color="auto" w:sz="4" w:space="0"/>
              <w:bottom w:val="single" w:color="auto" w:sz="4" w:space="0"/>
              <w:right w:val="single" w:color="auto" w:sz="4" w:space="0"/>
            </w:tcBorders>
            <w:vAlign w:val="center"/>
          </w:tcPr>
          <w:p w14:paraId="68BA609F">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51199CFF">
            <w:pPr>
              <w:pStyle w:val="6"/>
              <w:rPr>
                <w:rFonts w:hint="eastAsia" w:ascii="仿宋" w:hAnsi="仿宋" w:eastAsia="仿宋" w:cs="仿宋_GB2312"/>
                <w:sz w:val="21"/>
                <w:szCs w:val="21"/>
              </w:rPr>
            </w:pPr>
            <w:r>
              <w:rPr>
                <w:rFonts w:hint="eastAsia" w:ascii="仿宋" w:hAnsi="仿宋" w:eastAsia="仿宋" w:cs="仿宋_GB2312"/>
                <w:sz w:val="21"/>
                <w:szCs w:val="21"/>
              </w:rPr>
              <w:t>《安全生产法》（2021修正）第四十条、《企业安全生产标准化基本规范》5.5.2条</w:t>
            </w:r>
          </w:p>
        </w:tc>
        <w:tc>
          <w:tcPr>
            <w:tcW w:w="3635" w:type="dxa"/>
            <w:tcBorders>
              <w:top w:val="single" w:color="auto" w:sz="4" w:space="0"/>
              <w:left w:val="single" w:color="auto" w:sz="4" w:space="0"/>
              <w:bottom w:val="single" w:color="auto" w:sz="4" w:space="0"/>
              <w:right w:val="single" w:color="auto" w:sz="4" w:space="0"/>
            </w:tcBorders>
            <w:vAlign w:val="center"/>
          </w:tcPr>
          <w:p w14:paraId="5EA8D414">
            <w:pPr>
              <w:pStyle w:val="6"/>
              <w:rPr>
                <w:rFonts w:hint="eastAsia" w:ascii="仿宋" w:hAnsi="仿宋" w:eastAsia="仿宋" w:cs="仿宋_GB2312"/>
                <w:sz w:val="21"/>
                <w:szCs w:val="21"/>
              </w:rPr>
            </w:pPr>
            <w:r>
              <w:rPr>
                <w:rFonts w:hint="eastAsia" w:ascii="仿宋" w:hAnsi="仿宋" w:eastAsia="仿宋" w:cs="仿宋_GB2312"/>
                <w:sz w:val="21"/>
                <w:szCs w:val="21"/>
              </w:rPr>
              <w:t>未建立重大危险源管理制度，扣0.5分；未进行辨识扣0.5分；未制定相关应对措施和预案扣1分。</w:t>
            </w:r>
          </w:p>
        </w:tc>
        <w:tc>
          <w:tcPr>
            <w:tcW w:w="457" w:type="dxa"/>
            <w:tcBorders>
              <w:top w:val="single" w:color="auto" w:sz="4" w:space="0"/>
              <w:left w:val="single" w:color="auto" w:sz="4" w:space="0"/>
              <w:bottom w:val="single" w:color="auto" w:sz="4" w:space="0"/>
              <w:right w:val="single" w:color="auto" w:sz="4" w:space="0"/>
            </w:tcBorders>
          </w:tcPr>
          <w:p w14:paraId="0DDCDD42">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6D20E638">
            <w:pPr>
              <w:widowControl/>
              <w:rPr>
                <w:rFonts w:hint="eastAsia" w:ascii="仿宋" w:hAnsi="仿宋" w:eastAsia="仿宋" w:cs="仿宋_GB2312"/>
              </w:rPr>
            </w:pPr>
          </w:p>
        </w:tc>
      </w:tr>
      <w:tr w14:paraId="0305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3014459C">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10</w:t>
            </w:r>
          </w:p>
        </w:tc>
        <w:tc>
          <w:tcPr>
            <w:tcW w:w="1428" w:type="dxa"/>
            <w:tcBorders>
              <w:top w:val="single" w:color="auto" w:sz="4" w:space="0"/>
              <w:left w:val="single" w:color="auto" w:sz="4" w:space="0"/>
              <w:bottom w:val="single" w:color="auto" w:sz="4" w:space="0"/>
              <w:right w:val="single" w:color="auto" w:sz="4" w:space="0"/>
            </w:tcBorders>
            <w:vAlign w:val="center"/>
          </w:tcPr>
          <w:p w14:paraId="14BF3D5A">
            <w:pPr>
              <w:pStyle w:val="6"/>
              <w:rPr>
                <w:rFonts w:hint="eastAsia" w:ascii="仿宋" w:hAnsi="仿宋" w:eastAsia="仿宋" w:cs="仿宋_GB2312"/>
                <w:sz w:val="21"/>
                <w:szCs w:val="21"/>
              </w:rPr>
            </w:pPr>
            <w:r>
              <w:rPr>
                <w:rFonts w:hint="eastAsia" w:ascii="仿宋" w:hAnsi="仿宋" w:eastAsia="仿宋" w:cs="仿宋_GB2312"/>
                <w:sz w:val="21"/>
                <w:szCs w:val="21"/>
              </w:rPr>
              <w:t>安全警示标志</w:t>
            </w:r>
          </w:p>
          <w:p w14:paraId="07A16AB5">
            <w:pPr>
              <w:pStyle w:val="6"/>
              <w:rPr>
                <w:rFonts w:hint="eastAsia" w:ascii="仿宋" w:hAnsi="仿宋" w:eastAsia="仿宋" w:cs="仿宋_GB2312"/>
                <w:sz w:val="21"/>
                <w:szCs w:val="21"/>
              </w:rPr>
            </w:pPr>
            <w:r>
              <w:rPr>
                <w:rFonts w:hint="eastAsia" w:ascii="仿宋" w:hAnsi="仿宋" w:eastAsia="仿宋" w:cs="仿宋_GB2312"/>
                <w:sz w:val="21"/>
                <w:szCs w:val="21"/>
              </w:rPr>
              <w:t>（3分）</w:t>
            </w:r>
          </w:p>
        </w:tc>
        <w:tc>
          <w:tcPr>
            <w:tcW w:w="4721" w:type="dxa"/>
            <w:tcBorders>
              <w:top w:val="single" w:color="auto" w:sz="4" w:space="0"/>
              <w:left w:val="single" w:color="auto" w:sz="4" w:space="0"/>
              <w:bottom w:val="single" w:color="auto" w:sz="4" w:space="0"/>
              <w:right w:val="single" w:color="auto" w:sz="4" w:space="0"/>
            </w:tcBorders>
            <w:vAlign w:val="center"/>
          </w:tcPr>
          <w:p w14:paraId="56876065">
            <w:pPr>
              <w:pStyle w:val="6"/>
              <w:rPr>
                <w:rFonts w:hint="eastAsia" w:ascii="仿宋" w:hAnsi="仿宋" w:eastAsia="仿宋" w:cs="仿宋_GB2312"/>
                <w:sz w:val="21"/>
                <w:szCs w:val="21"/>
              </w:rPr>
            </w:pPr>
            <w:r>
              <w:rPr>
                <w:rFonts w:hint="eastAsia" w:ascii="仿宋" w:hAnsi="仿宋" w:eastAsia="仿宋" w:cs="仿宋_GB2312"/>
                <w:sz w:val="21"/>
                <w:szCs w:val="21"/>
              </w:rPr>
              <w:t>是否在有重大危险源、较大危险因素的工作场所、设备设施，设置明显的、符合有关规定要求的安全警示标志；（2）是否定期对警示标志进行检查维护，确保其完好有效（3）是否在设备设施施工、吊装、检维修等作业现场设置警戒区域和警示标志，在检维修现场的坑、井、渠、沟、陡坡等场所设置围栏和警示标志，进行危险提示、警示，告知危险的种类、后果及应急措施等；（4）是否在醒目位置和重点区域设置重大风险公告栏，制作岗位风险告知卡，标明风险名称、主要风险因素、可能引发事故类型、事故后果、管控方法、应急措施、报告方式以及责任单位、责任人、联系方式等内容。（5）对存在重大风险的工作场所、岗位和有关设施、设备，是否设置明显的风险警示标志。</w:t>
            </w:r>
          </w:p>
        </w:tc>
        <w:tc>
          <w:tcPr>
            <w:tcW w:w="1075" w:type="dxa"/>
            <w:tcBorders>
              <w:top w:val="single" w:color="auto" w:sz="4" w:space="0"/>
              <w:left w:val="single" w:color="auto" w:sz="4" w:space="0"/>
              <w:bottom w:val="single" w:color="auto" w:sz="4" w:space="0"/>
              <w:right w:val="single" w:color="auto" w:sz="4" w:space="0"/>
            </w:tcBorders>
            <w:vAlign w:val="center"/>
          </w:tcPr>
          <w:p w14:paraId="2289D6D7">
            <w:pPr>
              <w:pStyle w:val="6"/>
              <w:rPr>
                <w:rFonts w:hint="eastAsia" w:ascii="仿宋" w:hAnsi="仿宋" w:eastAsia="仿宋" w:cs="仿宋_GB2312"/>
                <w:sz w:val="21"/>
                <w:szCs w:val="21"/>
              </w:rPr>
            </w:pPr>
            <w:r>
              <w:rPr>
                <w:rFonts w:hint="eastAsia" w:ascii="仿宋" w:hAnsi="仿宋" w:eastAsia="仿宋" w:cs="仿宋_GB2312"/>
                <w:sz w:val="21"/>
                <w:szCs w:val="21"/>
              </w:rPr>
              <w:t>检查台账/查看现场</w:t>
            </w:r>
          </w:p>
        </w:tc>
        <w:tc>
          <w:tcPr>
            <w:tcW w:w="2924" w:type="dxa"/>
            <w:tcBorders>
              <w:top w:val="single" w:color="auto" w:sz="4" w:space="0"/>
              <w:left w:val="single" w:color="auto" w:sz="4" w:space="0"/>
              <w:bottom w:val="single" w:color="auto" w:sz="4" w:space="0"/>
              <w:right w:val="single" w:color="auto" w:sz="4" w:space="0"/>
            </w:tcBorders>
            <w:vAlign w:val="center"/>
          </w:tcPr>
          <w:p w14:paraId="1D03A8E9">
            <w:pPr>
              <w:pStyle w:val="6"/>
              <w:rPr>
                <w:rFonts w:hint="eastAsia" w:ascii="仿宋" w:hAnsi="仿宋" w:eastAsia="仿宋" w:cs="仿宋_GB2312"/>
                <w:sz w:val="21"/>
                <w:szCs w:val="21"/>
              </w:rPr>
            </w:pPr>
            <w:r>
              <w:rPr>
                <w:rFonts w:hint="eastAsia" w:ascii="仿宋" w:hAnsi="仿宋" w:eastAsia="仿宋" w:cs="仿宋_GB2312"/>
                <w:sz w:val="21"/>
                <w:szCs w:val="21"/>
              </w:rPr>
              <w:t>《企业安全生产标准化基本规范》要点5.4.4条、《安全生产法》第三十二条；依据《广东省应急管理厅关于安全风险分级管控办法（试行）》第十条、三十一条</w:t>
            </w:r>
          </w:p>
        </w:tc>
        <w:tc>
          <w:tcPr>
            <w:tcW w:w="3635" w:type="dxa"/>
            <w:tcBorders>
              <w:top w:val="single" w:color="auto" w:sz="4" w:space="0"/>
              <w:left w:val="single" w:color="auto" w:sz="4" w:space="0"/>
              <w:bottom w:val="single" w:color="auto" w:sz="4" w:space="0"/>
              <w:right w:val="single" w:color="auto" w:sz="4" w:space="0"/>
            </w:tcBorders>
            <w:vAlign w:val="center"/>
          </w:tcPr>
          <w:p w14:paraId="3073ABF7">
            <w:pPr>
              <w:pStyle w:val="6"/>
              <w:rPr>
                <w:rFonts w:hint="eastAsia" w:ascii="仿宋" w:hAnsi="仿宋" w:eastAsia="仿宋" w:cs="仿宋_GB2312"/>
                <w:sz w:val="21"/>
                <w:szCs w:val="21"/>
              </w:rPr>
            </w:pPr>
            <w:r>
              <w:rPr>
                <w:rFonts w:hint="eastAsia" w:ascii="仿宋" w:hAnsi="仿宋" w:eastAsia="仿宋" w:cs="仿宋_GB2312"/>
                <w:sz w:val="21"/>
                <w:szCs w:val="21"/>
              </w:rPr>
              <w:t>未在有危险因素场所或设施设置警示标志或者标志损坏，每发现一处扣0.5分，最多扣1分；对存在重大风险区域未设置公告栏，未明确岗位风险告知内容，每处扣0.5分，最多扣1分；未在存在重大风险场所设置警示标识，每发现一处扣0.5分，最多扣1分</w:t>
            </w:r>
          </w:p>
        </w:tc>
        <w:tc>
          <w:tcPr>
            <w:tcW w:w="457" w:type="dxa"/>
            <w:tcBorders>
              <w:top w:val="single" w:color="auto" w:sz="4" w:space="0"/>
              <w:left w:val="single" w:color="auto" w:sz="4" w:space="0"/>
              <w:bottom w:val="single" w:color="auto" w:sz="4" w:space="0"/>
              <w:right w:val="single" w:color="auto" w:sz="4" w:space="0"/>
            </w:tcBorders>
          </w:tcPr>
          <w:p w14:paraId="6098FAD8">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67DC21AF">
            <w:pPr>
              <w:widowControl/>
              <w:rPr>
                <w:rFonts w:hint="eastAsia" w:ascii="仿宋" w:hAnsi="仿宋" w:eastAsia="仿宋" w:cs="仿宋_GB2312"/>
              </w:rPr>
            </w:pPr>
          </w:p>
        </w:tc>
      </w:tr>
      <w:tr w14:paraId="1624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0"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76F705C9">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11</w:t>
            </w:r>
          </w:p>
        </w:tc>
        <w:tc>
          <w:tcPr>
            <w:tcW w:w="1428" w:type="dxa"/>
            <w:tcBorders>
              <w:top w:val="single" w:color="auto" w:sz="4" w:space="0"/>
              <w:left w:val="single" w:color="auto" w:sz="4" w:space="0"/>
              <w:bottom w:val="single" w:color="auto" w:sz="4" w:space="0"/>
              <w:right w:val="single" w:color="auto" w:sz="4" w:space="0"/>
            </w:tcBorders>
            <w:vAlign w:val="center"/>
          </w:tcPr>
          <w:p w14:paraId="7DA5E668">
            <w:pPr>
              <w:pStyle w:val="6"/>
              <w:rPr>
                <w:rFonts w:hint="eastAsia" w:ascii="仿宋" w:hAnsi="仿宋" w:eastAsia="仿宋" w:cs="仿宋_GB2312"/>
                <w:sz w:val="21"/>
                <w:szCs w:val="21"/>
              </w:rPr>
            </w:pPr>
            <w:r>
              <w:rPr>
                <w:rFonts w:hint="eastAsia" w:ascii="仿宋" w:hAnsi="仿宋" w:eastAsia="仿宋" w:cs="仿宋_GB2312"/>
                <w:sz w:val="21"/>
                <w:szCs w:val="21"/>
              </w:rPr>
              <w:t>应急预案编制、备案、演练和应急组织人员设置及应急救援器材、设备及物质配备（4分）</w:t>
            </w:r>
          </w:p>
        </w:tc>
        <w:tc>
          <w:tcPr>
            <w:tcW w:w="4721" w:type="dxa"/>
            <w:tcBorders>
              <w:top w:val="single" w:color="auto" w:sz="4" w:space="0"/>
              <w:left w:val="single" w:color="auto" w:sz="4" w:space="0"/>
              <w:bottom w:val="single" w:color="auto" w:sz="4" w:space="0"/>
              <w:right w:val="single" w:color="auto" w:sz="4" w:space="0"/>
            </w:tcBorders>
            <w:vAlign w:val="center"/>
          </w:tcPr>
          <w:p w14:paraId="60851466">
            <w:pPr>
              <w:pStyle w:val="6"/>
              <w:rPr>
                <w:rFonts w:hint="eastAsia" w:ascii="仿宋" w:hAnsi="仿宋" w:eastAsia="仿宋" w:cs="仿宋_GB2312"/>
                <w:sz w:val="21"/>
                <w:szCs w:val="21"/>
              </w:rPr>
            </w:pPr>
            <w:r>
              <w:rPr>
                <w:rFonts w:hint="eastAsia" w:ascii="仿宋" w:hAnsi="仿宋" w:eastAsia="仿宋" w:cs="仿宋_GB2312"/>
                <w:sz w:val="21"/>
                <w:szCs w:val="21"/>
              </w:rPr>
              <w:t>（1）是否制定应急救援预案，并定期组织演练；（2）是否有兼职应急救援人员、组建应急救援队伍；（3）是否配备应急装备、储备应急物资、建立应急物资管理台账；（4）应急预案是否在区住房和建设部门备案。</w:t>
            </w:r>
          </w:p>
        </w:tc>
        <w:tc>
          <w:tcPr>
            <w:tcW w:w="1075" w:type="dxa"/>
            <w:tcBorders>
              <w:top w:val="single" w:color="auto" w:sz="4" w:space="0"/>
              <w:left w:val="single" w:color="auto" w:sz="4" w:space="0"/>
              <w:bottom w:val="single" w:color="auto" w:sz="4" w:space="0"/>
              <w:right w:val="single" w:color="auto" w:sz="4" w:space="0"/>
            </w:tcBorders>
            <w:vAlign w:val="center"/>
          </w:tcPr>
          <w:p w14:paraId="6C6C6731">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15BFB059">
            <w:pPr>
              <w:pStyle w:val="6"/>
              <w:rPr>
                <w:rFonts w:hint="eastAsia" w:ascii="仿宋" w:hAnsi="仿宋" w:eastAsia="仿宋" w:cs="仿宋_GB2312"/>
                <w:sz w:val="21"/>
                <w:szCs w:val="21"/>
              </w:rPr>
            </w:pPr>
            <w:r>
              <w:rPr>
                <w:rFonts w:hint="eastAsia" w:ascii="仿宋" w:hAnsi="仿宋" w:eastAsia="仿宋" w:cs="仿宋_GB2312"/>
                <w:sz w:val="21"/>
                <w:szCs w:val="21"/>
              </w:rPr>
              <w:t>《安全生产法》（2021年修正）第二十一条、第八十一条、第八十二条、第九十七条；《生产安全事故应急预案管理办法》、《企业安全生产标准化基本规范》要点5.6.1条、《深圳</w:t>
            </w:r>
            <w:r>
              <w:rPr>
                <w:rFonts w:hint="eastAsia" w:ascii="仿宋" w:hAnsi="仿宋" w:eastAsia="仿宋" w:cs="仿宋_GB2312"/>
                <w:sz w:val="21"/>
                <w:szCs w:val="21"/>
                <w:lang w:eastAsia="zh-CN"/>
              </w:rPr>
              <w:t>经济</w:t>
            </w:r>
            <w:r>
              <w:rPr>
                <w:rFonts w:hint="eastAsia" w:ascii="仿宋" w:hAnsi="仿宋" w:eastAsia="仿宋" w:cs="仿宋_GB2312"/>
                <w:sz w:val="21"/>
                <w:szCs w:val="21"/>
              </w:rPr>
              <w:t>特区物业管理条例》第五十八、第六十四条、第一百一十四条。</w:t>
            </w:r>
            <w:bookmarkStart w:id="0" w:name="_GoBack"/>
            <w:bookmarkEnd w:id="0"/>
          </w:p>
        </w:tc>
        <w:tc>
          <w:tcPr>
            <w:tcW w:w="3635" w:type="dxa"/>
            <w:tcBorders>
              <w:top w:val="single" w:color="auto" w:sz="4" w:space="0"/>
              <w:left w:val="single" w:color="auto" w:sz="4" w:space="0"/>
              <w:bottom w:val="single" w:color="auto" w:sz="4" w:space="0"/>
              <w:right w:val="single" w:color="auto" w:sz="4" w:space="0"/>
            </w:tcBorders>
            <w:vAlign w:val="center"/>
          </w:tcPr>
          <w:p w14:paraId="75DD0F62">
            <w:pPr>
              <w:pStyle w:val="6"/>
              <w:rPr>
                <w:rFonts w:hint="eastAsia" w:ascii="仿宋" w:hAnsi="仿宋" w:eastAsia="仿宋" w:cs="仿宋_GB2312"/>
                <w:sz w:val="21"/>
                <w:szCs w:val="21"/>
              </w:rPr>
            </w:pPr>
            <w:r>
              <w:rPr>
                <w:rFonts w:hint="eastAsia" w:ascii="仿宋" w:hAnsi="仿宋" w:eastAsia="仿宋" w:cs="仿宋_GB2312"/>
                <w:sz w:val="21"/>
                <w:szCs w:val="21"/>
              </w:rPr>
              <w:t>未制定应急预案或预案不完善扣1分；无演练记录扣1分；未建立应急队伍扣0.5分；未建立应急管理台账，扣0.5分；未及时将应急预案在行业主管部门备案，扣1分。</w:t>
            </w:r>
          </w:p>
        </w:tc>
        <w:tc>
          <w:tcPr>
            <w:tcW w:w="457" w:type="dxa"/>
            <w:tcBorders>
              <w:top w:val="single" w:color="auto" w:sz="4" w:space="0"/>
              <w:left w:val="single" w:color="auto" w:sz="4" w:space="0"/>
              <w:bottom w:val="single" w:color="auto" w:sz="4" w:space="0"/>
              <w:right w:val="single" w:color="auto" w:sz="4" w:space="0"/>
            </w:tcBorders>
          </w:tcPr>
          <w:p w14:paraId="3CA426A0">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006AA411">
            <w:pPr>
              <w:widowControl/>
              <w:rPr>
                <w:rFonts w:hint="eastAsia" w:ascii="仿宋" w:hAnsi="仿宋" w:eastAsia="仿宋" w:cs="仿宋_GB2312"/>
              </w:rPr>
            </w:pPr>
          </w:p>
        </w:tc>
      </w:tr>
      <w:tr w14:paraId="3EAA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7"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1D1DA7C0">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12</w:t>
            </w:r>
          </w:p>
        </w:tc>
        <w:tc>
          <w:tcPr>
            <w:tcW w:w="1428" w:type="dxa"/>
            <w:tcBorders>
              <w:top w:val="single" w:color="auto" w:sz="4" w:space="0"/>
              <w:left w:val="single" w:color="auto" w:sz="4" w:space="0"/>
              <w:bottom w:val="single" w:color="auto" w:sz="4" w:space="0"/>
              <w:right w:val="single" w:color="auto" w:sz="4" w:space="0"/>
            </w:tcBorders>
            <w:vAlign w:val="center"/>
          </w:tcPr>
          <w:p w14:paraId="15B92E9B">
            <w:pPr>
              <w:pStyle w:val="6"/>
              <w:rPr>
                <w:rFonts w:hint="eastAsia" w:ascii="仿宋" w:hAnsi="仿宋" w:eastAsia="仿宋" w:cs="仿宋_GB2312"/>
                <w:sz w:val="21"/>
                <w:szCs w:val="21"/>
              </w:rPr>
            </w:pPr>
            <w:r>
              <w:rPr>
                <w:rFonts w:hint="eastAsia" w:ascii="仿宋" w:hAnsi="仿宋" w:eastAsia="仿宋" w:cs="仿宋_GB2312"/>
                <w:sz w:val="21"/>
                <w:szCs w:val="21"/>
              </w:rPr>
              <w:t>分包安全生产管理（6分）</w:t>
            </w:r>
          </w:p>
        </w:tc>
        <w:tc>
          <w:tcPr>
            <w:tcW w:w="4721" w:type="dxa"/>
            <w:tcBorders>
              <w:top w:val="single" w:color="auto" w:sz="4" w:space="0"/>
              <w:left w:val="single" w:color="auto" w:sz="4" w:space="0"/>
              <w:bottom w:val="single" w:color="auto" w:sz="4" w:space="0"/>
              <w:right w:val="single" w:color="auto" w:sz="4" w:space="0"/>
            </w:tcBorders>
            <w:vAlign w:val="center"/>
          </w:tcPr>
          <w:p w14:paraId="7C3DB4D4">
            <w:pPr>
              <w:pStyle w:val="6"/>
              <w:rPr>
                <w:rFonts w:hint="eastAsia" w:ascii="仿宋" w:hAnsi="仿宋" w:eastAsia="仿宋" w:cs="仿宋_GB2312"/>
                <w:sz w:val="21"/>
                <w:szCs w:val="21"/>
              </w:rPr>
            </w:pPr>
            <w:r>
              <w:rPr>
                <w:rFonts w:hint="eastAsia" w:ascii="仿宋" w:hAnsi="仿宋" w:eastAsia="仿宋" w:cs="仿宋_GB2312"/>
                <w:sz w:val="21"/>
                <w:szCs w:val="21"/>
              </w:rPr>
              <w:t>（1）、是否签订安全生产管理协议，安全分包协议，明确各自的安全生产职责；（2）是否对分包单位进行安全技术交底，告知其作业现场存在的危险因素和防范措施；（3）、是否对分包单位作业人员进行安全生产教育和培训，如实记录安全生产教育和培训的时间、内容、参加人员以及考核结果等情况；（4）、是否对分包单位安全生产工作统一协调、管理，发现安全问题的，应当及时督促整改（5）、定期进行安全检查。</w:t>
            </w:r>
          </w:p>
        </w:tc>
        <w:tc>
          <w:tcPr>
            <w:tcW w:w="1075" w:type="dxa"/>
            <w:tcBorders>
              <w:top w:val="single" w:color="auto" w:sz="4" w:space="0"/>
              <w:left w:val="single" w:color="auto" w:sz="4" w:space="0"/>
              <w:bottom w:val="single" w:color="auto" w:sz="4" w:space="0"/>
              <w:right w:val="single" w:color="auto" w:sz="4" w:space="0"/>
            </w:tcBorders>
            <w:vAlign w:val="center"/>
          </w:tcPr>
          <w:p w14:paraId="664F1A45">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03AFA4DC">
            <w:pPr>
              <w:pStyle w:val="6"/>
              <w:rPr>
                <w:rFonts w:hint="eastAsia" w:ascii="仿宋" w:hAnsi="仿宋" w:eastAsia="仿宋" w:cs="仿宋_GB2312"/>
                <w:sz w:val="21"/>
                <w:szCs w:val="21"/>
              </w:rPr>
            </w:pPr>
            <w:r>
              <w:rPr>
                <w:rFonts w:hint="eastAsia" w:ascii="仿宋" w:hAnsi="仿宋" w:eastAsia="仿宋" w:cs="仿宋_GB2312"/>
                <w:sz w:val="21"/>
                <w:szCs w:val="21"/>
              </w:rPr>
              <w:t>《安全生产法》（2021年修正）第二十八条、第四十九条；《深圳市生产经营单位安全生产主体责任规定》第四十一条</w:t>
            </w:r>
          </w:p>
          <w:p w14:paraId="04542C98">
            <w:pPr>
              <w:pStyle w:val="6"/>
              <w:rPr>
                <w:rFonts w:hint="eastAsia" w:ascii="仿宋" w:hAnsi="仿宋" w:eastAsia="仿宋" w:cs="仿宋_GB2312"/>
                <w:sz w:val="21"/>
                <w:szCs w:val="21"/>
              </w:rPr>
            </w:pPr>
          </w:p>
        </w:tc>
        <w:tc>
          <w:tcPr>
            <w:tcW w:w="3635" w:type="dxa"/>
            <w:tcBorders>
              <w:top w:val="single" w:color="auto" w:sz="4" w:space="0"/>
              <w:left w:val="single" w:color="auto" w:sz="4" w:space="0"/>
              <w:bottom w:val="single" w:color="auto" w:sz="4" w:space="0"/>
              <w:right w:val="single" w:color="auto" w:sz="4" w:space="0"/>
            </w:tcBorders>
            <w:vAlign w:val="center"/>
          </w:tcPr>
          <w:p w14:paraId="2C3F7E30">
            <w:pPr>
              <w:pStyle w:val="6"/>
              <w:rPr>
                <w:rFonts w:hint="eastAsia" w:ascii="仿宋" w:hAnsi="仿宋" w:eastAsia="仿宋" w:cs="仿宋_GB2312"/>
                <w:sz w:val="21"/>
                <w:szCs w:val="21"/>
              </w:rPr>
            </w:pPr>
            <w:r>
              <w:rPr>
                <w:rFonts w:hint="eastAsia" w:ascii="仿宋" w:hAnsi="仿宋" w:eastAsia="仿宋" w:cs="仿宋_GB2312"/>
                <w:sz w:val="21"/>
                <w:szCs w:val="21"/>
              </w:rPr>
              <w:t>未签订安全生产管理协议，安全分包协议，明确各自的安全生产职责，扣3分；未对分包单位进行安全技术交底，告知其作业现场存在的危险因素和防范措施，扣1分；未对分包单位作业人员进行安全生产教育和培训，如实记录安全生产教育和培训的时间、内容、参加人员以及考核结果等情况，扣0.5分；未对分包单位安全生产工作统一协调、管理，发现安全问题的，应当及时督促整改，扣0.5分；未定期进行安全检查扣1分</w:t>
            </w:r>
          </w:p>
        </w:tc>
        <w:tc>
          <w:tcPr>
            <w:tcW w:w="457" w:type="dxa"/>
            <w:tcBorders>
              <w:top w:val="single" w:color="auto" w:sz="4" w:space="0"/>
              <w:left w:val="single" w:color="auto" w:sz="4" w:space="0"/>
              <w:bottom w:val="single" w:color="auto" w:sz="4" w:space="0"/>
              <w:right w:val="single" w:color="auto" w:sz="4" w:space="0"/>
            </w:tcBorders>
          </w:tcPr>
          <w:p w14:paraId="1AD8CF68">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0A9985B4">
            <w:pPr>
              <w:widowControl/>
              <w:rPr>
                <w:rFonts w:hint="eastAsia" w:ascii="仿宋" w:hAnsi="仿宋" w:eastAsia="仿宋" w:cs="仿宋_GB2312"/>
              </w:rPr>
            </w:pPr>
          </w:p>
        </w:tc>
      </w:tr>
      <w:tr w14:paraId="1635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474" w:type="dxa"/>
            <w:gridSpan w:val="8"/>
            <w:tcBorders>
              <w:top w:val="single" w:color="auto" w:sz="4" w:space="0"/>
              <w:left w:val="single" w:color="auto" w:sz="4" w:space="0"/>
              <w:bottom w:val="single" w:color="auto" w:sz="4" w:space="0"/>
              <w:right w:val="single" w:color="auto" w:sz="4" w:space="0"/>
            </w:tcBorders>
            <w:shd w:val="clear" w:color="auto" w:fill="A5A5A5"/>
            <w:vAlign w:val="center"/>
          </w:tcPr>
          <w:p w14:paraId="3EF9F4EB">
            <w:pPr>
              <w:widowControl/>
              <w:jc w:val="center"/>
              <w:rPr>
                <w:rFonts w:hint="eastAsia" w:ascii="仿宋" w:hAnsi="仿宋" w:eastAsia="仿宋" w:cs="仿宋_GB2312"/>
                <w:kern w:val="0"/>
              </w:rPr>
            </w:pPr>
            <w:r>
              <w:rPr>
                <w:rFonts w:hint="eastAsia" w:ascii="仿宋" w:hAnsi="仿宋" w:eastAsia="仿宋" w:cs="仿宋_GB2312"/>
                <w:b/>
                <w:kern w:val="0"/>
                <w:sz w:val="28"/>
                <w:szCs w:val="28"/>
              </w:rPr>
              <w:t>物业管理安全生产专项监督检查（10分）</w:t>
            </w:r>
          </w:p>
        </w:tc>
      </w:tr>
      <w:tr w14:paraId="7B51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497" w:type="dxa"/>
            <w:tcBorders>
              <w:top w:val="single" w:color="auto" w:sz="4" w:space="0"/>
              <w:left w:val="single" w:color="auto" w:sz="4" w:space="0"/>
              <w:bottom w:val="single" w:color="auto" w:sz="4" w:space="0"/>
              <w:right w:val="single" w:color="auto" w:sz="4" w:space="0"/>
            </w:tcBorders>
            <w:shd w:val="clear" w:color="auto" w:fill="FFFFFF"/>
            <w:vAlign w:val="center"/>
          </w:tcPr>
          <w:p w14:paraId="250B4F13">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13</w:t>
            </w:r>
          </w:p>
        </w:tc>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14:paraId="3DE56451">
            <w:pPr>
              <w:pStyle w:val="6"/>
              <w:rPr>
                <w:rFonts w:hint="eastAsia" w:ascii="仿宋" w:hAnsi="仿宋" w:eastAsia="仿宋" w:cs="仿宋_GB2312"/>
                <w:sz w:val="21"/>
                <w:szCs w:val="21"/>
              </w:rPr>
            </w:pPr>
            <w:r>
              <w:rPr>
                <w:rFonts w:hint="eastAsia" w:ascii="仿宋" w:hAnsi="仿宋" w:eastAsia="仿宋" w:cs="仿宋_GB2312"/>
                <w:sz w:val="21"/>
                <w:szCs w:val="21"/>
              </w:rPr>
              <w:t>共有物业安全检查和维护保养</w:t>
            </w:r>
          </w:p>
          <w:p w14:paraId="24465E28">
            <w:pPr>
              <w:pStyle w:val="6"/>
              <w:rPr>
                <w:rFonts w:hint="eastAsia" w:ascii="仿宋" w:hAnsi="仿宋" w:eastAsia="仿宋" w:cs="仿宋_GB2312"/>
                <w:sz w:val="21"/>
                <w:szCs w:val="21"/>
              </w:rPr>
            </w:pPr>
            <w:r>
              <w:rPr>
                <w:rFonts w:hint="eastAsia" w:ascii="仿宋" w:hAnsi="仿宋" w:eastAsia="仿宋" w:cs="仿宋_GB2312"/>
                <w:sz w:val="21"/>
                <w:szCs w:val="21"/>
              </w:rPr>
              <w:t>（1分）</w:t>
            </w:r>
          </w:p>
        </w:tc>
        <w:tc>
          <w:tcPr>
            <w:tcW w:w="4721" w:type="dxa"/>
            <w:tcBorders>
              <w:top w:val="single" w:color="auto" w:sz="4" w:space="0"/>
              <w:left w:val="single" w:color="auto" w:sz="4" w:space="0"/>
              <w:bottom w:val="single" w:color="auto" w:sz="4" w:space="0"/>
              <w:right w:val="single" w:color="auto" w:sz="4" w:space="0"/>
            </w:tcBorders>
            <w:vAlign w:val="center"/>
          </w:tcPr>
          <w:p w14:paraId="3A96D922">
            <w:pPr>
              <w:pStyle w:val="6"/>
              <w:rPr>
                <w:rFonts w:hint="eastAsia" w:ascii="仿宋" w:hAnsi="仿宋" w:eastAsia="仿宋" w:cs="仿宋_GB2312"/>
                <w:sz w:val="21"/>
                <w:szCs w:val="21"/>
              </w:rPr>
            </w:pPr>
            <w:r>
              <w:rPr>
                <w:rFonts w:hint="eastAsia" w:ascii="仿宋" w:hAnsi="仿宋" w:eastAsia="仿宋" w:cs="仿宋_GB2312"/>
                <w:sz w:val="21"/>
                <w:szCs w:val="21"/>
              </w:rPr>
              <w:t>（1）是否建立对建筑物的基础、承重结构、外墙、屋顶、楼梯间、幕墙等共有物业的日常巡查、养护、维修制度；（2）是否对有安全隐患的部位，采取应急防范措施、设置警示标志并及时向业主委员会和主管部门报告。</w:t>
            </w:r>
          </w:p>
        </w:tc>
        <w:tc>
          <w:tcPr>
            <w:tcW w:w="1075" w:type="dxa"/>
            <w:tcBorders>
              <w:top w:val="single" w:color="auto" w:sz="4" w:space="0"/>
              <w:left w:val="single" w:color="auto" w:sz="4" w:space="0"/>
              <w:bottom w:val="single" w:color="auto" w:sz="4" w:space="0"/>
              <w:right w:val="single" w:color="auto" w:sz="4" w:space="0"/>
            </w:tcBorders>
            <w:vAlign w:val="center"/>
          </w:tcPr>
          <w:p w14:paraId="4814B475">
            <w:pPr>
              <w:pStyle w:val="6"/>
              <w:rPr>
                <w:rFonts w:hint="eastAsia" w:ascii="仿宋" w:hAnsi="仿宋" w:eastAsia="仿宋" w:cs="仿宋_GB2312"/>
                <w:sz w:val="21"/>
                <w:szCs w:val="21"/>
              </w:rPr>
            </w:pPr>
            <w:r>
              <w:rPr>
                <w:rFonts w:hint="eastAsia" w:ascii="仿宋" w:hAnsi="仿宋" w:eastAsia="仿宋" w:cs="仿宋_GB2312"/>
                <w:sz w:val="21"/>
                <w:szCs w:val="21"/>
              </w:rPr>
              <w:t>检查台账、现场抽查检查</w:t>
            </w:r>
          </w:p>
        </w:tc>
        <w:tc>
          <w:tcPr>
            <w:tcW w:w="2924" w:type="dxa"/>
            <w:tcBorders>
              <w:top w:val="single" w:color="auto" w:sz="4" w:space="0"/>
              <w:left w:val="single" w:color="auto" w:sz="4" w:space="0"/>
              <w:bottom w:val="single" w:color="auto" w:sz="4" w:space="0"/>
              <w:right w:val="single" w:color="auto" w:sz="4" w:space="0"/>
            </w:tcBorders>
            <w:vAlign w:val="center"/>
          </w:tcPr>
          <w:p w14:paraId="5D5BD4CD">
            <w:pPr>
              <w:pStyle w:val="6"/>
              <w:rPr>
                <w:rFonts w:hint="eastAsia" w:ascii="仿宋" w:hAnsi="仿宋" w:eastAsia="仿宋" w:cs="仿宋_GB2312"/>
                <w:sz w:val="21"/>
                <w:szCs w:val="21"/>
              </w:rPr>
            </w:pPr>
            <w:r>
              <w:rPr>
                <w:rFonts w:hint="eastAsia" w:ascii="仿宋" w:hAnsi="仿宋" w:eastAsia="仿宋" w:cs="仿宋_GB2312"/>
                <w:sz w:val="21"/>
                <w:szCs w:val="21"/>
              </w:rPr>
              <w:t>《深圳经济特区物业管理条例》第七十五条、第八十二条；《深圳市房屋安全管理办法》第三十三条</w:t>
            </w:r>
          </w:p>
        </w:tc>
        <w:tc>
          <w:tcPr>
            <w:tcW w:w="3635" w:type="dxa"/>
            <w:tcBorders>
              <w:top w:val="single" w:color="auto" w:sz="4" w:space="0"/>
              <w:left w:val="single" w:color="auto" w:sz="4" w:space="0"/>
              <w:bottom w:val="single" w:color="auto" w:sz="4" w:space="0"/>
              <w:right w:val="single" w:color="auto" w:sz="4" w:space="0"/>
            </w:tcBorders>
            <w:vAlign w:val="center"/>
          </w:tcPr>
          <w:p w14:paraId="26FFB6AF">
            <w:pPr>
              <w:pStyle w:val="6"/>
              <w:rPr>
                <w:rFonts w:hint="eastAsia" w:ascii="仿宋" w:hAnsi="仿宋" w:eastAsia="仿宋" w:cs="仿宋_GB2312"/>
                <w:sz w:val="21"/>
                <w:szCs w:val="21"/>
              </w:rPr>
            </w:pPr>
            <w:r>
              <w:rPr>
                <w:rFonts w:hint="eastAsia" w:ascii="仿宋" w:hAnsi="仿宋" w:eastAsia="仿宋" w:cs="仿宋_GB2312"/>
                <w:sz w:val="21"/>
                <w:szCs w:val="21"/>
              </w:rPr>
              <w:t>未建立共有物业定期巡查制度扣0.5分；未见相关巡查记录，扣0.5分.</w:t>
            </w:r>
          </w:p>
        </w:tc>
        <w:tc>
          <w:tcPr>
            <w:tcW w:w="457" w:type="dxa"/>
            <w:tcBorders>
              <w:top w:val="single" w:color="auto" w:sz="4" w:space="0"/>
              <w:left w:val="single" w:color="auto" w:sz="4" w:space="0"/>
              <w:bottom w:val="single" w:color="auto" w:sz="4" w:space="0"/>
              <w:right w:val="single" w:color="auto" w:sz="4" w:space="0"/>
            </w:tcBorders>
          </w:tcPr>
          <w:p w14:paraId="3B1014DE">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72FD5273">
            <w:pPr>
              <w:widowControl/>
              <w:rPr>
                <w:rFonts w:hint="eastAsia" w:ascii="仿宋" w:hAnsi="仿宋" w:eastAsia="仿宋" w:cs="仿宋_GB2312"/>
              </w:rPr>
            </w:pPr>
          </w:p>
        </w:tc>
      </w:tr>
      <w:tr w14:paraId="2801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6DE3A56A">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14</w:t>
            </w:r>
          </w:p>
        </w:tc>
        <w:tc>
          <w:tcPr>
            <w:tcW w:w="1428" w:type="dxa"/>
            <w:tcBorders>
              <w:top w:val="single" w:color="auto" w:sz="4" w:space="0"/>
              <w:left w:val="single" w:color="auto" w:sz="4" w:space="0"/>
              <w:bottom w:val="single" w:color="auto" w:sz="4" w:space="0"/>
              <w:right w:val="single" w:color="auto" w:sz="4" w:space="0"/>
            </w:tcBorders>
            <w:vAlign w:val="center"/>
          </w:tcPr>
          <w:p w14:paraId="514DC4B9">
            <w:pPr>
              <w:pStyle w:val="6"/>
              <w:rPr>
                <w:rFonts w:hint="eastAsia" w:ascii="仿宋" w:hAnsi="仿宋" w:eastAsia="仿宋" w:cs="仿宋_GB2312"/>
                <w:sz w:val="21"/>
                <w:szCs w:val="21"/>
              </w:rPr>
            </w:pPr>
            <w:r>
              <w:rPr>
                <w:rFonts w:hint="eastAsia" w:ascii="仿宋" w:hAnsi="仿宋" w:eastAsia="仿宋" w:cs="仿宋_GB2312"/>
                <w:sz w:val="21"/>
                <w:szCs w:val="21"/>
              </w:rPr>
              <w:t>房屋公共通行部分及附属设施安全管理</w:t>
            </w:r>
          </w:p>
          <w:p w14:paraId="2F80D8BB">
            <w:pPr>
              <w:pStyle w:val="6"/>
              <w:rPr>
                <w:rFonts w:hint="eastAsia" w:ascii="仿宋" w:hAnsi="仿宋" w:eastAsia="仿宋" w:cs="仿宋_GB2312"/>
                <w:sz w:val="21"/>
                <w:szCs w:val="21"/>
              </w:rPr>
            </w:pPr>
            <w:r>
              <w:rPr>
                <w:rFonts w:hint="eastAsia" w:ascii="仿宋" w:hAnsi="仿宋" w:eastAsia="仿宋" w:cs="仿宋_GB2312"/>
                <w:sz w:val="21"/>
                <w:szCs w:val="21"/>
              </w:rPr>
              <w:t>（1分）</w:t>
            </w:r>
          </w:p>
        </w:tc>
        <w:tc>
          <w:tcPr>
            <w:tcW w:w="4721" w:type="dxa"/>
            <w:tcBorders>
              <w:top w:val="single" w:color="auto" w:sz="4" w:space="0"/>
              <w:left w:val="single" w:color="auto" w:sz="4" w:space="0"/>
              <w:bottom w:val="single" w:color="auto" w:sz="4" w:space="0"/>
              <w:right w:val="single" w:color="auto" w:sz="4" w:space="0"/>
            </w:tcBorders>
            <w:vAlign w:val="center"/>
          </w:tcPr>
          <w:p w14:paraId="7D074A82">
            <w:pPr>
              <w:pStyle w:val="6"/>
              <w:rPr>
                <w:rFonts w:hint="eastAsia" w:ascii="仿宋" w:hAnsi="仿宋" w:eastAsia="仿宋" w:cs="仿宋_GB2312"/>
                <w:sz w:val="21"/>
                <w:szCs w:val="21"/>
              </w:rPr>
            </w:pPr>
            <w:r>
              <w:rPr>
                <w:rFonts w:hint="eastAsia" w:ascii="仿宋" w:hAnsi="仿宋" w:eastAsia="仿宋" w:cs="仿宋_GB2312"/>
                <w:sz w:val="21"/>
                <w:szCs w:val="21"/>
              </w:rPr>
              <w:t>（1）建立定期对通道、楼梯、大堂等公共通行部分，消防、公共照明等附属设施设备的巡查、养护、维修制度。（2）对于有安全隐患的设备设施，采取应急防范措施、设置警示标示。</w:t>
            </w:r>
          </w:p>
        </w:tc>
        <w:tc>
          <w:tcPr>
            <w:tcW w:w="1075" w:type="dxa"/>
            <w:tcBorders>
              <w:top w:val="single" w:color="auto" w:sz="4" w:space="0"/>
              <w:left w:val="single" w:color="auto" w:sz="4" w:space="0"/>
              <w:bottom w:val="single" w:color="auto" w:sz="4" w:space="0"/>
              <w:right w:val="single" w:color="auto" w:sz="4" w:space="0"/>
            </w:tcBorders>
            <w:vAlign w:val="center"/>
          </w:tcPr>
          <w:p w14:paraId="1BC24F7F">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08706EC4">
            <w:pPr>
              <w:pStyle w:val="6"/>
              <w:rPr>
                <w:rFonts w:hint="eastAsia" w:ascii="仿宋" w:hAnsi="仿宋" w:eastAsia="仿宋" w:cs="仿宋_GB2312"/>
                <w:sz w:val="21"/>
                <w:szCs w:val="21"/>
              </w:rPr>
            </w:pPr>
            <w:r>
              <w:rPr>
                <w:rFonts w:hint="eastAsia" w:ascii="仿宋" w:hAnsi="仿宋" w:eastAsia="仿宋" w:cs="仿宋_GB2312"/>
                <w:sz w:val="21"/>
                <w:szCs w:val="21"/>
              </w:rPr>
              <w:t>《深圳经济特区物业管理条例》第七十五条；《安全生产法》第三十五条</w:t>
            </w:r>
          </w:p>
        </w:tc>
        <w:tc>
          <w:tcPr>
            <w:tcW w:w="3635" w:type="dxa"/>
            <w:tcBorders>
              <w:top w:val="single" w:color="auto" w:sz="4" w:space="0"/>
              <w:left w:val="single" w:color="auto" w:sz="4" w:space="0"/>
              <w:bottom w:val="single" w:color="auto" w:sz="4" w:space="0"/>
              <w:right w:val="single" w:color="auto" w:sz="4" w:space="0"/>
            </w:tcBorders>
            <w:vAlign w:val="center"/>
          </w:tcPr>
          <w:p w14:paraId="5C560E72">
            <w:pPr>
              <w:pStyle w:val="6"/>
              <w:rPr>
                <w:rFonts w:hint="eastAsia" w:ascii="仿宋" w:hAnsi="仿宋" w:eastAsia="仿宋" w:cs="仿宋_GB2312"/>
                <w:sz w:val="21"/>
                <w:szCs w:val="21"/>
              </w:rPr>
            </w:pPr>
            <w:r>
              <w:rPr>
                <w:rFonts w:hint="eastAsia" w:ascii="仿宋" w:hAnsi="仿宋" w:eastAsia="仿宋" w:cs="仿宋_GB2312"/>
                <w:sz w:val="21"/>
                <w:szCs w:val="21"/>
              </w:rPr>
              <w:t>未建立房屋公共通行部分及附属设施安全管理制度，扣0.5分；未对存在安全隐患的位置采取相关措施，每发现一处，扣0.2分，最多扣0.5分。</w:t>
            </w:r>
          </w:p>
        </w:tc>
        <w:tc>
          <w:tcPr>
            <w:tcW w:w="457" w:type="dxa"/>
            <w:tcBorders>
              <w:top w:val="single" w:color="auto" w:sz="4" w:space="0"/>
              <w:left w:val="single" w:color="auto" w:sz="4" w:space="0"/>
              <w:bottom w:val="single" w:color="auto" w:sz="4" w:space="0"/>
              <w:right w:val="single" w:color="auto" w:sz="4" w:space="0"/>
            </w:tcBorders>
          </w:tcPr>
          <w:p w14:paraId="6C7522EC">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64C9AD12">
            <w:pPr>
              <w:widowControl/>
              <w:rPr>
                <w:rFonts w:hint="eastAsia" w:ascii="仿宋" w:hAnsi="仿宋" w:eastAsia="仿宋" w:cs="仿宋_GB2312"/>
              </w:rPr>
            </w:pPr>
          </w:p>
        </w:tc>
      </w:tr>
      <w:tr w14:paraId="2791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8"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5B35EDE8">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15</w:t>
            </w:r>
          </w:p>
        </w:tc>
        <w:tc>
          <w:tcPr>
            <w:tcW w:w="1428" w:type="dxa"/>
            <w:tcBorders>
              <w:top w:val="single" w:color="auto" w:sz="4" w:space="0"/>
              <w:left w:val="single" w:color="auto" w:sz="4" w:space="0"/>
              <w:bottom w:val="single" w:color="auto" w:sz="4" w:space="0"/>
              <w:right w:val="single" w:color="auto" w:sz="4" w:space="0"/>
            </w:tcBorders>
            <w:vAlign w:val="center"/>
          </w:tcPr>
          <w:p w14:paraId="3EF4B9AB">
            <w:pPr>
              <w:pStyle w:val="6"/>
              <w:rPr>
                <w:rFonts w:hint="eastAsia" w:ascii="仿宋" w:hAnsi="仿宋" w:eastAsia="仿宋" w:cs="仿宋_GB2312"/>
                <w:sz w:val="21"/>
                <w:szCs w:val="21"/>
              </w:rPr>
            </w:pPr>
            <w:r>
              <w:rPr>
                <w:rFonts w:hint="eastAsia" w:ascii="仿宋" w:hAnsi="仿宋" w:eastAsia="仿宋" w:cs="仿宋_GB2312"/>
                <w:sz w:val="21"/>
                <w:szCs w:val="21"/>
              </w:rPr>
              <w:t>防范高空坠物</w:t>
            </w:r>
          </w:p>
          <w:p w14:paraId="4D83AD89">
            <w:pPr>
              <w:pStyle w:val="6"/>
              <w:rPr>
                <w:rFonts w:hint="eastAsia" w:ascii="仿宋" w:hAnsi="仿宋" w:eastAsia="仿宋" w:cs="仿宋_GB2312"/>
                <w:sz w:val="21"/>
                <w:szCs w:val="21"/>
              </w:rPr>
            </w:pPr>
            <w:r>
              <w:rPr>
                <w:rFonts w:hint="eastAsia" w:ascii="仿宋" w:hAnsi="仿宋" w:eastAsia="仿宋" w:cs="仿宋_GB2312"/>
                <w:sz w:val="21"/>
                <w:szCs w:val="21"/>
              </w:rPr>
              <w:t>（4分）</w:t>
            </w:r>
          </w:p>
        </w:tc>
        <w:tc>
          <w:tcPr>
            <w:tcW w:w="4721" w:type="dxa"/>
            <w:tcBorders>
              <w:top w:val="single" w:color="auto" w:sz="4" w:space="0"/>
              <w:left w:val="single" w:color="auto" w:sz="4" w:space="0"/>
              <w:bottom w:val="single" w:color="auto" w:sz="4" w:space="0"/>
              <w:right w:val="single" w:color="auto" w:sz="4" w:space="0"/>
            </w:tcBorders>
            <w:vAlign w:val="center"/>
          </w:tcPr>
          <w:p w14:paraId="4FA5477F">
            <w:pPr>
              <w:pStyle w:val="6"/>
              <w:rPr>
                <w:rFonts w:hint="eastAsia" w:ascii="仿宋" w:hAnsi="仿宋" w:eastAsia="仿宋" w:cs="仿宋_GB2312"/>
                <w:sz w:val="21"/>
                <w:szCs w:val="21"/>
              </w:rPr>
            </w:pPr>
            <w:r>
              <w:rPr>
                <w:rFonts w:hint="eastAsia" w:ascii="仿宋" w:hAnsi="仿宋" w:eastAsia="仿宋" w:cs="仿宋_GB2312"/>
                <w:sz w:val="21"/>
                <w:szCs w:val="21"/>
              </w:rPr>
              <w:t>（1）是否建立防范高空坠物制度。是否定期对共有的窗户、幕墙、外墙等容易发生脱落事故的设施及部位做好安全巡查、检查工作，排除事故隐患；（2）定期对共有的天面、阳台、窗台、外墙的搁置物、悬挂物进行日常巡查，排查事故隐患。（3）发现业主专有部分的窗户、阳台的搁置物、悬挂物存在安全隐患的，通知物业使用人及时处理。（4）发现绿植、树木有安全隐患按照《深圳经济特区绿化条例》《深圳园林树木修剪工作指引》相关规定及时处置。</w:t>
            </w:r>
          </w:p>
        </w:tc>
        <w:tc>
          <w:tcPr>
            <w:tcW w:w="1075" w:type="dxa"/>
            <w:tcBorders>
              <w:top w:val="single" w:color="auto" w:sz="4" w:space="0"/>
              <w:left w:val="single" w:color="auto" w:sz="4" w:space="0"/>
              <w:bottom w:val="single" w:color="auto" w:sz="4" w:space="0"/>
              <w:right w:val="single" w:color="auto" w:sz="4" w:space="0"/>
            </w:tcBorders>
            <w:vAlign w:val="center"/>
          </w:tcPr>
          <w:p w14:paraId="12B4AE1A">
            <w:pPr>
              <w:pStyle w:val="6"/>
              <w:rPr>
                <w:rFonts w:hint="eastAsia" w:ascii="仿宋" w:hAnsi="仿宋" w:eastAsia="仿宋" w:cs="仿宋_GB2312"/>
                <w:sz w:val="21"/>
                <w:szCs w:val="21"/>
              </w:rPr>
            </w:pPr>
            <w:r>
              <w:rPr>
                <w:rFonts w:hint="eastAsia" w:ascii="仿宋" w:hAnsi="仿宋" w:eastAsia="仿宋" w:cs="仿宋_GB2312"/>
                <w:sz w:val="21"/>
                <w:szCs w:val="21"/>
              </w:rPr>
              <w:t>检查台账、现场抽查检查</w:t>
            </w:r>
          </w:p>
        </w:tc>
        <w:tc>
          <w:tcPr>
            <w:tcW w:w="2924" w:type="dxa"/>
            <w:tcBorders>
              <w:top w:val="single" w:color="auto" w:sz="4" w:space="0"/>
              <w:left w:val="single" w:color="auto" w:sz="4" w:space="0"/>
              <w:bottom w:val="single" w:color="auto" w:sz="4" w:space="0"/>
              <w:right w:val="single" w:color="auto" w:sz="4" w:space="0"/>
            </w:tcBorders>
            <w:vAlign w:val="center"/>
          </w:tcPr>
          <w:p w14:paraId="3887E28E">
            <w:pPr>
              <w:pStyle w:val="6"/>
              <w:rPr>
                <w:rFonts w:hint="eastAsia" w:ascii="仿宋" w:hAnsi="仿宋" w:eastAsia="仿宋" w:cs="仿宋_GB2312"/>
                <w:sz w:val="21"/>
                <w:szCs w:val="21"/>
              </w:rPr>
            </w:pPr>
            <w:r>
              <w:rPr>
                <w:rFonts w:hint="eastAsia" w:ascii="仿宋" w:hAnsi="仿宋" w:eastAsia="仿宋" w:cs="仿宋_GB2312"/>
                <w:sz w:val="21"/>
                <w:szCs w:val="21"/>
              </w:rPr>
              <w:t>《深圳经济特区物业管理条例》第七十七条、第八十二条；《住宅小区高空抛物安全防范要求》《深圳经济特区绿化条例》第四十条、第四十二条、第六十六条；《深圳园林树木修剪工作指引》</w:t>
            </w:r>
          </w:p>
        </w:tc>
        <w:tc>
          <w:tcPr>
            <w:tcW w:w="3635" w:type="dxa"/>
            <w:tcBorders>
              <w:top w:val="single" w:color="auto" w:sz="4" w:space="0"/>
              <w:left w:val="single" w:color="auto" w:sz="4" w:space="0"/>
              <w:bottom w:val="single" w:color="auto" w:sz="4" w:space="0"/>
              <w:right w:val="single" w:color="auto" w:sz="4" w:space="0"/>
            </w:tcBorders>
            <w:vAlign w:val="center"/>
          </w:tcPr>
          <w:p w14:paraId="500B2386">
            <w:pPr>
              <w:pStyle w:val="6"/>
              <w:rPr>
                <w:rFonts w:hint="eastAsia" w:ascii="仿宋" w:hAnsi="仿宋" w:eastAsia="仿宋" w:cs="仿宋_GB2312"/>
                <w:sz w:val="21"/>
                <w:szCs w:val="21"/>
              </w:rPr>
            </w:pPr>
            <w:r>
              <w:rPr>
                <w:rFonts w:hint="eastAsia" w:ascii="仿宋" w:hAnsi="仿宋" w:eastAsia="仿宋" w:cs="仿宋_GB2312"/>
                <w:sz w:val="21"/>
                <w:szCs w:val="21"/>
              </w:rPr>
              <w:t>未建立高空坠物防范制度，扣2分；未见共有部位巡查记录，扣1分；现场存在安全隐患，每发现一处扣0.5分，最多扣1分。</w:t>
            </w:r>
          </w:p>
        </w:tc>
        <w:tc>
          <w:tcPr>
            <w:tcW w:w="457" w:type="dxa"/>
            <w:tcBorders>
              <w:top w:val="single" w:color="auto" w:sz="4" w:space="0"/>
              <w:left w:val="single" w:color="auto" w:sz="4" w:space="0"/>
              <w:bottom w:val="single" w:color="auto" w:sz="4" w:space="0"/>
              <w:right w:val="single" w:color="auto" w:sz="4" w:space="0"/>
            </w:tcBorders>
          </w:tcPr>
          <w:p w14:paraId="565E9F86">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071ABB57">
            <w:pPr>
              <w:widowControl/>
              <w:rPr>
                <w:rFonts w:hint="eastAsia" w:ascii="仿宋" w:hAnsi="仿宋" w:eastAsia="仿宋" w:cs="仿宋_GB2312"/>
              </w:rPr>
            </w:pPr>
          </w:p>
        </w:tc>
      </w:tr>
      <w:tr w14:paraId="2CF6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97" w:type="dxa"/>
            <w:tcBorders>
              <w:top w:val="single" w:color="auto" w:sz="4" w:space="0"/>
              <w:left w:val="single" w:color="auto" w:sz="4" w:space="0"/>
              <w:bottom w:val="single" w:color="auto" w:sz="4" w:space="0"/>
              <w:right w:val="single" w:color="auto" w:sz="4" w:space="0"/>
            </w:tcBorders>
            <w:shd w:val="clear" w:color="auto" w:fill="FFFFFF"/>
            <w:vAlign w:val="center"/>
          </w:tcPr>
          <w:p w14:paraId="181C4EFB">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16</w:t>
            </w:r>
          </w:p>
        </w:tc>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14:paraId="110EA5C3">
            <w:pPr>
              <w:pStyle w:val="6"/>
              <w:rPr>
                <w:rFonts w:hint="eastAsia" w:ascii="仿宋" w:hAnsi="仿宋" w:eastAsia="仿宋" w:cs="仿宋_GB2312"/>
                <w:sz w:val="21"/>
                <w:szCs w:val="21"/>
              </w:rPr>
            </w:pPr>
            <w:r>
              <w:rPr>
                <w:rFonts w:hint="eastAsia" w:ascii="仿宋" w:hAnsi="仿宋" w:eastAsia="仿宋" w:cs="仿宋_GB2312"/>
                <w:sz w:val="21"/>
                <w:szCs w:val="21"/>
              </w:rPr>
              <w:t>建筑物和公共设施清洗翻新管理（2分）</w:t>
            </w:r>
          </w:p>
        </w:tc>
        <w:tc>
          <w:tcPr>
            <w:tcW w:w="4721" w:type="dxa"/>
            <w:tcBorders>
              <w:top w:val="single" w:color="auto" w:sz="4" w:space="0"/>
              <w:left w:val="single" w:color="auto" w:sz="4" w:space="0"/>
              <w:bottom w:val="single" w:color="auto" w:sz="4" w:space="0"/>
              <w:right w:val="single" w:color="auto" w:sz="4" w:space="0"/>
            </w:tcBorders>
            <w:shd w:val="clear" w:color="auto" w:fill="FFFFFF"/>
            <w:vAlign w:val="center"/>
          </w:tcPr>
          <w:p w14:paraId="79F9F49D">
            <w:pPr>
              <w:pStyle w:val="6"/>
              <w:rPr>
                <w:rFonts w:hint="eastAsia" w:ascii="仿宋" w:hAnsi="仿宋" w:eastAsia="仿宋" w:cs="仿宋_GB2312"/>
                <w:sz w:val="21"/>
                <w:szCs w:val="21"/>
              </w:rPr>
            </w:pPr>
            <w:r>
              <w:rPr>
                <w:rFonts w:hint="eastAsia" w:ascii="仿宋" w:hAnsi="仿宋" w:eastAsia="仿宋" w:cs="仿宋_GB2312"/>
                <w:sz w:val="21"/>
                <w:szCs w:val="21"/>
              </w:rPr>
              <w:t>（1）是否建立定期对建筑物外立面、屋顶清洗翻新并建立记录档案；（2）是否对建筑物屋顶绿化涉及工程施工的，在施工前做好屋顶承重勘察和评估，并对屋面进行防渗补漏处理。</w:t>
            </w:r>
          </w:p>
        </w:tc>
        <w:tc>
          <w:tcPr>
            <w:tcW w:w="1075" w:type="dxa"/>
            <w:tcBorders>
              <w:top w:val="single" w:color="auto" w:sz="4" w:space="0"/>
              <w:left w:val="single" w:color="auto" w:sz="4" w:space="0"/>
              <w:bottom w:val="single" w:color="auto" w:sz="4" w:space="0"/>
              <w:right w:val="single" w:color="auto" w:sz="4" w:space="0"/>
            </w:tcBorders>
            <w:vAlign w:val="center"/>
          </w:tcPr>
          <w:p w14:paraId="052A35E2">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3F61C28B">
            <w:pPr>
              <w:pStyle w:val="6"/>
              <w:rPr>
                <w:rFonts w:hint="eastAsia" w:ascii="仿宋" w:hAnsi="仿宋" w:eastAsia="仿宋" w:cs="仿宋_GB2312"/>
                <w:sz w:val="21"/>
                <w:szCs w:val="21"/>
              </w:rPr>
            </w:pPr>
            <w:r>
              <w:rPr>
                <w:rFonts w:hint="eastAsia" w:ascii="仿宋" w:hAnsi="仿宋" w:eastAsia="仿宋" w:cs="仿宋_GB2312"/>
                <w:sz w:val="21"/>
                <w:szCs w:val="21"/>
              </w:rPr>
              <w:t>《深圳经济特区物业管理条例》第七十七条、《深圳市建筑物和公共设施清洗翻新管理规定》第十三条、第十四条</w:t>
            </w:r>
          </w:p>
        </w:tc>
        <w:tc>
          <w:tcPr>
            <w:tcW w:w="3635" w:type="dxa"/>
            <w:tcBorders>
              <w:top w:val="single" w:color="auto" w:sz="4" w:space="0"/>
              <w:left w:val="single" w:color="auto" w:sz="4" w:space="0"/>
              <w:bottom w:val="single" w:color="auto" w:sz="4" w:space="0"/>
              <w:right w:val="single" w:color="auto" w:sz="4" w:space="0"/>
            </w:tcBorders>
            <w:vAlign w:val="center"/>
          </w:tcPr>
          <w:p w14:paraId="2471251D">
            <w:pPr>
              <w:pStyle w:val="6"/>
              <w:rPr>
                <w:rFonts w:hint="eastAsia" w:ascii="仿宋" w:hAnsi="仿宋" w:eastAsia="仿宋" w:cs="仿宋_GB2312"/>
                <w:sz w:val="21"/>
                <w:szCs w:val="21"/>
              </w:rPr>
            </w:pPr>
            <w:r>
              <w:rPr>
                <w:rFonts w:hint="eastAsia" w:ascii="仿宋" w:hAnsi="仿宋" w:eastAsia="仿宋" w:cs="仿宋_GB2312"/>
                <w:sz w:val="21"/>
                <w:szCs w:val="21"/>
              </w:rPr>
              <w:t>未建立建筑清洗或翻新档案，扣1分；未在施工前做好房屋承重的相关评价评估，扣1分。</w:t>
            </w:r>
          </w:p>
        </w:tc>
        <w:tc>
          <w:tcPr>
            <w:tcW w:w="457" w:type="dxa"/>
            <w:tcBorders>
              <w:top w:val="single" w:color="auto" w:sz="4" w:space="0"/>
              <w:left w:val="single" w:color="auto" w:sz="4" w:space="0"/>
              <w:bottom w:val="single" w:color="auto" w:sz="4" w:space="0"/>
              <w:right w:val="single" w:color="auto" w:sz="4" w:space="0"/>
            </w:tcBorders>
          </w:tcPr>
          <w:p w14:paraId="23A9A27A">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3DCAED19">
            <w:pPr>
              <w:widowControl/>
              <w:rPr>
                <w:rFonts w:hint="eastAsia" w:ascii="仿宋" w:hAnsi="仿宋" w:eastAsia="仿宋" w:cs="仿宋_GB2312"/>
              </w:rPr>
            </w:pPr>
          </w:p>
        </w:tc>
      </w:tr>
      <w:tr w14:paraId="28E7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10ACAA0C">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17</w:t>
            </w:r>
          </w:p>
        </w:tc>
        <w:tc>
          <w:tcPr>
            <w:tcW w:w="1428" w:type="dxa"/>
            <w:tcBorders>
              <w:top w:val="single" w:color="auto" w:sz="4" w:space="0"/>
              <w:left w:val="single" w:color="auto" w:sz="4" w:space="0"/>
              <w:bottom w:val="single" w:color="auto" w:sz="4" w:space="0"/>
              <w:right w:val="single" w:color="auto" w:sz="4" w:space="0"/>
            </w:tcBorders>
            <w:vAlign w:val="center"/>
          </w:tcPr>
          <w:p w14:paraId="4B0437A5">
            <w:pPr>
              <w:pStyle w:val="6"/>
              <w:rPr>
                <w:rFonts w:hint="eastAsia" w:ascii="仿宋" w:hAnsi="仿宋" w:eastAsia="仿宋" w:cs="仿宋_GB2312"/>
                <w:sz w:val="21"/>
                <w:szCs w:val="21"/>
              </w:rPr>
            </w:pPr>
            <w:r>
              <w:rPr>
                <w:rFonts w:hint="eastAsia" w:ascii="仿宋" w:hAnsi="仿宋" w:eastAsia="仿宋" w:cs="仿宋_GB2312"/>
                <w:sz w:val="21"/>
                <w:szCs w:val="21"/>
              </w:rPr>
              <w:t>配合专营单位对供水供电供气通讯设备设施的安全管理（2分）</w:t>
            </w:r>
          </w:p>
        </w:tc>
        <w:tc>
          <w:tcPr>
            <w:tcW w:w="4721" w:type="dxa"/>
            <w:tcBorders>
              <w:top w:val="single" w:color="auto" w:sz="4" w:space="0"/>
              <w:left w:val="single" w:color="auto" w:sz="4" w:space="0"/>
              <w:bottom w:val="single" w:color="auto" w:sz="4" w:space="0"/>
              <w:right w:val="single" w:color="auto" w:sz="4" w:space="0"/>
            </w:tcBorders>
            <w:vAlign w:val="center"/>
          </w:tcPr>
          <w:p w14:paraId="7BD79200">
            <w:pPr>
              <w:pStyle w:val="6"/>
              <w:rPr>
                <w:rFonts w:hint="eastAsia" w:ascii="仿宋" w:hAnsi="仿宋" w:eastAsia="仿宋" w:cs="仿宋_GB2312"/>
                <w:sz w:val="21"/>
                <w:szCs w:val="21"/>
              </w:rPr>
            </w:pPr>
            <w:r>
              <w:rPr>
                <w:rFonts w:hint="eastAsia" w:ascii="仿宋" w:hAnsi="仿宋" w:eastAsia="仿宋" w:cs="仿宋_GB2312"/>
                <w:sz w:val="21"/>
                <w:szCs w:val="21"/>
              </w:rPr>
              <w:t>（1）是否配合专营单位对物业管理区域内的专营设施设备进行检查；（2）对于发生故障或者其他影响正常使用的情况，是否立即采取应急防范措施，及时报告相关专营单位。</w:t>
            </w:r>
          </w:p>
        </w:tc>
        <w:tc>
          <w:tcPr>
            <w:tcW w:w="1075" w:type="dxa"/>
            <w:tcBorders>
              <w:top w:val="single" w:color="auto" w:sz="4" w:space="0"/>
              <w:left w:val="single" w:color="auto" w:sz="4" w:space="0"/>
              <w:bottom w:val="single" w:color="auto" w:sz="4" w:space="0"/>
              <w:right w:val="single" w:color="auto" w:sz="4" w:space="0"/>
            </w:tcBorders>
            <w:vAlign w:val="center"/>
          </w:tcPr>
          <w:p w14:paraId="1808FAC5">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2B891948">
            <w:pPr>
              <w:pStyle w:val="6"/>
              <w:rPr>
                <w:rFonts w:hint="eastAsia" w:ascii="仿宋" w:hAnsi="仿宋" w:eastAsia="仿宋" w:cs="仿宋_GB2312"/>
                <w:sz w:val="21"/>
                <w:szCs w:val="21"/>
              </w:rPr>
            </w:pPr>
            <w:r>
              <w:rPr>
                <w:rFonts w:hint="eastAsia" w:ascii="仿宋" w:hAnsi="仿宋" w:eastAsia="仿宋" w:cs="仿宋_GB2312"/>
                <w:sz w:val="21"/>
                <w:szCs w:val="21"/>
              </w:rPr>
              <w:t>《深圳经济特区物业管理条例》第七十七条、第八十二条</w:t>
            </w:r>
          </w:p>
        </w:tc>
        <w:tc>
          <w:tcPr>
            <w:tcW w:w="3635" w:type="dxa"/>
            <w:tcBorders>
              <w:top w:val="single" w:color="auto" w:sz="4" w:space="0"/>
              <w:left w:val="single" w:color="auto" w:sz="4" w:space="0"/>
              <w:bottom w:val="single" w:color="auto" w:sz="4" w:space="0"/>
              <w:right w:val="single" w:color="auto" w:sz="4" w:space="0"/>
            </w:tcBorders>
            <w:vAlign w:val="center"/>
          </w:tcPr>
          <w:p w14:paraId="459B9E19">
            <w:pPr>
              <w:pStyle w:val="6"/>
              <w:rPr>
                <w:rFonts w:hint="eastAsia" w:ascii="仿宋" w:hAnsi="仿宋" w:eastAsia="仿宋" w:cs="仿宋_GB2312"/>
                <w:sz w:val="21"/>
                <w:szCs w:val="21"/>
              </w:rPr>
            </w:pPr>
            <w:r>
              <w:rPr>
                <w:rFonts w:hint="eastAsia" w:ascii="仿宋" w:hAnsi="仿宋" w:eastAsia="仿宋" w:cs="仿宋_GB2312"/>
                <w:sz w:val="21"/>
                <w:szCs w:val="21"/>
              </w:rPr>
              <w:t>无日常巡查记录扣1分；未对发现的隐患及时整改和上报，每项扣0.5分，最多扣1分。</w:t>
            </w:r>
          </w:p>
        </w:tc>
        <w:tc>
          <w:tcPr>
            <w:tcW w:w="457" w:type="dxa"/>
            <w:tcBorders>
              <w:top w:val="single" w:color="auto" w:sz="4" w:space="0"/>
              <w:left w:val="single" w:color="auto" w:sz="4" w:space="0"/>
              <w:bottom w:val="single" w:color="auto" w:sz="4" w:space="0"/>
              <w:right w:val="single" w:color="auto" w:sz="4" w:space="0"/>
            </w:tcBorders>
          </w:tcPr>
          <w:p w14:paraId="7E0CEEBC">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512F9157">
            <w:pPr>
              <w:widowControl/>
              <w:rPr>
                <w:rFonts w:hint="eastAsia" w:ascii="仿宋" w:hAnsi="仿宋" w:eastAsia="仿宋" w:cs="仿宋_GB2312"/>
              </w:rPr>
            </w:pPr>
          </w:p>
        </w:tc>
      </w:tr>
      <w:tr w14:paraId="7BD8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474" w:type="dxa"/>
            <w:gridSpan w:val="8"/>
            <w:tcBorders>
              <w:top w:val="single" w:color="auto" w:sz="4" w:space="0"/>
              <w:left w:val="single" w:color="auto" w:sz="4" w:space="0"/>
              <w:bottom w:val="single" w:color="auto" w:sz="4" w:space="0"/>
              <w:right w:val="single" w:color="auto" w:sz="4" w:space="0"/>
            </w:tcBorders>
            <w:shd w:val="clear" w:color="auto" w:fill="A5A5A5"/>
            <w:vAlign w:val="center"/>
          </w:tcPr>
          <w:p w14:paraId="57BCAA27">
            <w:pPr>
              <w:widowControl/>
              <w:jc w:val="center"/>
              <w:rPr>
                <w:rFonts w:hint="eastAsia" w:ascii="仿宋" w:hAnsi="仿宋" w:eastAsia="仿宋" w:cs="仿宋_GB2312"/>
                <w:kern w:val="0"/>
              </w:rPr>
            </w:pPr>
            <w:r>
              <w:rPr>
                <w:rFonts w:hint="eastAsia" w:ascii="仿宋" w:hAnsi="仿宋" w:eastAsia="仿宋" w:cs="仿宋_GB2312"/>
                <w:b/>
                <w:kern w:val="0"/>
                <w:sz w:val="28"/>
                <w:szCs w:val="28"/>
              </w:rPr>
              <w:t>对物业管理区域内其他安全管理事项的督促检查（52分）</w:t>
            </w:r>
          </w:p>
        </w:tc>
      </w:tr>
      <w:tr w14:paraId="3C4A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3B51721B">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18</w:t>
            </w:r>
          </w:p>
        </w:tc>
        <w:tc>
          <w:tcPr>
            <w:tcW w:w="1428" w:type="dxa"/>
            <w:tcBorders>
              <w:top w:val="single" w:color="auto" w:sz="4" w:space="0"/>
              <w:left w:val="single" w:color="auto" w:sz="4" w:space="0"/>
              <w:bottom w:val="single" w:color="auto" w:sz="4" w:space="0"/>
              <w:right w:val="single" w:color="auto" w:sz="4" w:space="0"/>
            </w:tcBorders>
            <w:vAlign w:val="center"/>
          </w:tcPr>
          <w:p w14:paraId="3E933AAB">
            <w:pPr>
              <w:pStyle w:val="6"/>
              <w:rPr>
                <w:rFonts w:hint="eastAsia" w:ascii="仿宋" w:hAnsi="仿宋" w:eastAsia="仿宋" w:cs="仿宋_GB2312"/>
                <w:sz w:val="21"/>
                <w:szCs w:val="21"/>
              </w:rPr>
            </w:pPr>
            <w:r>
              <w:rPr>
                <w:rFonts w:hint="eastAsia" w:ascii="仿宋" w:hAnsi="仿宋" w:eastAsia="仿宋" w:cs="仿宋_GB2312"/>
                <w:sz w:val="21"/>
                <w:szCs w:val="21"/>
              </w:rPr>
              <w:t>消防安全管理</w:t>
            </w:r>
          </w:p>
          <w:p w14:paraId="313E8930">
            <w:pPr>
              <w:pStyle w:val="6"/>
              <w:rPr>
                <w:rFonts w:hint="eastAsia" w:ascii="仿宋" w:hAnsi="仿宋" w:eastAsia="仿宋" w:cs="仿宋_GB2312"/>
                <w:sz w:val="21"/>
                <w:szCs w:val="21"/>
              </w:rPr>
            </w:pPr>
            <w:r>
              <w:rPr>
                <w:rFonts w:hint="eastAsia" w:ascii="仿宋" w:hAnsi="仿宋" w:eastAsia="仿宋" w:cs="仿宋_GB2312"/>
                <w:sz w:val="21"/>
                <w:szCs w:val="21"/>
              </w:rPr>
              <w:t>（4分）</w:t>
            </w:r>
          </w:p>
        </w:tc>
        <w:tc>
          <w:tcPr>
            <w:tcW w:w="4721" w:type="dxa"/>
            <w:tcBorders>
              <w:top w:val="single" w:color="auto" w:sz="4" w:space="0"/>
              <w:left w:val="single" w:color="auto" w:sz="4" w:space="0"/>
              <w:bottom w:val="single" w:color="auto" w:sz="4" w:space="0"/>
              <w:right w:val="single" w:color="auto" w:sz="4" w:space="0"/>
            </w:tcBorders>
            <w:vAlign w:val="center"/>
          </w:tcPr>
          <w:p w14:paraId="4721D2D3">
            <w:pPr>
              <w:pStyle w:val="6"/>
              <w:rPr>
                <w:rFonts w:hint="eastAsia" w:ascii="仿宋" w:hAnsi="仿宋" w:eastAsia="仿宋" w:cs="仿宋_GB2312"/>
                <w:sz w:val="21"/>
                <w:szCs w:val="21"/>
              </w:rPr>
            </w:pPr>
            <w:r>
              <w:rPr>
                <w:rFonts w:hint="eastAsia" w:ascii="仿宋" w:hAnsi="仿宋" w:eastAsia="仿宋" w:cs="仿宋_GB2312"/>
                <w:sz w:val="21"/>
                <w:szCs w:val="21"/>
              </w:rPr>
              <w:t>是否遵守消防安全有关法律法规，配合消防救援机构履行以下职责：（1）落实消防安全责任制，制定本单位消防安全制度，明确消防安全主体责任；定期对本单位消防安全管理人的岗位履职能力进行考核评价，并将消防安全责任人、管理人和场所消防安全条件进行公示，接受社会监督；（2）定期开展防火巡查，（缺少维护记录），消除火灾隐患；发现消防违法行为的，及时采取合理措施制止并报告消防机构或者公安派出所；（3）对职工进行消防安全宣传教育，有针对性地组织消防演练。</w:t>
            </w:r>
          </w:p>
        </w:tc>
        <w:tc>
          <w:tcPr>
            <w:tcW w:w="1075" w:type="dxa"/>
            <w:tcBorders>
              <w:top w:val="single" w:color="auto" w:sz="4" w:space="0"/>
              <w:left w:val="single" w:color="auto" w:sz="4" w:space="0"/>
              <w:bottom w:val="single" w:color="auto" w:sz="4" w:space="0"/>
              <w:right w:val="single" w:color="auto" w:sz="4" w:space="0"/>
            </w:tcBorders>
            <w:vAlign w:val="center"/>
          </w:tcPr>
          <w:p w14:paraId="77A1C111">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13788FE8">
            <w:pPr>
              <w:pStyle w:val="6"/>
              <w:rPr>
                <w:rFonts w:hint="eastAsia" w:ascii="仿宋" w:hAnsi="仿宋" w:eastAsia="仿宋" w:cs="仿宋_GB2312"/>
                <w:sz w:val="21"/>
                <w:szCs w:val="21"/>
              </w:rPr>
            </w:pPr>
            <w:r>
              <w:rPr>
                <w:rFonts w:hint="eastAsia" w:ascii="仿宋" w:hAnsi="仿宋" w:eastAsia="仿宋" w:cs="仿宋_GB2312"/>
                <w:sz w:val="21"/>
                <w:szCs w:val="21"/>
              </w:rPr>
              <w:t>《高层民用建筑消防安全管理规定》第七条、第八条、第三十四条、第三十五条、第四十一条；《深圳经济特区消防条例》第十三条、第十五条；《广东省消防工作若干规定》第十一条</w:t>
            </w:r>
          </w:p>
        </w:tc>
        <w:tc>
          <w:tcPr>
            <w:tcW w:w="3635" w:type="dxa"/>
            <w:tcBorders>
              <w:top w:val="single" w:color="auto" w:sz="4" w:space="0"/>
              <w:left w:val="single" w:color="auto" w:sz="4" w:space="0"/>
              <w:bottom w:val="single" w:color="auto" w:sz="4" w:space="0"/>
              <w:right w:val="single" w:color="auto" w:sz="4" w:space="0"/>
            </w:tcBorders>
            <w:vAlign w:val="center"/>
          </w:tcPr>
          <w:p w14:paraId="13356BF5">
            <w:pPr>
              <w:pStyle w:val="6"/>
              <w:rPr>
                <w:rFonts w:hint="eastAsia" w:ascii="仿宋" w:hAnsi="仿宋" w:eastAsia="仿宋" w:cs="仿宋_GB2312"/>
                <w:sz w:val="21"/>
                <w:szCs w:val="21"/>
              </w:rPr>
            </w:pPr>
            <w:r>
              <w:rPr>
                <w:rFonts w:hint="eastAsia" w:ascii="仿宋" w:hAnsi="仿宋" w:eastAsia="仿宋" w:cs="仿宋_GB2312"/>
                <w:sz w:val="21"/>
                <w:szCs w:val="21"/>
              </w:rPr>
              <w:t>未建立消防安全责任制，扣1分；无消防设施日常检查记录，或记录不完善，扣1分；无消防演练记录扣1分；未公示责任人等，扣1分。</w:t>
            </w:r>
          </w:p>
        </w:tc>
        <w:tc>
          <w:tcPr>
            <w:tcW w:w="457" w:type="dxa"/>
            <w:tcBorders>
              <w:top w:val="single" w:color="auto" w:sz="4" w:space="0"/>
              <w:left w:val="single" w:color="auto" w:sz="4" w:space="0"/>
              <w:bottom w:val="single" w:color="auto" w:sz="4" w:space="0"/>
              <w:right w:val="single" w:color="auto" w:sz="4" w:space="0"/>
            </w:tcBorders>
          </w:tcPr>
          <w:p w14:paraId="037B6415">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2FBB3772">
            <w:pPr>
              <w:widowControl/>
              <w:rPr>
                <w:rFonts w:hint="eastAsia" w:ascii="仿宋" w:hAnsi="仿宋" w:eastAsia="仿宋" w:cs="仿宋_GB2312"/>
              </w:rPr>
            </w:pPr>
          </w:p>
        </w:tc>
      </w:tr>
      <w:tr w14:paraId="4545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5"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2031FAFD">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19</w:t>
            </w:r>
          </w:p>
        </w:tc>
        <w:tc>
          <w:tcPr>
            <w:tcW w:w="1428" w:type="dxa"/>
            <w:tcBorders>
              <w:top w:val="single" w:color="auto" w:sz="4" w:space="0"/>
              <w:left w:val="single" w:color="auto" w:sz="4" w:space="0"/>
              <w:bottom w:val="single" w:color="auto" w:sz="4" w:space="0"/>
              <w:right w:val="single" w:color="auto" w:sz="4" w:space="0"/>
            </w:tcBorders>
            <w:vAlign w:val="center"/>
          </w:tcPr>
          <w:p w14:paraId="3876711C">
            <w:pPr>
              <w:pStyle w:val="6"/>
              <w:rPr>
                <w:rFonts w:hint="eastAsia" w:ascii="仿宋" w:hAnsi="仿宋" w:eastAsia="仿宋" w:cs="仿宋_GB2312"/>
                <w:sz w:val="21"/>
                <w:szCs w:val="21"/>
              </w:rPr>
            </w:pPr>
            <w:r>
              <w:rPr>
                <w:rFonts w:hint="eastAsia" w:ascii="仿宋" w:hAnsi="仿宋" w:eastAsia="仿宋" w:cs="仿宋_GB2312"/>
                <w:sz w:val="21"/>
                <w:szCs w:val="21"/>
              </w:rPr>
              <w:t>消防安全管理</w:t>
            </w:r>
          </w:p>
          <w:p w14:paraId="32DE17AA">
            <w:pPr>
              <w:pStyle w:val="6"/>
              <w:rPr>
                <w:rFonts w:hint="eastAsia" w:ascii="仿宋" w:hAnsi="仿宋" w:eastAsia="仿宋" w:cs="仿宋_GB2312"/>
                <w:sz w:val="21"/>
                <w:szCs w:val="21"/>
              </w:rPr>
            </w:pPr>
            <w:r>
              <w:rPr>
                <w:rFonts w:hint="eastAsia" w:ascii="仿宋" w:hAnsi="仿宋" w:eastAsia="仿宋" w:cs="仿宋_GB2312"/>
                <w:sz w:val="21"/>
                <w:szCs w:val="21"/>
              </w:rPr>
              <w:t>（6分）</w:t>
            </w:r>
          </w:p>
        </w:tc>
        <w:tc>
          <w:tcPr>
            <w:tcW w:w="4721" w:type="dxa"/>
            <w:tcBorders>
              <w:top w:val="single" w:color="auto" w:sz="4" w:space="0"/>
              <w:left w:val="single" w:color="auto" w:sz="4" w:space="0"/>
              <w:bottom w:val="single" w:color="auto" w:sz="4" w:space="0"/>
              <w:right w:val="single" w:color="auto" w:sz="4" w:space="0"/>
            </w:tcBorders>
            <w:vAlign w:val="center"/>
          </w:tcPr>
          <w:p w14:paraId="0D3E9C18">
            <w:pPr>
              <w:pStyle w:val="6"/>
              <w:rPr>
                <w:rFonts w:hint="eastAsia" w:ascii="仿宋" w:hAnsi="仿宋" w:eastAsia="仿宋" w:cs="仿宋_GB2312"/>
                <w:sz w:val="21"/>
                <w:szCs w:val="21"/>
              </w:rPr>
            </w:pPr>
            <w:r>
              <w:rPr>
                <w:rFonts w:hint="eastAsia" w:ascii="仿宋" w:hAnsi="仿宋" w:eastAsia="仿宋" w:cs="仿宋_GB2312"/>
                <w:sz w:val="21"/>
                <w:szCs w:val="21"/>
              </w:rPr>
              <w:t>是否遵守消防安全有关法律法规，配合消防救援机构履行以下职责：（1）管理、维护物业管理区域内的公共消防设施；（2）保障消防器材及消防安全标志完好有效。（3）保障公共疏散通道、安全出口、消防车道畅通，施划黄色禁止停车标线，清理消防车通道上可移动障碍物。（4）划设消防车通道标志标线和消防车登高操作场地，设置警示牌，并定期维护，确保鲜明醒目。（5）消防控制室应当按照规定实行24小时值班制度，每班不少于2人，值班人员应当持有消防控制室操作职业资格证书。（缺现场整齐有序无杂物乱堆放）（6）物业服务企业与业主方应当在物业服务合同中明确共用消防设施、设备维护保养责任。(7)超高层公共建筑建设专职消防队、志愿消防队或者微型消防站，并为消防队员购买人身意外伤害保险。（8）是否定期对广告牌、灯箱开展检查，落实消防安全要求；（9）高层建筑是否配备配备缓降器、软梯和防毒面具等避难救生设施。（缺少设备房门口无堵塞，设备房干净整洁无杂物；缺楼梯间、走道和安全出口等部位畅通无阻，无擅自封闭、堆放物品、存放自行车等现象，通往顶层安全出口无锁闭现象）</w:t>
            </w:r>
          </w:p>
        </w:tc>
        <w:tc>
          <w:tcPr>
            <w:tcW w:w="1075" w:type="dxa"/>
            <w:tcBorders>
              <w:top w:val="single" w:color="auto" w:sz="4" w:space="0"/>
              <w:left w:val="single" w:color="auto" w:sz="4" w:space="0"/>
              <w:bottom w:val="single" w:color="auto" w:sz="4" w:space="0"/>
              <w:right w:val="single" w:color="auto" w:sz="4" w:space="0"/>
            </w:tcBorders>
            <w:vAlign w:val="center"/>
          </w:tcPr>
          <w:p w14:paraId="35F6F533">
            <w:pPr>
              <w:pStyle w:val="6"/>
              <w:rPr>
                <w:rFonts w:hint="eastAsia" w:ascii="仿宋" w:hAnsi="仿宋" w:eastAsia="仿宋" w:cs="仿宋_GB2312"/>
                <w:sz w:val="21"/>
                <w:szCs w:val="21"/>
              </w:rPr>
            </w:pPr>
            <w:r>
              <w:rPr>
                <w:rFonts w:hint="eastAsia" w:ascii="仿宋" w:hAnsi="仿宋" w:eastAsia="仿宋" w:cs="仿宋_GB2312"/>
                <w:sz w:val="21"/>
                <w:szCs w:val="21"/>
              </w:rPr>
              <w:t>现场检查</w:t>
            </w:r>
          </w:p>
        </w:tc>
        <w:tc>
          <w:tcPr>
            <w:tcW w:w="2924" w:type="dxa"/>
            <w:tcBorders>
              <w:top w:val="single" w:color="auto" w:sz="4" w:space="0"/>
              <w:left w:val="single" w:color="auto" w:sz="4" w:space="0"/>
              <w:bottom w:val="single" w:color="auto" w:sz="4" w:space="0"/>
              <w:right w:val="single" w:color="auto" w:sz="4" w:space="0"/>
            </w:tcBorders>
            <w:vAlign w:val="center"/>
          </w:tcPr>
          <w:p w14:paraId="5E296D02">
            <w:pPr>
              <w:pStyle w:val="6"/>
              <w:rPr>
                <w:rFonts w:hint="eastAsia" w:ascii="仿宋" w:hAnsi="仿宋" w:eastAsia="仿宋" w:cs="仿宋_GB2312"/>
                <w:sz w:val="21"/>
                <w:szCs w:val="21"/>
              </w:rPr>
            </w:pPr>
            <w:r>
              <w:rPr>
                <w:rFonts w:hint="eastAsia" w:ascii="仿宋" w:hAnsi="仿宋" w:eastAsia="仿宋" w:cs="仿宋_GB2312"/>
                <w:sz w:val="21"/>
                <w:szCs w:val="21"/>
              </w:rPr>
              <w:t>《高层民用建筑消防安全管理规定》第十五条、第十六条、第二十条、第二十二条、第二十五条、第二十六条、第二十七条、第二十八条、第二十九条、第三十条、第三十一条、第三十二条；《深圳经济特区消防条例》第十五条、《广东省消防工作若干规定》第十一条、 第十六条、第十七条、第二十三条、第二十五条、第三十三条、第三十四条、</w:t>
            </w:r>
          </w:p>
        </w:tc>
        <w:tc>
          <w:tcPr>
            <w:tcW w:w="3635" w:type="dxa"/>
            <w:tcBorders>
              <w:top w:val="single" w:color="auto" w:sz="4" w:space="0"/>
              <w:left w:val="single" w:color="auto" w:sz="4" w:space="0"/>
              <w:bottom w:val="single" w:color="auto" w:sz="4" w:space="0"/>
              <w:right w:val="single" w:color="auto" w:sz="4" w:space="0"/>
            </w:tcBorders>
            <w:vAlign w:val="center"/>
          </w:tcPr>
          <w:p w14:paraId="7647CA81">
            <w:pPr>
              <w:pStyle w:val="6"/>
              <w:rPr>
                <w:rFonts w:hint="eastAsia" w:ascii="仿宋" w:hAnsi="仿宋" w:eastAsia="仿宋" w:cs="仿宋_GB2312"/>
                <w:sz w:val="21"/>
                <w:szCs w:val="21"/>
              </w:rPr>
            </w:pPr>
            <w:r>
              <w:rPr>
                <w:rFonts w:hint="eastAsia" w:ascii="仿宋" w:hAnsi="仿宋" w:eastAsia="仿宋" w:cs="仿宋_GB2312"/>
                <w:sz w:val="21"/>
                <w:szCs w:val="21"/>
              </w:rPr>
              <w:t>消防设施、消防标识、消防通道、疏散指示标识、应急灯、安全出口、消防车通道标志标线等不合规范要求，每发现一项隐患，扣0.5分，最多扣5分；未持证上岗，每少一个扣0.5分，最多扣1分。</w:t>
            </w:r>
          </w:p>
        </w:tc>
        <w:tc>
          <w:tcPr>
            <w:tcW w:w="457" w:type="dxa"/>
            <w:tcBorders>
              <w:top w:val="single" w:color="auto" w:sz="4" w:space="0"/>
              <w:left w:val="single" w:color="auto" w:sz="4" w:space="0"/>
              <w:bottom w:val="single" w:color="auto" w:sz="4" w:space="0"/>
              <w:right w:val="single" w:color="auto" w:sz="4" w:space="0"/>
            </w:tcBorders>
          </w:tcPr>
          <w:p w14:paraId="3B309C77">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52EF66C2">
            <w:pPr>
              <w:widowControl/>
              <w:rPr>
                <w:rFonts w:hint="eastAsia" w:ascii="仿宋" w:hAnsi="仿宋" w:eastAsia="仿宋" w:cs="仿宋_GB2312"/>
              </w:rPr>
            </w:pPr>
          </w:p>
        </w:tc>
      </w:tr>
      <w:tr w14:paraId="5430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0"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2955DEF4">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20</w:t>
            </w:r>
          </w:p>
        </w:tc>
        <w:tc>
          <w:tcPr>
            <w:tcW w:w="1428" w:type="dxa"/>
            <w:tcBorders>
              <w:top w:val="single" w:color="auto" w:sz="4" w:space="0"/>
              <w:left w:val="single" w:color="auto" w:sz="4" w:space="0"/>
              <w:bottom w:val="single" w:color="auto" w:sz="4" w:space="0"/>
              <w:right w:val="single" w:color="auto" w:sz="4" w:space="0"/>
            </w:tcBorders>
            <w:vAlign w:val="center"/>
          </w:tcPr>
          <w:p w14:paraId="5E56F295">
            <w:pPr>
              <w:pStyle w:val="6"/>
              <w:rPr>
                <w:rFonts w:hint="eastAsia" w:ascii="仿宋" w:hAnsi="仿宋" w:eastAsia="仿宋" w:cs="仿宋_GB2312"/>
                <w:sz w:val="21"/>
                <w:szCs w:val="21"/>
              </w:rPr>
            </w:pPr>
            <w:r>
              <w:rPr>
                <w:rFonts w:hint="eastAsia" w:ascii="仿宋" w:hAnsi="仿宋" w:eastAsia="仿宋" w:cs="仿宋_GB2312"/>
                <w:sz w:val="21"/>
                <w:szCs w:val="21"/>
              </w:rPr>
              <w:t>电梯安全管理</w:t>
            </w:r>
          </w:p>
          <w:p w14:paraId="48A523F5">
            <w:pPr>
              <w:pStyle w:val="6"/>
              <w:rPr>
                <w:rFonts w:hint="eastAsia" w:ascii="仿宋" w:hAnsi="仿宋" w:eastAsia="仿宋" w:cs="仿宋_GB2312"/>
                <w:sz w:val="21"/>
                <w:szCs w:val="21"/>
              </w:rPr>
            </w:pPr>
            <w:r>
              <w:rPr>
                <w:rFonts w:hint="eastAsia" w:ascii="仿宋" w:hAnsi="仿宋" w:eastAsia="仿宋" w:cs="仿宋_GB2312"/>
                <w:sz w:val="21"/>
                <w:szCs w:val="21"/>
              </w:rPr>
              <w:t>（6分）</w:t>
            </w:r>
          </w:p>
        </w:tc>
        <w:tc>
          <w:tcPr>
            <w:tcW w:w="4721" w:type="dxa"/>
            <w:tcBorders>
              <w:top w:val="single" w:color="auto" w:sz="4" w:space="0"/>
              <w:left w:val="single" w:color="auto" w:sz="4" w:space="0"/>
              <w:bottom w:val="single" w:color="auto" w:sz="4" w:space="0"/>
              <w:right w:val="single" w:color="auto" w:sz="4" w:space="0"/>
            </w:tcBorders>
            <w:vAlign w:val="center"/>
          </w:tcPr>
          <w:p w14:paraId="02614214">
            <w:pPr>
              <w:pStyle w:val="6"/>
              <w:rPr>
                <w:rFonts w:hint="eastAsia" w:ascii="仿宋" w:hAnsi="仿宋" w:eastAsia="仿宋" w:cs="仿宋_GB2312"/>
                <w:sz w:val="21"/>
                <w:szCs w:val="21"/>
              </w:rPr>
            </w:pPr>
            <w:r>
              <w:rPr>
                <w:rFonts w:hint="eastAsia" w:ascii="仿宋" w:hAnsi="仿宋" w:eastAsia="仿宋" w:cs="仿宋_GB2312"/>
                <w:sz w:val="21"/>
                <w:szCs w:val="21"/>
              </w:rPr>
              <w:t>是否遵守特种设备有关法律法规，配合市场监督部门履行以下职责：（1）建立并落实电梯的维护保养和定期自行检查制度；（2）委托依法取得许可的单位对电梯进行维护和保养；（3）指定电梯安全管理人员管理电梯，并由其管理和使用专用钥匙，相关操作人员持有特种设备作业人员证书；（4）将维护保养标志、安全提示、警示标志以及服务、投诉电话公示于电梯显著位置;（5）安装电梯应急呼救系统并保障有效使用（缺少年检）。</w:t>
            </w:r>
          </w:p>
        </w:tc>
        <w:tc>
          <w:tcPr>
            <w:tcW w:w="1075" w:type="dxa"/>
            <w:tcBorders>
              <w:top w:val="single" w:color="auto" w:sz="4" w:space="0"/>
              <w:left w:val="single" w:color="auto" w:sz="4" w:space="0"/>
              <w:bottom w:val="single" w:color="auto" w:sz="4" w:space="0"/>
              <w:right w:val="single" w:color="auto" w:sz="4" w:space="0"/>
            </w:tcBorders>
            <w:vAlign w:val="center"/>
          </w:tcPr>
          <w:p w14:paraId="6830A519">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2D3A93E4">
            <w:pPr>
              <w:pStyle w:val="6"/>
              <w:rPr>
                <w:rFonts w:hint="eastAsia" w:ascii="仿宋" w:hAnsi="仿宋" w:eastAsia="仿宋" w:cs="仿宋_GB2312"/>
                <w:sz w:val="21"/>
                <w:szCs w:val="21"/>
              </w:rPr>
            </w:pPr>
            <w:r>
              <w:rPr>
                <w:rFonts w:hint="eastAsia" w:ascii="仿宋" w:hAnsi="仿宋" w:eastAsia="仿宋" w:cs="仿宋_GB2312"/>
                <w:sz w:val="21"/>
                <w:szCs w:val="21"/>
              </w:rPr>
              <w:t>《深圳经济特区特种设备安全条例》第十九条、第二十条、第二十四条、第三十四条。</w:t>
            </w:r>
          </w:p>
        </w:tc>
        <w:tc>
          <w:tcPr>
            <w:tcW w:w="3635" w:type="dxa"/>
            <w:tcBorders>
              <w:top w:val="single" w:color="auto" w:sz="4" w:space="0"/>
              <w:left w:val="single" w:color="auto" w:sz="4" w:space="0"/>
              <w:bottom w:val="single" w:color="auto" w:sz="4" w:space="0"/>
              <w:right w:val="single" w:color="auto" w:sz="4" w:space="0"/>
            </w:tcBorders>
            <w:vAlign w:val="center"/>
          </w:tcPr>
          <w:p w14:paraId="3B485A36">
            <w:pPr>
              <w:pStyle w:val="6"/>
              <w:rPr>
                <w:rFonts w:hint="eastAsia" w:ascii="仿宋" w:hAnsi="仿宋" w:eastAsia="仿宋" w:cs="仿宋_GB2312"/>
                <w:sz w:val="21"/>
                <w:szCs w:val="21"/>
              </w:rPr>
            </w:pPr>
            <w:r>
              <w:rPr>
                <w:rFonts w:hint="eastAsia" w:ascii="仿宋" w:hAnsi="仿宋" w:eastAsia="仿宋" w:cs="仿宋_GB2312"/>
                <w:sz w:val="21"/>
                <w:szCs w:val="21"/>
              </w:rPr>
              <w:t>未建立电梯管理制度扣1分；未按规定委托取得许可单位进行维保，扣0.5分；未指定专人管理电梯扣0.5分；操作人员未持证扣1分；电梯相关标识不清晰、不完整，每发现一处扣0.5分，最多扣1分；电梯应急呼救系统故障或电梯其他故障未及时处理，发现一处扣0.5分，最多扣2分。</w:t>
            </w:r>
          </w:p>
        </w:tc>
        <w:tc>
          <w:tcPr>
            <w:tcW w:w="457" w:type="dxa"/>
            <w:tcBorders>
              <w:top w:val="single" w:color="auto" w:sz="4" w:space="0"/>
              <w:left w:val="single" w:color="auto" w:sz="4" w:space="0"/>
              <w:bottom w:val="single" w:color="auto" w:sz="4" w:space="0"/>
              <w:right w:val="single" w:color="auto" w:sz="4" w:space="0"/>
            </w:tcBorders>
          </w:tcPr>
          <w:p w14:paraId="61B98EED">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26ACF49D">
            <w:pPr>
              <w:widowControl/>
              <w:rPr>
                <w:rFonts w:hint="eastAsia" w:ascii="仿宋" w:hAnsi="仿宋" w:eastAsia="仿宋" w:cs="仿宋_GB2312"/>
              </w:rPr>
            </w:pPr>
          </w:p>
        </w:tc>
      </w:tr>
      <w:tr w14:paraId="4C40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7441FD53">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21</w:t>
            </w:r>
          </w:p>
        </w:tc>
        <w:tc>
          <w:tcPr>
            <w:tcW w:w="1428" w:type="dxa"/>
            <w:tcBorders>
              <w:top w:val="single" w:color="auto" w:sz="4" w:space="0"/>
              <w:left w:val="single" w:color="auto" w:sz="4" w:space="0"/>
              <w:bottom w:val="single" w:color="auto" w:sz="4" w:space="0"/>
              <w:right w:val="single" w:color="auto" w:sz="4" w:space="0"/>
            </w:tcBorders>
            <w:vAlign w:val="center"/>
          </w:tcPr>
          <w:p w14:paraId="22A0511D">
            <w:pPr>
              <w:pStyle w:val="6"/>
              <w:rPr>
                <w:rFonts w:hint="eastAsia" w:ascii="仿宋" w:hAnsi="仿宋" w:eastAsia="仿宋" w:cs="仿宋_GB2312"/>
                <w:sz w:val="21"/>
                <w:szCs w:val="21"/>
              </w:rPr>
            </w:pPr>
            <w:r>
              <w:rPr>
                <w:rFonts w:hint="eastAsia" w:ascii="仿宋" w:hAnsi="仿宋" w:eastAsia="仿宋" w:cs="仿宋_GB2312"/>
                <w:sz w:val="21"/>
                <w:szCs w:val="21"/>
              </w:rPr>
              <w:t>特种作业安全管理（3分）</w:t>
            </w:r>
          </w:p>
        </w:tc>
        <w:tc>
          <w:tcPr>
            <w:tcW w:w="4721" w:type="dxa"/>
            <w:tcBorders>
              <w:top w:val="single" w:color="auto" w:sz="4" w:space="0"/>
              <w:left w:val="single" w:color="auto" w:sz="4" w:space="0"/>
              <w:bottom w:val="single" w:color="auto" w:sz="4" w:space="0"/>
              <w:right w:val="single" w:color="auto" w:sz="4" w:space="0"/>
            </w:tcBorders>
            <w:vAlign w:val="center"/>
          </w:tcPr>
          <w:p w14:paraId="7B549807">
            <w:pPr>
              <w:pStyle w:val="6"/>
              <w:rPr>
                <w:rFonts w:hint="eastAsia" w:ascii="仿宋" w:hAnsi="仿宋" w:eastAsia="仿宋" w:cs="仿宋_GB2312"/>
                <w:sz w:val="21"/>
                <w:szCs w:val="21"/>
              </w:rPr>
            </w:pPr>
            <w:r>
              <w:rPr>
                <w:rFonts w:hint="eastAsia" w:ascii="仿宋" w:hAnsi="仿宋" w:eastAsia="仿宋" w:cs="仿宋_GB2312"/>
                <w:sz w:val="21"/>
                <w:szCs w:val="21"/>
              </w:rPr>
              <w:t>是否遵守特种作业有关规定，配合应急部门履行以下职责：（1）特种作业人员经专门的安全作业培训，取得相应资格；（2）制定特种作业安全操作规程和安全管理制度；（3）为作业人员提供符合标准的劳动防护用品和安全作业条件；（4）建立本单位特种作业人员档案，做好特种作业人员培训教育工作。</w:t>
            </w:r>
          </w:p>
          <w:p w14:paraId="77594438">
            <w:pPr>
              <w:pStyle w:val="6"/>
              <w:rPr>
                <w:rFonts w:hint="eastAsia" w:ascii="仿宋" w:hAnsi="仿宋" w:eastAsia="仿宋" w:cs="仿宋_GB2312"/>
                <w:sz w:val="21"/>
                <w:szCs w:val="21"/>
              </w:rPr>
            </w:pPr>
          </w:p>
        </w:tc>
        <w:tc>
          <w:tcPr>
            <w:tcW w:w="1075" w:type="dxa"/>
            <w:tcBorders>
              <w:top w:val="single" w:color="auto" w:sz="4" w:space="0"/>
              <w:left w:val="single" w:color="auto" w:sz="4" w:space="0"/>
              <w:bottom w:val="single" w:color="auto" w:sz="4" w:space="0"/>
              <w:right w:val="single" w:color="auto" w:sz="4" w:space="0"/>
            </w:tcBorders>
            <w:vAlign w:val="center"/>
          </w:tcPr>
          <w:p w14:paraId="369B05F7">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7440A4AD">
            <w:pPr>
              <w:pStyle w:val="6"/>
              <w:rPr>
                <w:rFonts w:hint="eastAsia" w:ascii="仿宋" w:hAnsi="仿宋" w:eastAsia="仿宋" w:cs="仿宋_GB2312"/>
                <w:sz w:val="21"/>
                <w:szCs w:val="21"/>
              </w:rPr>
            </w:pPr>
            <w:r>
              <w:rPr>
                <w:rFonts w:hint="eastAsia" w:ascii="仿宋" w:hAnsi="仿宋" w:eastAsia="仿宋" w:cs="仿宋_GB2312"/>
                <w:sz w:val="21"/>
                <w:szCs w:val="21"/>
              </w:rPr>
              <w:t>《安全生产法》(2021年修正）第三十条、第九十七条；《特种作业人员安全技术培训考核管理规定》第三十四条、第三十六条、第四十条、第四十一条；《生产经营单位安全培训规定》第三十条。</w:t>
            </w:r>
          </w:p>
        </w:tc>
        <w:tc>
          <w:tcPr>
            <w:tcW w:w="3635" w:type="dxa"/>
            <w:tcBorders>
              <w:top w:val="single" w:color="auto" w:sz="4" w:space="0"/>
              <w:left w:val="single" w:color="auto" w:sz="4" w:space="0"/>
              <w:bottom w:val="single" w:color="auto" w:sz="4" w:space="0"/>
              <w:right w:val="single" w:color="auto" w:sz="4" w:space="0"/>
            </w:tcBorders>
            <w:vAlign w:val="center"/>
          </w:tcPr>
          <w:p w14:paraId="6EFA79C8">
            <w:pPr>
              <w:pStyle w:val="6"/>
              <w:rPr>
                <w:rFonts w:hint="eastAsia" w:ascii="仿宋" w:hAnsi="仿宋" w:eastAsia="仿宋" w:cs="仿宋_GB2312"/>
                <w:sz w:val="21"/>
                <w:szCs w:val="21"/>
              </w:rPr>
            </w:pPr>
            <w:r>
              <w:rPr>
                <w:rFonts w:hint="eastAsia" w:ascii="仿宋" w:hAnsi="仿宋" w:eastAsia="仿宋" w:cs="仿宋_GB2312"/>
                <w:sz w:val="21"/>
                <w:szCs w:val="21"/>
              </w:rPr>
              <w:t>特种作业人员无上岗证，扣1分；无特种作业管理制度及操作规程扣1分；特种作业人员培训教育记录不完善扣1分。</w:t>
            </w:r>
          </w:p>
        </w:tc>
        <w:tc>
          <w:tcPr>
            <w:tcW w:w="457" w:type="dxa"/>
            <w:tcBorders>
              <w:top w:val="single" w:color="auto" w:sz="4" w:space="0"/>
              <w:left w:val="single" w:color="auto" w:sz="4" w:space="0"/>
              <w:bottom w:val="single" w:color="auto" w:sz="4" w:space="0"/>
              <w:right w:val="single" w:color="auto" w:sz="4" w:space="0"/>
            </w:tcBorders>
          </w:tcPr>
          <w:p w14:paraId="1A1ECE17">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2AD51981">
            <w:pPr>
              <w:widowControl/>
              <w:rPr>
                <w:rFonts w:hint="eastAsia" w:ascii="仿宋" w:hAnsi="仿宋" w:eastAsia="仿宋" w:cs="仿宋_GB2312"/>
              </w:rPr>
            </w:pPr>
          </w:p>
        </w:tc>
      </w:tr>
      <w:tr w14:paraId="05EF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4"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56D154D0">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22</w:t>
            </w:r>
          </w:p>
        </w:tc>
        <w:tc>
          <w:tcPr>
            <w:tcW w:w="1428" w:type="dxa"/>
            <w:tcBorders>
              <w:top w:val="single" w:color="auto" w:sz="4" w:space="0"/>
              <w:left w:val="single" w:color="auto" w:sz="4" w:space="0"/>
              <w:bottom w:val="single" w:color="auto" w:sz="4" w:space="0"/>
              <w:right w:val="single" w:color="auto" w:sz="4" w:space="0"/>
            </w:tcBorders>
            <w:vAlign w:val="center"/>
          </w:tcPr>
          <w:p w14:paraId="37AF9F0E">
            <w:pPr>
              <w:pStyle w:val="6"/>
              <w:rPr>
                <w:rFonts w:hint="eastAsia" w:ascii="仿宋" w:hAnsi="仿宋" w:eastAsia="仿宋" w:cs="仿宋_GB2312"/>
                <w:sz w:val="21"/>
                <w:szCs w:val="21"/>
              </w:rPr>
            </w:pPr>
            <w:r>
              <w:rPr>
                <w:rFonts w:hint="eastAsia" w:ascii="仿宋" w:hAnsi="仿宋" w:eastAsia="仿宋" w:cs="仿宋_GB2312"/>
                <w:sz w:val="21"/>
                <w:szCs w:val="21"/>
              </w:rPr>
              <w:t>有限空间作业安全管理(5分)</w:t>
            </w:r>
          </w:p>
        </w:tc>
        <w:tc>
          <w:tcPr>
            <w:tcW w:w="4721" w:type="dxa"/>
            <w:tcBorders>
              <w:top w:val="single" w:color="auto" w:sz="4" w:space="0"/>
              <w:left w:val="single" w:color="auto" w:sz="4" w:space="0"/>
              <w:bottom w:val="single" w:color="auto" w:sz="4" w:space="0"/>
              <w:right w:val="single" w:color="auto" w:sz="4" w:space="0"/>
            </w:tcBorders>
            <w:vAlign w:val="center"/>
          </w:tcPr>
          <w:p w14:paraId="6775C0B6">
            <w:pPr>
              <w:pStyle w:val="6"/>
              <w:rPr>
                <w:rFonts w:hint="eastAsia" w:ascii="仿宋" w:hAnsi="仿宋" w:eastAsia="仿宋" w:cs="仿宋_GB2312"/>
                <w:sz w:val="21"/>
                <w:szCs w:val="21"/>
              </w:rPr>
            </w:pPr>
            <w:r>
              <w:rPr>
                <w:rFonts w:hint="eastAsia" w:ascii="仿宋" w:hAnsi="仿宋" w:eastAsia="仿宋" w:cs="仿宋_GB2312"/>
                <w:sz w:val="21"/>
                <w:szCs w:val="21"/>
              </w:rPr>
              <w:t>是否遵守有限空间作业有关规定，配合应急部门履行以下职责：（1）建立有限空间管理台账；（2）对作业人员培训教育、为作业人员提供符合国家标准或者行业标准的劳动防护用品，教育监督作业人员正确佩戴与使用；（3）制定有限空间作业方案；（4）制定有限空间作业应急预案；（5）（缺有限空间入口处封堵）设置明显的安全警示标志和警示说明（缺并落实安全责任人）。</w:t>
            </w:r>
          </w:p>
        </w:tc>
        <w:tc>
          <w:tcPr>
            <w:tcW w:w="1075" w:type="dxa"/>
            <w:tcBorders>
              <w:top w:val="single" w:color="auto" w:sz="4" w:space="0"/>
              <w:left w:val="single" w:color="auto" w:sz="4" w:space="0"/>
              <w:bottom w:val="single" w:color="auto" w:sz="4" w:space="0"/>
              <w:right w:val="single" w:color="auto" w:sz="4" w:space="0"/>
            </w:tcBorders>
            <w:vAlign w:val="center"/>
          </w:tcPr>
          <w:p w14:paraId="2B6F0426">
            <w:pPr>
              <w:pStyle w:val="6"/>
              <w:rPr>
                <w:rFonts w:hint="eastAsia" w:ascii="仿宋" w:hAnsi="仿宋" w:eastAsia="仿宋" w:cs="仿宋_GB2312"/>
                <w:sz w:val="21"/>
                <w:szCs w:val="21"/>
              </w:rPr>
            </w:pPr>
            <w:r>
              <w:rPr>
                <w:rFonts w:hint="eastAsia" w:ascii="仿宋" w:hAnsi="仿宋" w:eastAsia="仿宋" w:cs="仿宋_GB2312"/>
                <w:sz w:val="21"/>
                <w:szCs w:val="21"/>
              </w:rPr>
              <w:t>检查台账/现场查看</w:t>
            </w:r>
          </w:p>
        </w:tc>
        <w:tc>
          <w:tcPr>
            <w:tcW w:w="2924" w:type="dxa"/>
            <w:tcBorders>
              <w:top w:val="single" w:color="auto" w:sz="4" w:space="0"/>
              <w:left w:val="single" w:color="auto" w:sz="4" w:space="0"/>
              <w:bottom w:val="single" w:color="auto" w:sz="4" w:space="0"/>
              <w:right w:val="single" w:color="auto" w:sz="4" w:space="0"/>
            </w:tcBorders>
            <w:vAlign w:val="center"/>
          </w:tcPr>
          <w:p w14:paraId="5CFEED36">
            <w:pPr>
              <w:pStyle w:val="6"/>
              <w:rPr>
                <w:rFonts w:hint="eastAsia" w:ascii="仿宋" w:hAnsi="仿宋" w:eastAsia="仿宋" w:cs="仿宋_GB2312"/>
                <w:sz w:val="21"/>
                <w:szCs w:val="21"/>
              </w:rPr>
            </w:pPr>
            <w:r>
              <w:rPr>
                <w:rFonts w:hint="eastAsia" w:ascii="仿宋" w:hAnsi="仿宋" w:eastAsia="仿宋" w:cs="仿宋_GB2312"/>
                <w:sz w:val="21"/>
                <w:szCs w:val="21"/>
              </w:rPr>
              <w:t>《工贸企业有限空间作业安全规定》第八条、第九条、第十条、第十一条、第十四条、第十九条、第二十、第二十一条。</w:t>
            </w:r>
          </w:p>
        </w:tc>
        <w:tc>
          <w:tcPr>
            <w:tcW w:w="3635" w:type="dxa"/>
            <w:tcBorders>
              <w:top w:val="single" w:color="auto" w:sz="4" w:space="0"/>
              <w:left w:val="single" w:color="auto" w:sz="4" w:space="0"/>
              <w:bottom w:val="single" w:color="auto" w:sz="4" w:space="0"/>
              <w:right w:val="single" w:color="auto" w:sz="4" w:space="0"/>
            </w:tcBorders>
            <w:vAlign w:val="center"/>
          </w:tcPr>
          <w:p w14:paraId="3ADF0E6E">
            <w:pPr>
              <w:pStyle w:val="6"/>
              <w:rPr>
                <w:rFonts w:hint="eastAsia" w:ascii="仿宋" w:hAnsi="仿宋" w:eastAsia="仿宋" w:cs="仿宋_GB2312"/>
                <w:sz w:val="21"/>
                <w:szCs w:val="21"/>
              </w:rPr>
            </w:pPr>
            <w:r>
              <w:rPr>
                <w:rFonts w:hint="eastAsia" w:ascii="仿宋" w:hAnsi="仿宋" w:eastAsia="仿宋" w:cs="仿宋_GB2312"/>
                <w:sz w:val="21"/>
                <w:szCs w:val="21"/>
              </w:rPr>
              <w:t>未对管理区域有限空间进行辨识并建立台账，扣1分；无相关制度扣1分；未对人员进行培训扣1分；现场无警示标识，每发现一处扣0.5分，最多扣1分；未制定应急预案扣1分。</w:t>
            </w:r>
          </w:p>
        </w:tc>
        <w:tc>
          <w:tcPr>
            <w:tcW w:w="457" w:type="dxa"/>
            <w:tcBorders>
              <w:top w:val="single" w:color="auto" w:sz="4" w:space="0"/>
              <w:left w:val="single" w:color="auto" w:sz="4" w:space="0"/>
              <w:bottom w:val="single" w:color="auto" w:sz="4" w:space="0"/>
              <w:right w:val="single" w:color="auto" w:sz="4" w:space="0"/>
            </w:tcBorders>
          </w:tcPr>
          <w:p w14:paraId="1A395553">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248B0FF2">
            <w:pPr>
              <w:widowControl/>
              <w:rPr>
                <w:rFonts w:hint="eastAsia" w:ascii="仿宋" w:hAnsi="仿宋" w:eastAsia="仿宋" w:cs="仿宋_GB2312"/>
              </w:rPr>
            </w:pPr>
          </w:p>
        </w:tc>
      </w:tr>
      <w:tr w14:paraId="4404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7" w:type="dxa"/>
            <w:tcBorders>
              <w:top w:val="single" w:color="auto" w:sz="4" w:space="0"/>
              <w:left w:val="single" w:color="auto" w:sz="4" w:space="0"/>
              <w:bottom w:val="single" w:color="auto" w:sz="4" w:space="0"/>
              <w:right w:val="single" w:color="auto" w:sz="4" w:space="0"/>
            </w:tcBorders>
            <w:vAlign w:val="center"/>
          </w:tcPr>
          <w:p w14:paraId="4E0D81C6">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23</w:t>
            </w:r>
          </w:p>
        </w:tc>
        <w:tc>
          <w:tcPr>
            <w:tcW w:w="1428" w:type="dxa"/>
            <w:tcBorders>
              <w:top w:val="single" w:color="auto" w:sz="4" w:space="0"/>
              <w:left w:val="single" w:color="auto" w:sz="4" w:space="0"/>
              <w:bottom w:val="single" w:color="auto" w:sz="4" w:space="0"/>
              <w:right w:val="single" w:color="auto" w:sz="4" w:space="0"/>
            </w:tcBorders>
            <w:vAlign w:val="center"/>
          </w:tcPr>
          <w:p w14:paraId="7738695C">
            <w:pPr>
              <w:pStyle w:val="6"/>
              <w:rPr>
                <w:rFonts w:hint="eastAsia" w:ascii="仿宋" w:hAnsi="仿宋" w:eastAsia="仿宋" w:cs="仿宋_GB2312"/>
                <w:sz w:val="21"/>
                <w:szCs w:val="21"/>
              </w:rPr>
            </w:pPr>
            <w:r>
              <w:rPr>
                <w:rFonts w:hint="eastAsia" w:ascii="仿宋" w:hAnsi="仿宋" w:eastAsia="仿宋" w:cs="仿宋_GB2312"/>
                <w:color w:val="FF0000"/>
                <w:sz w:val="21"/>
                <w:szCs w:val="21"/>
              </w:rPr>
              <w:t>停车场安全管理（1分）</w:t>
            </w:r>
          </w:p>
        </w:tc>
        <w:tc>
          <w:tcPr>
            <w:tcW w:w="4721" w:type="dxa"/>
            <w:tcBorders>
              <w:top w:val="single" w:color="auto" w:sz="4" w:space="0"/>
              <w:left w:val="single" w:color="auto" w:sz="4" w:space="0"/>
              <w:bottom w:val="single" w:color="auto" w:sz="4" w:space="0"/>
              <w:right w:val="single" w:color="auto" w:sz="4" w:space="0"/>
            </w:tcBorders>
            <w:vAlign w:val="center"/>
          </w:tcPr>
          <w:p w14:paraId="4A2EE5DB">
            <w:pPr>
              <w:pStyle w:val="6"/>
              <w:rPr>
                <w:rFonts w:hint="eastAsia" w:ascii="仿宋" w:hAnsi="仿宋" w:eastAsia="仿宋" w:cs="仿宋_GB2312"/>
                <w:sz w:val="21"/>
                <w:szCs w:val="21"/>
              </w:rPr>
            </w:pPr>
            <w:r>
              <w:rPr>
                <w:rFonts w:hint="eastAsia" w:ascii="仿宋" w:hAnsi="仿宋" w:eastAsia="仿宋" w:cs="仿宋_GB2312"/>
                <w:sz w:val="21"/>
                <w:szCs w:val="21"/>
              </w:rPr>
              <w:t>（1）是否定期对停车场的设备设施、标志进行检查，及时消除安全隐患；（2）设置完善的停车场设施和标志及相应的辅助标志；（3）维护停车场内机动车停放秩序和行驶秩序。</w:t>
            </w:r>
          </w:p>
        </w:tc>
        <w:tc>
          <w:tcPr>
            <w:tcW w:w="1075" w:type="dxa"/>
            <w:tcBorders>
              <w:top w:val="single" w:color="auto" w:sz="4" w:space="0"/>
              <w:left w:val="single" w:color="auto" w:sz="4" w:space="0"/>
              <w:bottom w:val="single" w:color="auto" w:sz="4" w:space="0"/>
              <w:right w:val="single" w:color="auto" w:sz="4" w:space="0"/>
            </w:tcBorders>
            <w:vAlign w:val="center"/>
          </w:tcPr>
          <w:p w14:paraId="0434F115">
            <w:pPr>
              <w:pStyle w:val="6"/>
              <w:rPr>
                <w:rFonts w:hint="eastAsia" w:ascii="仿宋" w:hAnsi="仿宋" w:eastAsia="仿宋" w:cs="仿宋_GB2312"/>
                <w:sz w:val="21"/>
                <w:szCs w:val="21"/>
              </w:rPr>
            </w:pPr>
            <w:r>
              <w:rPr>
                <w:rFonts w:hint="eastAsia" w:ascii="仿宋" w:hAnsi="仿宋" w:eastAsia="仿宋" w:cs="仿宋_GB2312"/>
                <w:sz w:val="21"/>
                <w:szCs w:val="21"/>
              </w:rPr>
              <w:t>检查台账/现场查看</w:t>
            </w:r>
          </w:p>
        </w:tc>
        <w:tc>
          <w:tcPr>
            <w:tcW w:w="2924" w:type="dxa"/>
            <w:tcBorders>
              <w:top w:val="single" w:color="auto" w:sz="4" w:space="0"/>
              <w:left w:val="single" w:color="auto" w:sz="4" w:space="0"/>
              <w:bottom w:val="single" w:color="auto" w:sz="4" w:space="0"/>
              <w:right w:val="single" w:color="auto" w:sz="4" w:space="0"/>
            </w:tcBorders>
            <w:vAlign w:val="center"/>
          </w:tcPr>
          <w:p w14:paraId="7E116307">
            <w:pPr>
              <w:pStyle w:val="6"/>
              <w:rPr>
                <w:rFonts w:hint="eastAsia" w:ascii="仿宋" w:hAnsi="仿宋" w:eastAsia="仿宋" w:cs="仿宋_GB2312"/>
                <w:sz w:val="21"/>
                <w:szCs w:val="21"/>
              </w:rPr>
            </w:pPr>
            <w:r>
              <w:rPr>
                <w:rFonts w:hint="eastAsia" w:ascii="仿宋" w:hAnsi="仿宋" w:eastAsia="仿宋" w:cs="仿宋_GB2312"/>
                <w:sz w:val="21"/>
                <w:szCs w:val="21"/>
              </w:rPr>
              <w:t>《深圳市停车场规划建设和机动车停放管理条例》第二十一条</w:t>
            </w:r>
          </w:p>
        </w:tc>
        <w:tc>
          <w:tcPr>
            <w:tcW w:w="3635" w:type="dxa"/>
            <w:tcBorders>
              <w:top w:val="single" w:color="auto" w:sz="4" w:space="0"/>
              <w:left w:val="single" w:color="auto" w:sz="4" w:space="0"/>
              <w:bottom w:val="single" w:color="auto" w:sz="4" w:space="0"/>
              <w:right w:val="single" w:color="auto" w:sz="4" w:space="0"/>
            </w:tcBorders>
            <w:vAlign w:val="center"/>
          </w:tcPr>
          <w:p w14:paraId="7C1110C8">
            <w:pPr>
              <w:pStyle w:val="6"/>
              <w:rPr>
                <w:rFonts w:hint="eastAsia" w:ascii="仿宋" w:hAnsi="仿宋" w:eastAsia="仿宋" w:cs="仿宋_GB2312"/>
                <w:sz w:val="21"/>
                <w:szCs w:val="21"/>
              </w:rPr>
            </w:pPr>
            <w:r>
              <w:rPr>
                <w:rFonts w:hint="eastAsia" w:ascii="仿宋" w:hAnsi="仿宋" w:eastAsia="仿宋" w:cs="仿宋_GB2312"/>
                <w:sz w:val="21"/>
                <w:szCs w:val="21"/>
              </w:rPr>
              <w:t>现场标志标识不清晰、不完善，每发现一处扣0.5分，最多1分</w:t>
            </w:r>
          </w:p>
        </w:tc>
        <w:tc>
          <w:tcPr>
            <w:tcW w:w="457" w:type="dxa"/>
            <w:tcBorders>
              <w:top w:val="single" w:color="auto" w:sz="4" w:space="0"/>
              <w:left w:val="single" w:color="auto" w:sz="4" w:space="0"/>
              <w:bottom w:val="single" w:color="auto" w:sz="4" w:space="0"/>
              <w:right w:val="single" w:color="auto" w:sz="4" w:space="0"/>
            </w:tcBorders>
          </w:tcPr>
          <w:p w14:paraId="35BDB1A2">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495459C2">
            <w:pPr>
              <w:widowControl/>
              <w:rPr>
                <w:rFonts w:hint="eastAsia" w:ascii="仿宋" w:hAnsi="仿宋" w:eastAsia="仿宋" w:cs="仿宋_GB2312"/>
              </w:rPr>
            </w:pPr>
          </w:p>
        </w:tc>
      </w:tr>
      <w:tr w14:paraId="5873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7" w:type="dxa"/>
            <w:tcBorders>
              <w:top w:val="single" w:color="auto" w:sz="4" w:space="0"/>
              <w:left w:val="single" w:color="auto" w:sz="4" w:space="0"/>
              <w:bottom w:val="single" w:color="auto" w:sz="4" w:space="0"/>
              <w:right w:val="single" w:color="auto" w:sz="4" w:space="0"/>
            </w:tcBorders>
            <w:vAlign w:val="center"/>
          </w:tcPr>
          <w:p w14:paraId="74FF52ED">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24</w:t>
            </w:r>
          </w:p>
        </w:tc>
        <w:tc>
          <w:tcPr>
            <w:tcW w:w="1428" w:type="dxa"/>
            <w:tcBorders>
              <w:top w:val="single" w:color="auto" w:sz="4" w:space="0"/>
              <w:left w:val="single" w:color="auto" w:sz="4" w:space="0"/>
              <w:bottom w:val="single" w:color="auto" w:sz="4" w:space="0"/>
              <w:right w:val="single" w:color="auto" w:sz="4" w:space="0"/>
            </w:tcBorders>
            <w:vAlign w:val="center"/>
          </w:tcPr>
          <w:p w14:paraId="021D5220">
            <w:pPr>
              <w:pStyle w:val="6"/>
              <w:rPr>
                <w:rFonts w:hint="eastAsia" w:ascii="仿宋" w:hAnsi="仿宋" w:eastAsia="仿宋" w:cs="仿宋_GB2312"/>
                <w:sz w:val="21"/>
                <w:szCs w:val="21"/>
              </w:rPr>
            </w:pPr>
            <w:r>
              <w:rPr>
                <w:rFonts w:hint="eastAsia" w:ascii="仿宋" w:hAnsi="仿宋" w:eastAsia="仿宋" w:cs="仿宋_GB2312"/>
                <w:sz w:val="21"/>
                <w:szCs w:val="21"/>
              </w:rPr>
              <w:t>新能源汽车充电设施安全管理（2分）</w:t>
            </w:r>
          </w:p>
        </w:tc>
        <w:tc>
          <w:tcPr>
            <w:tcW w:w="4721" w:type="dxa"/>
            <w:tcBorders>
              <w:top w:val="single" w:color="auto" w:sz="4" w:space="0"/>
              <w:left w:val="single" w:color="auto" w:sz="4" w:space="0"/>
              <w:bottom w:val="single" w:color="auto" w:sz="4" w:space="0"/>
              <w:right w:val="single" w:color="auto" w:sz="4" w:space="0"/>
            </w:tcBorders>
            <w:vAlign w:val="center"/>
          </w:tcPr>
          <w:p w14:paraId="39E44B33">
            <w:pPr>
              <w:pStyle w:val="6"/>
              <w:rPr>
                <w:rFonts w:hint="eastAsia" w:cs="仿宋_GB2312"/>
                <w:sz w:val="21"/>
                <w:szCs w:val="21"/>
              </w:rPr>
            </w:pPr>
            <w:r>
              <w:rPr>
                <w:rFonts w:hint="eastAsia" w:ascii="仿宋" w:hAnsi="仿宋" w:eastAsia="仿宋" w:cs="仿宋_GB2312"/>
                <w:sz w:val="21"/>
                <w:szCs w:val="21"/>
              </w:rPr>
              <w:t>（1）是否配合运营单位开展日常安全防范工作并签订《安全管理协议》；（2）发现隐患或者发生危及物业安全的紧急情况，是否及时告知并协助采取应急处置措施。（3）充电设施配建比例达到停车位的20%；（4）充电设施在市物业管理信息平台上进行了信息登记；（5）集中充电场所配备有效灭火器材和监控系统；（6）充电场所中各类提醒</w:t>
            </w:r>
            <w:r>
              <w:rPr>
                <w:rFonts w:hint="eastAsia" w:ascii="仿宋" w:hAnsi="仿宋" w:eastAsia="仿宋" w:cs="仿宋_GB2312"/>
                <w:sz w:val="21"/>
                <w:szCs w:val="21"/>
                <w:lang w:val="en"/>
              </w:rPr>
              <w:t>、</w:t>
            </w:r>
            <w:r>
              <w:rPr>
                <w:rFonts w:hint="eastAsia" w:ascii="仿宋" w:hAnsi="仿宋" w:eastAsia="仿宋" w:cs="仿宋_GB2312"/>
                <w:sz w:val="21"/>
                <w:szCs w:val="21"/>
              </w:rPr>
              <w:t>标识</w:t>
            </w:r>
            <w:r>
              <w:rPr>
                <w:rFonts w:hint="eastAsia" w:ascii="仿宋" w:hAnsi="仿宋" w:eastAsia="仿宋" w:cs="仿宋_GB2312"/>
                <w:sz w:val="21"/>
                <w:szCs w:val="21"/>
                <w:lang w:val="en"/>
              </w:rPr>
              <w:t>、</w:t>
            </w:r>
            <w:r>
              <w:rPr>
                <w:rFonts w:hint="eastAsia" w:ascii="仿宋" w:hAnsi="仿宋" w:eastAsia="仿宋" w:cs="仿宋_GB2312"/>
                <w:sz w:val="21"/>
                <w:szCs w:val="21"/>
              </w:rPr>
              <w:t>联系电话完整；（7）现场线路及其他设备整齐，用后归位；（8）运营单位开展定期检查、年度检测，设施管理台</w:t>
            </w:r>
            <w:r>
              <w:rPr>
                <w:rFonts w:hint="eastAsia" w:ascii="仿宋" w:hAnsi="仿宋" w:eastAsia="仿宋" w:cs="仿宋_GB2312"/>
                <w:sz w:val="21"/>
                <w:szCs w:val="21"/>
                <w:lang w:eastAsia="zh-CN"/>
              </w:rPr>
              <w:t>账</w:t>
            </w:r>
            <w:r>
              <w:rPr>
                <w:rFonts w:hint="eastAsia" w:ascii="仿宋" w:hAnsi="仿宋" w:eastAsia="仿宋" w:cs="仿宋_GB2312"/>
                <w:sz w:val="21"/>
                <w:szCs w:val="21"/>
              </w:rPr>
              <w:t>明晰。</w:t>
            </w:r>
          </w:p>
        </w:tc>
        <w:tc>
          <w:tcPr>
            <w:tcW w:w="1075" w:type="dxa"/>
            <w:tcBorders>
              <w:top w:val="single" w:color="auto" w:sz="4" w:space="0"/>
              <w:left w:val="single" w:color="auto" w:sz="4" w:space="0"/>
              <w:bottom w:val="single" w:color="auto" w:sz="4" w:space="0"/>
              <w:right w:val="single" w:color="auto" w:sz="4" w:space="0"/>
            </w:tcBorders>
            <w:vAlign w:val="center"/>
          </w:tcPr>
          <w:p w14:paraId="0625B881">
            <w:pPr>
              <w:pStyle w:val="6"/>
              <w:rPr>
                <w:rFonts w:hint="eastAsia" w:ascii="仿宋" w:hAnsi="仿宋" w:eastAsia="仿宋" w:cs="仿宋_GB2312"/>
                <w:sz w:val="21"/>
                <w:szCs w:val="21"/>
              </w:rPr>
            </w:pPr>
            <w:r>
              <w:rPr>
                <w:rFonts w:hint="eastAsia" w:ascii="仿宋" w:hAnsi="仿宋" w:eastAsia="仿宋" w:cs="仿宋_GB2312"/>
                <w:sz w:val="21"/>
                <w:szCs w:val="21"/>
              </w:rPr>
              <w:t>检查台账/现场查看</w:t>
            </w:r>
          </w:p>
        </w:tc>
        <w:tc>
          <w:tcPr>
            <w:tcW w:w="2924" w:type="dxa"/>
            <w:tcBorders>
              <w:top w:val="single" w:color="auto" w:sz="4" w:space="0"/>
              <w:left w:val="single" w:color="auto" w:sz="4" w:space="0"/>
              <w:bottom w:val="single" w:color="auto" w:sz="4" w:space="0"/>
              <w:right w:val="single" w:color="auto" w:sz="4" w:space="0"/>
            </w:tcBorders>
            <w:vAlign w:val="center"/>
          </w:tcPr>
          <w:p w14:paraId="7023D03A">
            <w:pPr>
              <w:pStyle w:val="6"/>
              <w:rPr>
                <w:rFonts w:hint="eastAsia" w:ascii="仿宋" w:hAnsi="仿宋" w:eastAsia="仿宋" w:cs="仿宋_GB2312"/>
                <w:sz w:val="21"/>
                <w:szCs w:val="21"/>
              </w:rPr>
            </w:pPr>
            <w:r>
              <w:rPr>
                <w:rFonts w:hint="eastAsia" w:ascii="仿宋" w:hAnsi="仿宋" w:eastAsia="仿宋" w:cs="仿宋_GB2312"/>
                <w:sz w:val="21"/>
                <w:szCs w:val="21"/>
              </w:rPr>
              <w:t>《深圳市新能源汽车充电设施管理暂行办法》第十一条</w:t>
            </w:r>
          </w:p>
        </w:tc>
        <w:tc>
          <w:tcPr>
            <w:tcW w:w="3635" w:type="dxa"/>
            <w:tcBorders>
              <w:top w:val="single" w:color="auto" w:sz="4" w:space="0"/>
              <w:left w:val="single" w:color="auto" w:sz="4" w:space="0"/>
              <w:bottom w:val="single" w:color="auto" w:sz="4" w:space="0"/>
              <w:right w:val="single" w:color="auto" w:sz="4" w:space="0"/>
            </w:tcBorders>
            <w:vAlign w:val="center"/>
          </w:tcPr>
          <w:p w14:paraId="28F83716">
            <w:pPr>
              <w:pStyle w:val="6"/>
              <w:rPr>
                <w:rFonts w:hint="eastAsia" w:ascii="仿宋" w:hAnsi="仿宋" w:eastAsia="仿宋" w:cs="仿宋_GB2312"/>
                <w:sz w:val="21"/>
                <w:szCs w:val="21"/>
              </w:rPr>
            </w:pPr>
            <w:r>
              <w:rPr>
                <w:rFonts w:hint="eastAsia" w:ascii="仿宋" w:hAnsi="仿宋" w:eastAsia="仿宋" w:cs="仿宋_GB2312"/>
                <w:sz w:val="21"/>
                <w:szCs w:val="21"/>
              </w:rPr>
              <w:t>发现一项不符合要求，扣0.5分；扣完为止</w:t>
            </w:r>
          </w:p>
        </w:tc>
        <w:tc>
          <w:tcPr>
            <w:tcW w:w="457" w:type="dxa"/>
            <w:tcBorders>
              <w:top w:val="single" w:color="auto" w:sz="4" w:space="0"/>
              <w:left w:val="single" w:color="auto" w:sz="4" w:space="0"/>
              <w:bottom w:val="single" w:color="auto" w:sz="4" w:space="0"/>
              <w:right w:val="single" w:color="auto" w:sz="4" w:space="0"/>
            </w:tcBorders>
          </w:tcPr>
          <w:p w14:paraId="5565FDC4">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44C51993">
            <w:pPr>
              <w:widowControl/>
              <w:rPr>
                <w:rFonts w:hint="eastAsia" w:ascii="仿宋" w:hAnsi="仿宋" w:eastAsia="仿宋" w:cs="仿宋_GB2312"/>
              </w:rPr>
            </w:pPr>
          </w:p>
        </w:tc>
      </w:tr>
      <w:tr w14:paraId="05E4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5"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4EDEA8DD">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25</w:t>
            </w:r>
          </w:p>
        </w:tc>
        <w:tc>
          <w:tcPr>
            <w:tcW w:w="1428" w:type="dxa"/>
            <w:tcBorders>
              <w:top w:val="single" w:color="auto" w:sz="4" w:space="0"/>
              <w:left w:val="single" w:color="auto" w:sz="4" w:space="0"/>
              <w:bottom w:val="single" w:color="auto" w:sz="4" w:space="0"/>
              <w:right w:val="single" w:color="auto" w:sz="4" w:space="0"/>
            </w:tcBorders>
            <w:vAlign w:val="center"/>
          </w:tcPr>
          <w:p w14:paraId="4F0116E7">
            <w:pPr>
              <w:pStyle w:val="6"/>
              <w:rPr>
                <w:rFonts w:hint="eastAsia" w:ascii="仿宋" w:hAnsi="仿宋" w:eastAsia="仿宋" w:cs="仿宋_GB2312"/>
                <w:sz w:val="21"/>
                <w:szCs w:val="21"/>
              </w:rPr>
            </w:pPr>
            <w:r>
              <w:rPr>
                <w:rFonts w:hint="eastAsia" w:ascii="仿宋" w:hAnsi="仿宋" w:eastAsia="仿宋" w:cs="仿宋_GB2312"/>
                <w:sz w:val="21"/>
                <w:szCs w:val="21"/>
              </w:rPr>
              <w:t>游泳池安全管理（1分）</w:t>
            </w:r>
          </w:p>
        </w:tc>
        <w:tc>
          <w:tcPr>
            <w:tcW w:w="4721" w:type="dxa"/>
            <w:tcBorders>
              <w:top w:val="single" w:color="auto" w:sz="4" w:space="0"/>
              <w:left w:val="single" w:color="auto" w:sz="4" w:space="0"/>
              <w:bottom w:val="single" w:color="auto" w:sz="4" w:space="0"/>
              <w:right w:val="single" w:color="auto" w:sz="4" w:space="0"/>
            </w:tcBorders>
            <w:vAlign w:val="center"/>
          </w:tcPr>
          <w:p w14:paraId="77D875FB">
            <w:pPr>
              <w:pStyle w:val="6"/>
              <w:rPr>
                <w:rFonts w:hint="eastAsia" w:ascii="仿宋" w:hAnsi="仿宋" w:eastAsia="仿宋" w:cs="仿宋_GB2312"/>
                <w:sz w:val="21"/>
                <w:szCs w:val="21"/>
              </w:rPr>
            </w:pPr>
            <w:r>
              <w:rPr>
                <w:rFonts w:hint="eastAsia" w:ascii="仿宋" w:hAnsi="仿宋" w:eastAsia="仿宋" w:cs="仿宋_GB2312"/>
                <w:sz w:val="21"/>
                <w:szCs w:val="21"/>
              </w:rPr>
              <w:t>（1）是否监督配合经营单位依据《广东省高危险性体育项目经营活动管理规定》履行游泳池安全管理职责。（2）发现隐患是否及时告知经营单位。（缺游泳池（物业经营）按主管部门要求有经营许可证，水池等危险场所设置警示标志，泳池设置水位标志线，救生员持证上岗）</w:t>
            </w:r>
          </w:p>
        </w:tc>
        <w:tc>
          <w:tcPr>
            <w:tcW w:w="1075" w:type="dxa"/>
            <w:tcBorders>
              <w:top w:val="single" w:color="auto" w:sz="4" w:space="0"/>
              <w:left w:val="single" w:color="auto" w:sz="4" w:space="0"/>
              <w:bottom w:val="single" w:color="auto" w:sz="4" w:space="0"/>
              <w:right w:val="single" w:color="auto" w:sz="4" w:space="0"/>
            </w:tcBorders>
            <w:vAlign w:val="center"/>
          </w:tcPr>
          <w:p w14:paraId="463304C3">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2E4A79F1">
            <w:pPr>
              <w:pStyle w:val="6"/>
              <w:rPr>
                <w:rFonts w:hint="eastAsia" w:ascii="仿宋" w:hAnsi="仿宋" w:eastAsia="仿宋" w:cs="仿宋_GB2312"/>
                <w:sz w:val="21"/>
                <w:szCs w:val="21"/>
              </w:rPr>
            </w:pPr>
            <w:r>
              <w:rPr>
                <w:rFonts w:hint="eastAsia" w:ascii="仿宋" w:hAnsi="仿宋" w:eastAsia="仿宋" w:cs="仿宋_GB2312"/>
                <w:sz w:val="21"/>
                <w:szCs w:val="21"/>
              </w:rPr>
              <w:t>《物业服务行业安全管理检查评价规范》第七点</w:t>
            </w:r>
          </w:p>
        </w:tc>
        <w:tc>
          <w:tcPr>
            <w:tcW w:w="3635" w:type="dxa"/>
            <w:tcBorders>
              <w:top w:val="single" w:color="auto" w:sz="4" w:space="0"/>
              <w:left w:val="single" w:color="auto" w:sz="4" w:space="0"/>
              <w:bottom w:val="single" w:color="auto" w:sz="4" w:space="0"/>
              <w:right w:val="single" w:color="auto" w:sz="4" w:space="0"/>
            </w:tcBorders>
            <w:vAlign w:val="center"/>
          </w:tcPr>
          <w:p w14:paraId="7A34E8DD">
            <w:pPr>
              <w:pStyle w:val="6"/>
              <w:rPr>
                <w:rFonts w:hint="eastAsia" w:ascii="仿宋" w:hAnsi="仿宋" w:eastAsia="仿宋" w:cs="仿宋_GB2312"/>
                <w:sz w:val="21"/>
                <w:szCs w:val="21"/>
              </w:rPr>
            </w:pPr>
            <w:r>
              <w:rPr>
                <w:rFonts w:hint="eastAsia" w:ascii="仿宋" w:hAnsi="仿宋" w:eastAsia="仿宋" w:cs="仿宋_GB2312"/>
                <w:sz w:val="21"/>
                <w:szCs w:val="21"/>
              </w:rPr>
              <w:t>未对经营单位进行相关安全管理扣1分。</w:t>
            </w:r>
          </w:p>
          <w:p w14:paraId="5AD67014">
            <w:pPr>
              <w:pStyle w:val="6"/>
              <w:rPr>
                <w:rFonts w:hint="eastAsia" w:ascii="仿宋" w:hAnsi="仿宋" w:eastAsia="仿宋" w:cs="仿宋_GB2312"/>
                <w:sz w:val="21"/>
                <w:szCs w:val="21"/>
              </w:rPr>
            </w:pPr>
          </w:p>
        </w:tc>
        <w:tc>
          <w:tcPr>
            <w:tcW w:w="457" w:type="dxa"/>
            <w:tcBorders>
              <w:top w:val="single" w:color="auto" w:sz="4" w:space="0"/>
              <w:left w:val="single" w:color="auto" w:sz="4" w:space="0"/>
              <w:bottom w:val="single" w:color="auto" w:sz="4" w:space="0"/>
              <w:right w:val="single" w:color="auto" w:sz="4" w:space="0"/>
            </w:tcBorders>
          </w:tcPr>
          <w:p w14:paraId="6F968A9A">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7D501FE4">
            <w:pPr>
              <w:widowControl/>
              <w:rPr>
                <w:rFonts w:hint="eastAsia" w:ascii="仿宋" w:hAnsi="仿宋" w:eastAsia="仿宋" w:cs="仿宋_GB2312"/>
              </w:rPr>
            </w:pPr>
          </w:p>
        </w:tc>
      </w:tr>
      <w:tr w14:paraId="1C01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26780500">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26</w:t>
            </w:r>
          </w:p>
        </w:tc>
        <w:tc>
          <w:tcPr>
            <w:tcW w:w="1428" w:type="dxa"/>
            <w:tcBorders>
              <w:top w:val="single" w:color="auto" w:sz="4" w:space="0"/>
              <w:left w:val="single" w:color="auto" w:sz="4" w:space="0"/>
              <w:bottom w:val="single" w:color="auto" w:sz="4" w:space="0"/>
              <w:right w:val="single" w:color="auto" w:sz="4" w:space="0"/>
            </w:tcBorders>
            <w:vAlign w:val="center"/>
          </w:tcPr>
          <w:p w14:paraId="6564A1C5">
            <w:pPr>
              <w:pStyle w:val="6"/>
              <w:rPr>
                <w:rFonts w:hint="eastAsia" w:ascii="仿宋" w:hAnsi="仿宋" w:eastAsia="仿宋" w:cs="仿宋_GB2312"/>
                <w:sz w:val="21"/>
                <w:szCs w:val="21"/>
              </w:rPr>
            </w:pPr>
            <w:r>
              <w:rPr>
                <w:rFonts w:hint="eastAsia" w:ascii="仿宋" w:hAnsi="仿宋" w:eastAsia="仿宋" w:cs="仿宋_GB2312"/>
                <w:sz w:val="21"/>
                <w:szCs w:val="21"/>
              </w:rPr>
              <w:t>小散工程和零星作业安全管理（3分）</w:t>
            </w:r>
          </w:p>
        </w:tc>
        <w:tc>
          <w:tcPr>
            <w:tcW w:w="4721" w:type="dxa"/>
            <w:tcBorders>
              <w:top w:val="single" w:color="auto" w:sz="4" w:space="0"/>
              <w:left w:val="single" w:color="auto" w:sz="4" w:space="0"/>
              <w:bottom w:val="single" w:color="auto" w:sz="4" w:space="0"/>
              <w:right w:val="single" w:color="auto" w:sz="4" w:space="0"/>
            </w:tcBorders>
            <w:vAlign w:val="center"/>
          </w:tcPr>
          <w:p w14:paraId="609EFB6D">
            <w:pPr>
              <w:pStyle w:val="6"/>
              <w:rPr>
                <w:rFonts w:hint="eastAsia" w:ascii="仿宋" w:hAnsi="仿宋" w:eastAsia="仿宋" w:cs="仿宋_GB2312"/>
                <w:sz w:val="21"/>
                <w:szCs w:val="21"/>
              </w:rPr>
            </w:pPr>
            <w:r>
              <w:rPr>
                <w:rFonts w:hint="eastAsia" w:ascii="仿宋" w:hAnsi="仿宋" w:eastAsia="仿宋" w:cs="仿宋_GB2312"/>
                <w:sz w:val="21"/>
                <w:szCs w:val="21"/>
              </w:rPr>
              <w:t>（1）是否建立日常安全巡查制度，组织巡查小散工程施工和零星作业现场活动；（2）是否将小散工程或零星作业的有关注意事项、禁止行为、安全生产指引等内容提前告知建设单位或业主；（3）是否配合监管部门对小散工程和零星作业的监督；（4）是否对存在安全隐患或安全生产违法违规行为的，进行制止。</w:t>
            </w:r>
          </w:p>
        </w:tc>
        <w:tc>
          <w:tcPr>
            <w:tcW w:w="1075" w:type="dxa"/>
            <w:tcBorders>
              <w:top w:val="single" w:color="auto" w:sz="4" w:space="0"/>
              <w:left w:val="single" w:color="auto" w:sz="4" w:space="0"/>
              <w:bottom w:val="single" w:color="auto" w:sz="4" w:space="0"/>
              <w:right w:val="single" w:color="auto" w:sz="4" w:space="0"/>
            </w:tcBorders>
            <w:vAlign w:val="center"/>
          </w:tcPr>
          <w:p w14:paraId="4E205DE9">
            <w:pPr>
              <w:pStyle w:val="6"/>
              <w:rPr>
                <w:rFonts w:hint="eastAsia" w:ascii="仿宋" w:hAnsi="仿宋" w:eastAsia="仿宋" w:cs="仿宋_GB2312"/>
                <w:sz w:val="21"/>
                <w:szCs w:val="21"/>
              </w:rPr>
            </w:pPr>
            <w:r>
              <w:rPr>
                <w:rFonts w:hint="eastAsia" w:ascii="仿宋" w:hAnsi="仿宋" w:eastAsia="仿宋" w:cs="仿宋_GB2312"/>
                <w:sz w:val="21"/>
                <w:szCs w:val="21"/>
              </w:rPr>
              <w:t>检查台账</w:t>
            </w:r>
          </w:p>
        </w:tc>
        <w:tc>
          <w:tcPr>
            <w:tcW w:w="2924" w:type="dxa"/>
            <w:tcBorders>
              <w:top w:val="single" w:color="auto" w:sz="4" w:space="0"/>
              <w:left w:val="single" w:color="auto" w:sz="4" w:space="0"/>
              <w:bottom w:val="single" w:color="auto" w:sz="4" w:space="0"/>
              <w:right w:val="single" w:color="auto" w:sz="4" w:space="0"/>
            </w:tcBorders>
            <w:vAlign w:val="center"/>
          </w:tcPr>
          <w:p w14:paraId="4ABFA144">
            <w:pPr>
              <w:pStyle w:val="6"/>
              <w:rPr>
                <w:rFonts w:hint="eastAsia" w:ascii="仿宋" w:hAnsi="仿宋" w:eastAsia="仿宋" w:cs="仿宋_GB2312"/>
                <w:sz w:val="21"/>
                <w:szCs w:val="21"/>
              </w:rPr>
            </w:pPr>
            <w:r>
              <w:rPr>
                <w:rFonts w:hint="eastAsia" w:ascii="仿宋" w:hAnsi="仿宋" w:eastAsia="仿宋" w:cs="仿宋_GB2312"/>
                <w:sz w:val="21"/>
                <w:szCs w:val="21"/>
              </w:rPr>
              <w:t>《深圳市小散工程和零星作业安全生产纳管暂行办法》第九条、第十八条、第二十九条</w:t>
            </w:r>
          </w:p>
        </w:tc>
        <w:tc>
          <w:tcPr>
            <w:tcW w:w="3635" w:type="dxa"/>
            <w:tcBorders>
              <w:top w:val="single" w:color="auto" w:sz="4" w:space="0"/>
              <w:left w:val="single" w:color="auto" w:sz="4" w:space="0"/>
              <w:bottom w:val="single" w:color="auto" w:sz="4" w:space="0"/>
              <w:right w:val="single" w:color="auto" w:sz="4" w:space="0"/>
            </w:tcBorders>
            <w:vAlign w:val="center"/>
          </w:tcPr>
          <w:p w14:paraId="349A7D94">
            <w:pPr>
              <w:pStyle w:val="6"/>
              <w:rPr>
                <w:rFonts w:hint="eastAsia" w:ascii="仿宋" w:hAnsi="仿宋" w:eastAsia="仿宋" w:cs="仿宋_GB2312"/>
                <w:sz w:val="21"/>
                <w:szCs w:val="21"/>
              </w:rPr>
            </w:pPr>
            <w:r>
              <w:rPr>
                <w:rFonts w:hint="eastAsia" w:ascii="仿宋" w:hAnsi="仿宋" w:eastAsia="仿宋" w:cs="仿宋_GB2312"/>
                <w:sz w:val="21"/>
                <w:szCs w:val="21"/>
              </w:rPr>
              <w:t>未监督相关工程进行备案，扣1分；未安排日常巡查，无相关检查记录扣1分；未提前告知相关管理规定扣1分。</w:t>
            </w:r>
          </w:p>
        </w:tc>
        <w:tc>
          <w:tcPr>
            <w:tcW w:w="457" w:type="dxa"/>
            <w:tcBorders>
              <w:top w:val="single" w:color="auto" w:sz="4" w:space="0"/>
              <w:left w:val="single" w:color="auto" w:sz="4" w:space="0"/>
              <w:bottom w:val="single" w:color="auto" w:sz="4" w:space="0"/>
              <w:right w:val="single" w:color="auto" w:sz="4" w:space="0"/>
            </w:tcBorders>
          </w:tcPr>
          <w:p w14:paraId="25D0625F">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465A948D">
            <w:pPr>
              <w:widowControl/>
              <w:rPr>
                <w:rFonts w:hint="eastAsia" w:ascii="仿宋" w:hAnsi="仿宋" w:eastAsia="仿宋" w:cs="仿宋_GB2312"/>
              </w:rPr>
            </w:pPr>
          </w:p>
        </w:tc>
      </w:tr>
      <w:tr w14:paraId="3A79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0C56001B">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27</w:t>
            </w:r>
          </w:p>
        </w:tc>
        <w:tc>
          <w:tcPr>
            <w:tcW w:w="1428" w:type="dxa"/>
            <w:tcBorders>
              <w:top w:val="single" w:color="auto" w:sz="4" w:space="0"/>
              <w:left w:val="single" w:color="auto" w:sz="4" w:space="0"/>
              <w:bottom w:val="single" w:color="auto" w:sz="4" w:space="0"/>
              <w:right w:val="single" w:color="auto" w:sz="4" w:space="0"/>
            </w:tcBorders>
            <w:vAlign w:val="center"/>
          </w:tcPr>
          <w:p w14:paraId="5A4EC221">
            <w:pPr>
              <w:pStyle w:val="6"/>
              <w:rPr>
                <w:rFonts w:hint="eastAsia" w:ascii="仿宋" w:hAnsi="仿宋" w:eastAsia="仿宋" w:cs="仿宋_GB2312"/>
                <w:sz w:val="21"/>
                <w:szCs w:val="21"/>
              </w:rPr>
            </w:pPr>
            <w:r>
              <w:rPr>
                <w:rFonts w:hint="eastAsia" w:ascii="仿宋" w:hAnsi="仿宋" w:eastAsia="仿宋" w:cs="仿宋_GB2312"/>
                <w:sz w:val="21"/>
                <w:szCs w:val="21"/>
              </w:rPr>
              <w:t>“三防”安全管理（3分）</w:t>
            </w:r>
          </w:p>
        </w:tc>
        <w:tc>
          <w:tcPr>
            <w:tcW w:w="4721" w:type="dxa"/>
            <w:tcBorders>
              <w:top w:val="single" w:color="auto" w:sz="4" w:space="0"/>
              <w:left w:val="single" w:color="auto" w:sz="4" w:space="0"/>
              <w:bottom w:val="single" w:color="auto" w:sz="4" w:space="0"/>
              <w:right w:val="single" w:color="auto" w:sz="4" w:space="0"/>
            </w:tcBorders>
            <w:vAlign w:val="center"/>
          </w:tcPr>
          <w:p w14:paraId="1A7A6048">
            <w:pPr>
              <w:pStyle w:val="6"/>
              <w:rPr>
                <w:rFonts w:hint="eastAsia" w:ascii="仿宋" w:hAnsi="仿宋" w:eastAsia="仿宋" w:cs="仿宋_GB2312"/>
                <w:sz w:val="21"/>
                <w:szCs w:val="21"/>
              </w:rPr>
            </w:pPr>
            <w:r>
              <w:rPr>
                <w:rFonts w:hint="eastAsia" w:ascii="仿宋" w:hAnsi="仿宋" w:eastAsia="仿宋" w:cs="仿宋_GB2312"/>
                <w:sz w:val="21"/>
                <w:szCs w:val="21"/>
              </w:rPr>
              <w:t>（1）在台风、暴雨等特殊天气时，是否开展事前预警检查、事中应急响应、事后总结分析；是否开展防雷装置的日常维护及定期检测；是否做好物业管理区域内边坡、挡土墙的日常检查和应急处置；</w:t>
            </w:r>
          </w:p>
          <w:p w14:paraId="63CC5A09">
            <w:pPr>
              <w:pStyle w:val="6"/>
              <w:rPr>
                <w:rFonts w:hint="eastAsia" w:ascii="仿宋" w:hAnsi="仿宋" w:eastAsia="仿宋" w:cs="仿宋_GB2312"/>
                <w:sz w:val="21"/>
                <w:szCs w:val="21"/>
              </w:rPr>
            </w:pPr>
            <w:r>
              <w:rPr>
                <w:rFonts w:hint="eastAsia" w:ascii="仿宋" w:hAnsi="仿宋" w:eastAsia="仿宋" w:cs="仿宋_GB2312"/>
                <w:sz w:val="21"/>
                <w:szCs w:val="21"/>
              </w:rPr>
              <w:t>（2）三防物资储备、抢险工具、应急设备是否满足需求；</w:t>
            </w:r>
          </w:p>
          <w:p w14:paraId="31A6E7BB">
            <w:pPr>
              <w:pStyle w:val="6"/>
              <w:rPr>
                <w:rFonts w:hint="eastAsia" w:ascii="仿宋" w:hAnsi="仿宋" w:eastAsia="仿宋" w:cs="仿宋_GB2312"/>
                <w:sz w:val="21"/>
                <w:szCs w:val="21"/>
              </w:rPr>
            </w:pPr>
            <w:r>
              <w:rPr>
                <w:rFonts w:hint="eastAsia" w:ascii="仿宋" w:hAnsi="仿宋" w:eastAsia="仿宋" w:cs="仿宋_GB2312"/>
                <w:sz w:val="21"/>
                <w:szCs w:val="21"/>
              </w:rPr>
              <w:t>（3）排水系统、排水泵等设施是否能正常工作。</w:t>
            </w:r>
          </w:p>
          <w:p w14:paraId="6B14D051">
            <w:pPr>
              <w:pStyle w:val="6"/>
              <w:rPr>
                <w:rFonts w:hint="eastAsia" w:ascii="仿宋" w:hAnsi="仿宋" w:eastAsia="仿宋" w:cs="仿宋_GB2312"/>
                <w:sz w:val="21"/>
                <w:szCs w:val="21"/>
              </w:rPr>
            </w:pPr>
          </w:p>
        </w:tc>
        <w:tc>
          <w:tcPr>
            <w:tcW w:w="1075" w:type="dxa"/>
            <w:tcBorders>
              <w:top w:val="single" w:color="auto" w:sz="4" w:space="0"/>
              <w:left w:val="single" w:color="auto" w:sz="4" w:space="0"/>
              <w:bottom w:val="single" w:color="auto" w:sz="4" w:space="0"/>
              <w:right w:val="single" w:color="auto" w:sz="4" w:space="0"/>
            </w:tcBorders>
            <w:vAlign w:val="center"/>
          </w:tcPr>
          <w:p w14:paraId="18889609">
            <w:pPr>
              <w:pStyle w:val="6"/>
              <w:rPr>
                <w:rFonts w:hint="eastAsia" w:ascii="仿宋" w:hAnsi="仿宋" w:eastAsia="仿宋" w:cs="仿宋_GB2312"/>
                <w:sz w:val="21"/>
                <w:szCs w:val="21"/>
              </w:rPr>
            </w:pPr>
            <w:r>
              <w:rPr>
                <w:rFonts w:hint="eastAsia" w:ascii="仿宋" w:hAnsi="仿宋" w:eastAsia="仿宋" w:cs="仿宋_GB2312"/>
                <w:sz w:val="21"/>
                <w:szCs w:val="21"/>
              </w:rPr>
              <w:t>检查台账/现场查看</w:t>
            </w:r>
          </w:p>
        </w:tc>
        <w:tc>
          <w:tcPr>
            <w:tcW w:w="2924" w:type="dxa"/>
            <w:tcBorders>
              <w:top w:val="single" w:color="auto" w:sz="4" w:space="0"/>
              <w:left w:val="single" w:color="auto" w:sz="4" w:space="0"/>
              <w:bottom w:val="single" w:color="auto" w:sz="4" w:space="0"/>
              <w:right w:val="single" w:color="auto" w:sz="4" w:space="0"/>
            </w:tcBorders>
            <w:vAlign w:val="center"/>
          </w:tcPr>
          <w:p w14:paraId="4AF08C3E">
            <w:pPr>
              <w:pStyle w:val="6"/>
              <w:rPr>
                <w:rFonts w:hint="eastAsia" w:ascii="仿宋" w:hAnsi="仿宋" w:eastAsia="仿宋" w:cs="仿宋_GB2312"/>
                <w:sz w:val="21"/>
                <w:szCs w:val="21"/>
              </w:rPr>
            </w:pPr>
            <w:r>
              <w:rPr>
                <w:rFonts w:hint="eastAsia" w:ascii="仿宋" w:hAnsi="仿宋" w:eastAsia="仿宋" w:cs="仿宋_GB2312"/>
                <w:sz w:val="21"/>
                <w:szCs w:val="21"/>
              </w:rPr>
              <w:t>《深圳市住房和建设局关于印发〈2022年度物业管理安全生产工作要点〉的通知》《深圳市住房和建设局关于进一步配合做好物业管理区域内防雷减灾工作的通知》《物业管理区域防汛防灾工作要点（第二版）》 《物业管理区域汛期边坡、挡土墙巡查及应急处置要点》</w:t>
            </w:r>
          </w:p>
        </w:tc>
        <w:tc>
          <w:tcPr>
            <w:tcW w:w="3635" w:type="dxa"/>
            <w:tcBorders>
              <w:top w:val="single" w:color="auto" w:sz="4" w:space="0"/>
              <w:left w:val="single" w:color="auto" w:sz="4" w:space="0"/>
              <w:bottom w:val="single" w:color="auto" w:sz="4" w:space="0"/>
              <w:right w:val="single" w:color="auto" w:sz="4" w:space="0"/>
            </w:tcBorders>
            <w:vAlign w:val="center"/>
          </w:tcPr>
          <w:p w14:paraId="0941107A">
            <w:pPr>
              <w:pStyle w:val="6"/>
              <w:rPr>
                <w:rFonts w:hint="eastAsia" w:ascii="仿宋" w:hAnsi="仿宋" w:eastAsia="仿宋" w:cs="仿宋_GB2312"/>
                <w:sz w:val="21"/>
                <w:szCs w:val="21"/>
              </w:rPr>
            </w:pPr>
            <w:r>
              <w:rPr>
                <w:rFonts w:hint="eastAsia" w:ascii="仿宋" w:hAnsi="仿宋" w:eastAsia="仿宋" w:cs="仿宋_GB2312"/>
                <w:sz w:val="21"/>
                <w:szCs w:val="21"/>
              </w:rPr>
              <w:t>未建立防汛备汛相关工作台账，每缺少一项扣0.5分，最多扣1分；现场督导每发现一处隐患扣0.5分，最多扣2分；</w:t>
            </w:r>
          </w:p>
        </w:tc>
        <w:tc>
          <w:tcPr>
            <w:tcW w:w="457" w:type="dxa"/>
            <w:tcBorders>
              <w:top w:val="single" w:color="auto" w:sz="4" w:space="0"/>
              <w:left w:val="single" w:color="auto" w:sz="4" w:space="0"/>
              <w:bottom w:val="single" w:color="auto" w:sz="4" w:space="0"/>
              <w:right w:val="single" w:color="auto" w:sz="4" w:space="0"/>
            </w:tcBorders>
          </w:tcPr>
          <w:p w14:paraId="2021C5A7">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4AA86D63">
            <w:pPr>
              <w:widowControl/>
              <w:rPr>
                <w:rFonts w:hint="eastAsia" w:ascii="仿宋" w:hAnsi="仿宋" w:eastAsia="仿宋" w:cs="仿宋_GB2312"/>
              </w:rPr>
            </w:pPr>
          </w:p>
        </w:tc>
      </w:tr>
      <w:tr w14:paraId="5EB6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4"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58BFE5F5">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28</w:t>
            </w:r>
          </w:p>
        </w:tc>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14:paraId="54E5C7FC">
            <w:pPr>
              <w:pStyle w:val="6"/>
              <w:rPr>
                <w:rFonts w:hint="eastAsia" w:ascii="仿宋" w:hAnsi="仿宋" w:eastAsia="仿宋" w:cs="仿宋_GB2312"/>
                <w:sz w:val="21"/>
                <w:szCs w:val="21"/>
              </w:rPr>
            </w:pPr>
            <w:r>
              <w:rPr>
                <w:rFonts w:hint="eastAsia" w:ascii="仿宋" w:hAnsi="仿宋" w:eastAsia="仿宋" w:cs="仿宋_GB2312"/>
                <w:sz w:val="21"/>
                <w:szCs w:val="21"/>
              </w:rPr>
              <w:t>电动自行车安全管理（</w:t>
            </w:r>
            <w:r>
              <w:rPr>
                <w:rFonts w:ascii="仿宋" w:hAnsi="仿宋" w:eastAsia="仿宋" w:cs="仿宋_GB2312"/>
                <w:sz w:val="21"/>
                <w:szCs w:val="21"/>
              </w:rPr>
              <w:t>6</w:t>
            </w:r>
            <w:r>
              <w:rPr>
                <w:rFonts w:hint="eastAsia" w:ascii="仿宋" w:hAnsi="仿宋" w:eastAsia="仿宋" w:cs="仿宋_GB2312"/>
                <w:sz w:val="21"/>
                <w:szCs w:val="21"/>
              </w:rPr>
              <w:t>分）</w:t>
            </w:r>
          </w:p>
        </w:tc>
        <w:tc>
          <w:tcPr>
            <w:tcW w:w="4721" w:type="dxa"/>
            <w:tcBorders>
              <w:top w:val="single" w:color="auto" w:sz="4" w:space="0"/>
              <w:left w:val="single" w:color="auto" w:sz="4" w:space="0"/>
              <w:bottom w:val="single" w:color="auto" w:sz="4" w:space="0"/>
              <w:right w:val="single" w:color="auto" w:sz="4" w:space="0"/>
            </w:tcBorders>
            <w:shd w:val="clear" w:color="auto" w:fill="FFFFFF"/>
            <w:vAlign w:val="center"/>
          </w:tcPr>
          <w:p w14:paraId="0E36028A">
            <w:pPr>
              <w:pStyle w:val="6"/>
              <w:rPr>
                <w:rFonts w:hint="eastAsia" w:ascii="仿宋" w:hAnsi="仿宋" w:eastAsia="仿宋" w:cs="仿宋_GB2312"/>
                <w:sz w:val="21"/>
                <w:szCs w:val="21"/>
              </w:rPr>
            </w:pPr>
            <w:r>
              <w:rPr>
                <w:rFonts w:hint="eastAsia" w:ascii="仿宋" w:hAnsi="仿宋" w:eastAsia="仿宋" w:cs="仿宋_GB2312"/>
                <w:sz w:val="21"/>
                <w:szCs w:val="21"/>
              </w:rPr>
              <w:t>1.是否明确物业管理区域按照消防技术标准，设置电动自行车集中管理、集中停放区域；</w:t>
            </w:r>
            <w:r>
              <w:rPr>
                <w:rFonts w:hint="eastAsia" w:ascii="仿宋" w:hAnsi="仿宋" w:eastAsia="仿宋" w:cs="仿宋_GB2312"/>
                <w:sz w:val="21"/>
                <w:szCs w:val="21"/>
              </w:rPr>
              <w:br w:type="textWrapping"/>
            </w:r>
            <w:r>
              <w:rPr>
                <w:rFonts w:hint="eastAsia" w:ascii="仿宋" w:hAnsi="仿宋" w:eastAsia="仿宋" w:cs="仿宋_GB2312"/>
                <w:sz w:val="21"/>
                <w:szCs w:val="21"/>
              </w:rPr>
              <w:t>2.电动自行车是否停放在楼梯间、楼道、疏散通道、安全出口等影响安全区域的；是否在电动自行车、电动摩托车集中充电场所存放易燃、可燃物品。</w:t>
            </w:r>
          </w:p>
          <w:p w14:paraId="490C2280">
            <w:pPr>
              <w:pStyle w:val="6"/>
              <w:rPr>
                <w:rFonts w:hint="eastAsia" w:ascii="仿宋" w:hAnsi="仿宋" w:eastAsia="仿宋" w:cs="仿宋_GB2312"/>
                <w:sz w:val="21"/>
                <w:szCs w:val="21"/>
              </w:rPr>
            </w:pPr>
            <w:r>
              <w:rPr>
                <w:rFonts w:hint="eastAsia" w:ascii="仿宋" w:hAnsi="仿宋" w:eastAsia="仿宋" w:cs="仿宋_GB2312"/>
                <w:sz w:val="21"/>
                <w:szCs w:val="21"/>
              </w:rPr>
              <w:t>3.电动自行车是否违规进楼入户充电及“飞线充电”。</w:t>
            </w:r>
          </w:p>
          <w:p w14:paraId="71947571">
            <w:pPr>
              <w:pStyle w:val="6"/>
              <w:rPr>
                <w:rFonts w:hint="eastAsia" w:ascii="仿宋" w:hAnsi="仿宋" w:eastAsia="仿宋" w:cs="仿宋_GB2312"/>
                <w:sz w:val="21"/>
                <w:szCs w:val="21"/>
              </w:rPr>
            </w:pPr>
            <w:r>
              <w:rPr>
                <w:rFonts w:hint="eastAsia" w:ascii="仿宋" w:hAnsi="仿宋" w:eastAsia="仿宋" w:cs="仿宋_GB2312"/>
                <w:sz w:val="21"/>
                <w:szCs w:val="21"/>
              </w:rPr>
              <w:t>4.开展日常安全巡查，发现违规停放、充电行为履行发现劝阻报告职责。</w:t>
            </w:r>
          </w:p>
        </w:tc>
        <w:tc>
          <w:tcPr>
            <w:tcW w:w="1075" w:type="dxa"/>
            <w:tcBorders>
              <w:top w:val="single" w:color="auto" w:sz="4" w:space="0"/>
              <w:left w:val="single" w:color="auto" w:sz="4" w:space="0"/>
              <w:bottom w:val="single" w:color="auto" w:sz="4" w:space="0"/>
              <w:right w:val="single" w:color="auto" w:sz="4" w:space="0"/>
            </w:tcBorders>
            <w:vAlign w:val="center"/>
          </w:tcPr>
          <w:p w14:paraId="676A744C">
            <w:pPr>
              <w:pStyle w:val="6"/>
              <w:rPr>
                <w:rFonts w:hint="eastAsia" w:ascii="仿宋" w:hAnsi="仿宋" w:eastAsia="仿宋" w:cs="仿宋_GB2312"/>
                <w:sz w:val="21"/>
                <w:szCs w:val="21"/>
              </w:rPr>
            </w:pPr>
            <w:r>
              <w:rPr>
                <w:rFonts w:hint="eastAsia" w:ascii="仿宋" w:hAnsi="仿宋" w:eastAsia="仿宋" w:cs="仿宋_GB2312"/>
                <w:sz w:val="21"/>
                <w:szCs w:val="21"/>
              </w:rPr>
              <w:t>检查台账/现场查看</w:t>
            </w:r>
          </w:p>
        </w:tc>
        <w:tc>
          <w:tcPr>
            <w:tcW w:w="2924" w:type="dxa"/>
            <w:tcBorders>
              <w:top w:val="single" w:color="auto" w:sz="4" w:space="0"/>
              <w:left w:val="single" w:color="auto" w:sz="4" w:space="0"/>
              <w:bottom w:val="single" w:color="auto" w:sz="4" w:space="0"/>
              <w:right w:val="single" w:color="auto" w:sz="4" w:space="0"/>
            </w:tcBorders>
            <w:vAlign w:val="center"/>
          </w:tcPr>
          <w:p w14:paraId="79FC7860">
            <w:pPr>
              <w:pStyle w:val="6"/>
              <w:rPr>
                <w:rFonts w:hint="eastAsia" w:ascii="仿宋" w:hAnsi="仿宋" w:eastAsia="仿宋" w:cs="仿宋_GB2312"/>
                <w:sz w:val="21"/>
                <w:szCs w:val="21"/>
              </w:rPr>
            </w:pPr>
            <w:r>
              <w:rPr>
                <w:rFonts w:hint="eastAsia" w:ascii="仿宋" w:hAnsi="仿宋" w:eastAsia="仿宋" w:cs="仿宋_GB2312"/>
                <w:sz w:val="21"/>
                <w:szCs w:val="21"/>
              </w:rPr>
              <w:t>《高层民用建筑消防安全管理规定》第三十七条；《广东省消防工作若干规定》第三十条</w:t>
            </w:r>
          </w:p>
        </w:tc>
        <w:tc>
          <w:tcPr>
            <w:tcW w:w="3635" w:type="dxa"/>
            <w:tcBorders>
              <w:top w:val="single" w:color="auto" w:sz="4" w:space="0"/>
              <w:left w:val="single" w:color="auto" w:sz="4" w:space="0"/>
              <w:bottom w:val="single" w:color="auto" w:sz="4" w:space="0"/>
              <w:right w:val="single" w:color="auto" w:sz="4" w:space="0"/>
            </w:tcBorders>
            <w:vAlign w:val="center"/>
          </w:tcPr>
          <w:p w14:paraId="65A2E2E0">
            <w:pPr>
              <w:pStyle w:val="6"/>
              <w:rPr>
                <w:rFonts w:hint="eastAsia" w:ascii="仿宋" w:hAnsi="仿宋" w:eastAsia="仿宋" w:cs="仿宋_GB2312"/>
                <w:sz w:val="21"/>
                <w:szCs w:val="21"/>
              </w:rPr>
            </w:pPr>
            <w:r>
              <w:rPr>
                <w:rFonts w:hint="eastAsia" w:ascii="仿宋" w:hAnsi="仿宋" w:eastAsia="仿宋" w:cs="仿宋_GB2312"/>
                <w:sz w:val="21"/>
                <w:szCs w:val="21"/>
              </w:rPr>
              <w:t>未按消防技术标准设置集中停放、充电区域的扣1分；停放在楼梯间、楼道、疏散通道、安全出口等影响安全区域的，每处扣0.5分，最多扣</w:t>
            </w:r>
            <w:r>
              <w:rPr>
                <w:rFonts w:hint="eastAsia" w:ascii="仿宋" w:hAnsi="仿宋" w:eastAsia="仿宋" w:cs="仿宋_GB2312"/>
                <w:color w:val="FF0000"/>
                <w:sz w:val="21"/>
                <w:szCs w:val="21"/>
              </w:rPr>
              <w:t>1</w:t>
            </w:r>
            <w:r>
              <w:rPr>
                <w:rFonts w:hint="eastAsia" w:ascii="仿宋" w:hAnsi="仿宋" w:eastAsia="仿宋" w:cs="仿宋_GB2312"/>
                <w:sz w:val="21"/>
                <w:szCs w:val="21"/>
              </w:rPr>
              <w:t>分；违规进楼入户充电，“飞线充电”的，每处扣0.5分，最多扣</w:t>
            </w:r>
            <w:r>
              <w:rPr>
                <w:rFonts w:hint="eastAsia" w:ascii="仿宋" w:hAnsi="仿宋" w:eastAsia="仿宋" w:cs="仿宋_GB2312"/>
                <w:color w:val="FF0000"/>
                <w:sz w:val="21"/>
                <w:szCs w:val="21"/>
              </w:rPr>
              <w:t>1</w:t>
            </w:r>
            <w:r>
              <w:rPr>
                <w:rFonts w:hint="eastAsia" w:ascii="仿宋" w:hAnsi="仿宋" w:eastAsia="仿宋" w:cs="仿宋_GB2312"/>
                <w:sz w:val="21"/>
                <w:szCs w:val="21"/>
              </w:rPr>
              <w:t>分；未开展日常安全巡查的，扣1分；未履行发现劝阻报告职责的，一次口1分，最多扣</w:t>
            </w:r>
            <w:r>
              <w:rPr>
                <w:rFonts w:hint="eastAsia" w:ascii="仿宋" w:hAnsi="仿宋" w:eastAsia="仿宋" w:cs="仿宋_GB2312"/>
                <w:color w:val="FF0000"/>
                <w:sz w:val="21"/>
                <w:szCs w:val="21"/>
              </w:rPr>
              <w:t>2</w:t>
            </w:r>
            <w:r>
              <w:rPr>
                <w:rFonts w:hint="eastAsia" w:ascii="仿宋" w:hAnsi="仿宋" w:eastAsia="仿宋" w:cs="仿宋_GB2312"/>
                <w:sz w:val="21"/>
                <w:szCs w:val="21"/>
              </w:rPr>
              <w:t>分。</w:t>
            </w:r>
          </w:p>
        </w:tc>
        <w:tc>
          <w:tcPr>
            <w:tcW w:w="457" w:type="dxa"/>
            <w:tcBorders>
              <w:top w:val="single" w:color="auto" w:sz="4" w:space="0"/>
              <w:left w:val="single" w:color="auto" w:sz="4" w:space="0"/>
              <w:bottom w:val="single" w:color="auto" w:sz="4" w:space="0"/>
              <w:right w:val="single" w:color="auto" w:sz="4" w:space="0"/>
            </w:tcBorders>
          </w:tcPr>
          <w:p w14:paraId="34E689B6">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0B3DD8E5">
            <w:pPr>
              <w:widowControl/>
              <w:rPr>
                <w:rFonts w:hint="eastAsia" w:ascii="仿宋" w:hAnsi="仿宋" w:eastAsia="仿宋" w:cs="仿宋_GB2312"/>
              </w:rPr>
            </w:pPr>
          </w:p>
        </w:tc>
      </w:tr>
      <w:tr w14:paraId="7CD2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5"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1CF899D8">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29</w:t>
            </w:r>
          </w:p>
        </w:tc>
        <w:tc>
          <w:tcPr>
            <w:tcW w:w="1428" w:type="dxa"/>
            <w:tcBorders>
              <w:top w:val="single" w:color="auto" w:sz="4" w:space="0"/>
              <w:left w:val="single" w:color="auto" w:sz="4" w:space="0"/>
              <w:bottom w:val="single" w:color="auto" w:sz="4" w:space="0"/>
              <w:right w:val="single" w:color="auto" w:sz="4" w:space="0"/>
            </w:tcBorders>
            <w:vAlign w:val="center"/>
          </w:tcPr>
          <w:p w14:paraId="0832ABBE">
            <w:pPr>
              <w:pStyle w:val="6"/>
              <w:rPr>
                <w:rFonts w:hint="eastAsia" w:ascii="仿宋" w:hAnsi="仿宋" w:eastAsia="仿宋" w:cs="仿宋_GB2312"/>
                <w:sz w:val="21"/>
                <w:szCs w:val="21"/>
              </w:rPr>
            </w:pPr>
            <w:r>
              <w:rPr>
                <w:rFonts w:hint="eastAsia" w:ascii="仿宋" w:hAnsi="仿宋" w:eastAsia="仿宋" w:cs="仿宋_GB2312"/>
                <w:sz w:val="21"/>
                <w:szCs w:val="21"/>
              </w:rPr>
              <w:t>电气火灾安全管理（2分）</w:t>
            </w:r>
          </w:p>
        </w:tc>
        <w:tc>
          <w:tcPr>
            <w:tcW w:w="4721" w:type="dxa"/>
            <w:tcBorders>
              <w:top w:val="single" w:color="auto" w:sz="4" w:space="0"/>
              <w:left w:val="single" w:color="auto" w:sz="4" w:space="0"/>
              <w:bottom w:val="single" w:color="auto" w:sz="4" w:space="0"/>
              <w:right w:val="single" w:color="auto" w:sz="4" w:space="0"/>
            </w:tcBorders>
            <w:vAlign w:val="center"/>
          </w:tcPr>
          <w:p w14:paraId="1AF35B50">
            <w:pPr>
              <w:pStyle w:val="6"/>
              <w:rPr>
                <w:rFonts w:hint="eastAsia" w:ascii="仿宋" w:hAnsi="仿宋" w:eastAsia="仿宋" w:cs="仿宋_GB2312"/>
                <w:sz w:val="21"/>
                <w:szCs w:val="21"/>
              </w:rPr>
            </w:pPr>
            <w:r>
              <w:rPr>
                <w:rFonts w:hint="eastAsia" w:ascii="仿宋" w:hAnsi="仿宋" w:eastAsia="仿宋" w:cs="仿宋_GB2312"/>
                <w:sz w:val="21"/>
                <w:szCs w:val="21"/>
              </w:rPr>
              <w:t>1.公共区域电气线路的铺设方式是否规范、保护措施欠缺，导线绝缘层破损、老化现象的；</w:t>
            </w:r>
          </w:p>
          <w:p w14:paraId="0502C3E3">
            <w:pPr>
              <w:pStyle w:val="6"/>
              <w:rPr>
                <w:rFonts w:hint="eastAsia" w:ascii="仿宋" w:hAnsi="仿宋" w:eastAsia="仿宋" w:cs="仿宋_GB2312"/>
                <w:sz w:val="21"/>
                <w:szCs w:val="21"/>
              </w:rPr>
            </w:pPr>
            <w:r>
              <w:rPr>
                <w:rFonts w:hint="eastAsia" w:ascii="仿宋" w:hAnsi="仿宋" w:eastAsia="仿宋" w:cs="仿宋_GB2312"/>
                <w:sz w:val="21"/>
                <w:szCs w:val="21"/>
              </w:rPr>
              <w:t>2.配电柜、电缆井等部分防火封堵是否规范的；</w:t>
            </w:r>
          </w:p>
          <w:p w14:paraId="56219B4D">
            <w:pPr>
              <w:pStyle w:val="6"/>
              <w:rPr>
                <w:rFonts w:hint="eastAsia" w:ascii="仿宋" w:hAnsi="仿宋" w:eastAsia="仿宋" w:cs="仿宋_GB2312"/>
                <w:sz w:val="21"/>
                <w:szCs w:val="21"/>
              </w:rPr>
            </w:pPr>
            <w:r>
              <w:rPr>
                <w:rFonts w:hint="eastAsia" w:ascii="仿宋" w:hAnsi="仿宋" w:eastAsia="仿宋" w:cs="仿宋_GB2312"/>
                <w:sz w:val="21"/>
                <w:szCs w:val="21"/>
              </w:rPr>
              <w:t>3.公共区域电气设施设备是否设置安全警示标标识的。</w:t>
            </w:r>
          </w:p>
        </w:tc>
        <w:tc>
          <w:tcPr>
            <w:tcW w:w="1075" w:type="dxa"/>
            <w:tcBorders>
              <w:top w:val="single" w:color="auto" w:sz="4" w:space="0"/>
              <w:left w:val="single" w:color="auto" w:sz="4" w:space="0"/>
              <w:bottom w:val="single" w:color="auto" w:sz="4" w:space="0"/>
              <w:right w:val="single" w:color="auto" w:sz="4" w:space="0"/>
            </w:tcBorders>
            <w:vAlign w:val="center"/>
          </w:tcPr>
          <w:p w14:paraId="624FCFE2">
            <w:pPr>
              <w:pStyle w:val="6"/>
              <w:rPr>
                <w:rFonts w:hint="eastAsia" w:ascii="仿宋" w:hAnsi="仿宋" w:eastAsia="仿宋" w:cs="仿宋_GB2312"/>
                <w:sz w:val="21"/>
                <w:szCs w:val="21"/>
              </w:rPr>
            </w:pPr>
            <w:r>
              <w:rPr>
                <w:rFonts w:hint="eastAsia" w:ascii="仿宋" w:hAnsi="仿宋" w:eastAsia="仿宋" w:cs="仿宋_GB2312"/>
                <w:sz w:val="21"/>
                <w:szCs w:val="21"/>
              </w:rPr>
              <w:t>现场查看</w:t>
            </w:r>
          </w:p>
        </w:tc>
        <w:tc>
          <w:tcPr>
            <w:tcW w:w="2924" w:type="dxa"/>
            <w:tcBorders>
              <w:top w:val="single" w:color="auto" w:sz="4" w:space="0"/>
              <w:left w:val="single" w:color="auto" w:sz="4" w:space="0"/>
              <w:bottom w:val="single" w:color="auto" w:sz="4" w:space="0"/>
              <w:right w:val="single" w:color="auto" w:sz="4" w:space="0"/>
            </w:tcBorders>
            <w:vAlign w:val="center"/>
          </w:tcPr>
          <w:p w14:paraId="2AE6F50F">
            <w:pPr>
              <w:pStyle w:val="6"/>
              <w:rPr>
                <w:rFonts w:hint="eastAsia" w:ascii="仿宋" w:hAnsi="仿宋" w:eastAsia="仿宋" w:cs="仿宋_GB2312"/>
                <w:sz w:val="21"/>
                <w:szCs w:val="21"/>
              </w:rPr>
            </w:pPr>
            <w:r>
              <w:rPr>
                <w:rFonts w:hint="eastAsia" w:ascii="仿宋" w:hAnsi="仿宋" w:eastAsia="仿宋" w:cs="仿宋_GB2312"/>
                <w:sz w:val="21"/>
                <w:szCs w:val="21"/>
              </w:rPr>
              <w:t>《高层民用建筑消防安全管理规定》第二十条；</w:t>
            </w:r>
          </w:p>
        </w:tc>
        <w:tc>
          <w:tcPr>
            <w:tcW w:w="3635" w:type="dxa"/>
            <w:tcBorders>
              <w:top w:val="single" w:color="auto" w:sz="4" w:space="0"/>
              <w:left w:val="single" w:color="auto" w:sz="4" w:space="0"/>
              <w:bottom w:val="single" w:color="auto" w:sz="4" w:space="0"/>
              <w:right w:val="single" w:color="auto" w:sz="4" w:space="0"/>
            </w:tcBorders>
            <w:vAlign w:val="center"/>
          </w:tcPr>
          <w:p w14:paraId="7953FFC3">
            <w:pPr>
              <w:pStyle w:val="6"/>
              <w:rPr>
                <w:rFonts w:hint="eastAsia" w:ascii="仿宋" w:hAnsi="仿宋" w:eastAsia="仿宋" w:cs="仿宋_GB2312"/>
                <w:sz w:val="21"/>
                <w:szCs w:val="21"/>
              </w:rPr>
            </w:pPr>
            <w:r>
              <w:rPr>
                <w:rFonts w:hint="eastAsia" w:ascii="仿宋" w:hAnsi="仿宋" w:eastAsia="仿宋" w:cs="仿宋_GB2312"/>
                <w:sz w:val="21"/>
                <w:szCs w:val="21"/>
              </w:rPr>
              <w:t>电气线路的铺设方式不规范、保护措施欠缺，导线绝缘层破损、老化现象，配电柜、电缆井等部分防火封堵不规范的，每处扣0.5分，最多扣1分；未设置安全警示标志的，每处扣0.5分，最多扣1分。</w:t>
            </w:r>
          </w:p>
        </w:tc>
        <w:tc>
          <w:tcPr>
            <w:tcW w:w="457" w:type="dxa"/>
            <w:tcBorders>
              <w:top w:val="single" w:color="auto" w:sz="4" w:space="0"/>
              <w:left w:val="single" w:color="auto" w:sz="4" w:space="0"/>
              <w:bottom w:val="single" w:color="auto" w:sz="4" w:space="0"/>
              <w:right w:val="single" w:color="auto" w:sz="4" w:space="0"/>
            </w:tcBorders>
          </w:tcPr>
          <w:p w14:paraId="2687C856">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421D65AE">
            <w:pPr>
              <w:widowControl/>
              <w:rPr>
                <w:rFonts w:hint="eastAsia" w:ascii="仿宋" w:hAnsi="仿宋" w:eastAsia="仿宋" w:cs="仿宋_GB2312"/>
              </w:rPr>
            </w:pPr>
          </w:p>
        </w:tc>
      </w:tr>
      <w:tr w14:paraId="6DC7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0"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3867BA7D">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3</w:t>
            </w:r>
            <w:r>
              <w:rPr>
                <w:rFonts w:ascii="仿宋" w:hAnsi="仿宋" w:eastAsia="仿宋" w:cs="仿宋_GB2312"/>
                <w:sz w:val="21"/>
                <w:szCs w:val="21"/>
              </w:rPr>
              <w:t>0</w:t>
            </w:r>
          </w:p>
        </w:tc>
        <w:tc>
          <w:tcPr>
            <w:tcW w:w="1428" w:type="dxa"/>
            <w:tcBorders>
              <w:top w:val="single" w:color="auto" w:sz="4" w:space="0"/>
              <w:left w:val="single" w:color="auto" w:sz="4" w:space="0"/>
              <w:bottom w:val="single" w:color="auto" w:sz="4" w:space="0"/>
              <w:right w:val="single" w:color="auto" w:sz="4" w:space="0"/>
            </w:tcBorders>
            <w:vAlign w:val="center"/>
          </w:tcPr>
          <w:p w14:paraId="7E6A1EB4">
            <w:pPr>
              <w:pStyle w:val="6"/>
              <w:rPr>
                <w:rFonts w:hint="eastAsia" w:ascii="仿宋" w:hAnsi="仿宋" w:eastAsia="仿宋" w:cs="仿宋_GB2312"/>
                <w:sz w:val="21"/>
                <w:szCs w:val="21"/>
              </w:rPr>
            </w:pPr>
            <w:r>
              <w:rPr>
                <w:rFonts w:hint="eastAsia" w:ascii="仿宋" w:hAnsi="仿宋" w:eastAsia="仿宋" w:cs="仿宋_GB2312"/>
                <w:sz w:val="21"/>
                <w:szCs w:val="21"/>
              </w:rPr>
              <w:t>燃气安全管理（2分）</w:t>
            </w:r>
          </w:p>
        </w:tc>
        <w:tc>
          <w:tcPr>
            <w:tcW w:w="4721" w:type="dxa"/>
            <w:tcBorders>
              <w:top w:val="single" w:color="auto" w:sz="4" w:space="0"/>
              <w:left w:val="single" w:color="auto" w:sz="4" w:space="0"/>
              <w:bottom w:val="single" w:color="auto" w:sz="4" w:space="0"/>
              <w:right w:val="single" w:color="auto" w:sz="4" w:space="0"/>
            </w:tcBorders>
            <w:vAlign w:val="center"/>
          </w:tcPr>
          <w:p w14:paraId="4828E2AA">
            <w:pPr>
              <w:pStyle w:val="6"/>
              <w:rPr>
                <w:rFonts w:hint="eastAsia" w:ascii="仿宋" w:hAnsi="仿宋" w:eastAsia="仿宋" w:cs="仿宋_GB2312"/>
                <w:sz w:val="21"/>
                <w:szCs w:val="21"/>
              </w:rPr>
            </w:pPr>
            <w:r>
              <w:rPr>
                <w:rFonts w:hint="eastAsia" w:ascii="仿宋" w:hAnsi="仿宋" w:eastAsia="仿宋" w:cs="仿宋_GB2312"/>
                <w:sz w:val="21"/>
                <w:szCs w:val="21"/>
              </w:rPr>
              <w:t>1、指定专人接受燃气安全知识培训并开展宣传活动；2、对共用燃气管道及设施进行日常巡查；3、协助燃气企业开展燃气管道及设施维护、抢修、安全检查（含入户安全检查）以及抄表工作；4、是否违规使用瓶装液化气；5、疑似燃气泄漏隐患问题举报投诉是否得到有效解决；6、是否组织开展燃气应急演练；</w:t>
            </w:r>
          </w:p>
        </w:tc>
        <w:tc>
          <w:tcPr>
            <w:tcW w:w="1075" w:type="dxa"/>
            <w:tcBorders>
              <w:top w:val="single" w:color="auto" w:sz="4" w:space="0"/>
              <w:left w:val="single" w:color="auto" w:sz="4" w:space="0"/>
              <w:bottom w:val="single" w:color="auto" w:sz="4" w:space="0"/>
              <w:right w:val="single" w:color="auto" w:sz="4" w:space="0"/>
            </w:tcBorders>
            <w:vAlign w:val="center"/>
          </w:tcPr>
          <w:p w14:paraId="638C7696">
            <w:pPr>
              <w:pStyle w:val="6"/>
              <w:rPr>
                <w:rFonts w:hint="eastAsia" w:ascii="仿宋" w:hAnsi="仿宋" w:eastAsia="仿宋" w:cs="仿宋_GB2312"/>
                <w:sz w:val="21"/>
                <w:szCs w:val="21"/>
              </w:rPr>
            </w:pPr>
            <w:r>
              <w:rPr>
                <w:rFonts w:hint="eastAsia" w:ascii="仿宋" w:hAnsi="仿宋" w:eastAsia="仿宋" w:cs="仿宋_GB2312"/>
                <w:sz w:val="21"/>
                <w:szCs w:val="21"/>
              </w:rPr>
              <w:t>检查台账、现场检查</w:t>
            </w:r>
          </w:p>
        </w:tc>
        <w:tc>
          <w:tcPr>
            <w:tcW w:w="2924" w:type="dxa"/>
            <w:tcBorders>
              <w:top w:val="single" w:color="auto" w:sz="4" w:space="0"/>
              <w:left w:val="single" w:color="auto" w:sz="4" w:space="0"/>
              <w:bottom w:val="single" w:color="auto" w:sz="4" w:space="0"/>
              <w:right w:val="single" w:color="auto" w:sz="4" w:space="0"/>
            </w:tcBorders>
            <w:vAlign w:val="center"/>
          </w:tcPr>
          <w:p w14:paraId="1EAE48BD">
            <w:pPr>
              <w:pStyle w:val="6"/>
              <w:rPr>
                <w:rFonts w:hint="eastAsia" w:ascii="仿宋" w:hAnsi="仿宋" w:eastAsia="仿宋" w:cs="仿宋_GB2312"/>
                <w:sz w:val="21"/>
                <w:szCs w:val="21"/>
              </w:rPr>
            </w:pPr>
            <w:r>
              <w:rPr>
                <w:rFonts w:hint="eastAsia" w:ascii="仿宋" w:hAnsi="仿宋" w:eastAsia="仿宋" w:cs="仿宋_GB2312"/>
                <w:sz w:val="21"/>
                <w:szCs w:val="21"/>
              </w:rPr>
              <w:t>《深圳经济特区城市燃气管理条例》</w:t>
            </w:r>
          </w:p>
        </w:tc>
        <w:tc>
          <w:tcPr>
            <w:tcW w:w="3635" w:type="dxa"/>
            <w:tcBorders>
              <w:top w:val="single" w:color="auto" w:sz="4" w:space="0"/>
              <w:left w:val="single" w:color="auto" w:sz="4" w:space="0"/>
              <w:bottom w:val="single" w:color="auto" w:sz="4" w:space="0"/>
              <w:right w:val="single" w:color="auto" w:sz="4" w:space="0"/>
            </w:tcBorders>
            <w:vAlign w:val="center"/>
          </w:tcPr>
          <w:p w14:paraId="1F2931E2">
            <w:pPr>
              <w:pStyle w:val="6"/>
              <w:rPr>
                <w:rFonts w:hint="eastAsia" w:ascii="仿宋" w:hAnsi="仿宋" w:eastAsia="仿宋" w:cs="仿宋_GB2312"/>
                <w:sz w:val="21"/>
                <w:szCs w:val="21"/>
              </w:rPr>
            </w:pPr>
            <w:r>
              <w:rPr>
                <w:rFonts w:hint="eastAsia" w:ascii="仿宋" w:hAnsi="仿宋" w:eastAsia="仿宋" w:cs="仿宋_GB2312"/>
                <w:sz w:val="21"/>
                <w:szCs w:val="21"/>
              </w:rPr>
              <w:t>1、未指定专人接受燃气安全知识培训并开展宣传活动扣1分；2、未对共用燃气管道及设施进行日常巡查的扣1分；3、未协助燃气企业开展燃气管道及设施维护、抢修、安全检查（含入户安全检查）以及抄表工作扣1分；4、违规使用瓶装液化气扣1分；5、疑似燃气泄漏隐患问题举报投诉未得到有效解决扣1分；6、未组织开展燃气应急演练扣1分；最多扣2分。</w:t>
            </w:r>
          </w:p>
        </w:tc>
        <w:tc>
          <w:tcPr>
            <w:tcW w:w="457" w:type="dxa"/>
            <w:tcBorders>
              <w:top w:val="single" w:color="auto" w:sz="4" w:space="0"/>
              <w:left w:val="single" w:color="auto" w:sz="4" w:space="0"/>
              <w:bottom w:val="single" w:color="auto" w:sz="4" w:space="0"/>
              <w:right w:val="single" w:color="auto" w:sz="4" w:space="0"/>
            </w:tcBorders>
          </w:tcPr>
          <w:p w14:paraId="0A6B7FED">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59174BE3">
            <w:pPr>
              <w:widowControl/>
              <w:rPr>
                <w:rFonts w:hint="eastAsia" w:ascii="仿宋" w:hAnsi="仿宋" w:eastAsia="仿宋" w:cs="仿宋_GB2312"/>
              </w:rPr>
            </w:pPr>
          </w:p>
        </w:tc>
      </w:tr>
      <w:tr w14:paraId="30DA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0"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0BCD1EBA">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3</w:t>
            </w:r>
            <w:r>
              <w:rPr>
                <w:rFonts w:ascii="仿宋" w:hAnsi="仿宋" w:eastAsia="仿宋" w:cs="仿宋_GB2312"/>
                <w:sz w:val="21"/>
                <w:szCs w:val="21"/>
              </w:rPr>
              <w:t>1</w:t>
            </w:r>
          </w:p>
        </w:tc>
        <w:tc>
          <w:tcPr>
            <w:tcW w:w="1428" w:type="dxa"/>
            <w:tcBorders>
              <w:top w:val="single" w:color="auto" w:sz="4" w:space="0"/>
              <w:left w:val="single" w:color="auto" w:sz="4" w:space="0"/>
              <w:bottom w:val="single" w:color="auto" w:sz="4" w:space="0"/>
              <w:right w:val="single" w:color="auto" w:sz="4" w:space="0"/>
            </w:tcBorders>
            <w:vAlign w:val="center"/>
          </w:tcPr>
          <w:p w14:paraId="572070CE">
            <w:pPr>
              <w:pStyle w:val="6"/>
              <w:rPr>
                <w:rFonts w:hint="eastAsia" w:ascii="仿宋" w:hAnsi="仿宋" w:eastAsia="仿宋" w:cs="仿宋_GB2312"/>
                <w:sz w:val="21"/>
                <w:szCs w:val="21"/>
              </w:rPr>
            </w:pPr>
            <w:r>
              <w:rPr>
                <w:rFonts w:hint="eastAsia" w:ascii="仿宋" w:hAnsi="仿宋" w:eastAsia="仿宋" w:cs="仿宋_GB2312"/>
                <w:sz w:val="21"/>
                <w:szCs w:val="21"/>
              </w:rPr>
              <w:t>娱乐设施</w:t>
            </w:r>
          </w:p>
          <w:p w14:paraId="12946143">
            <w:pPr>
              <w:pStyle w:val="6"/>
              <w:rPr>
                <w:rFonts w:hint="eastAsia" w:ascii="仿宋" w:hAnsi="仿宋" w:eastAsia="仿宋" w:cs="仿宋_GB2312"/>
                <w:sz w:val="21"/>
                <w:szCs w:val="21"/>
              </w:rPr>
            </w:pPr>
            <w:r>
              <w:rPr>
                <w:rFonts w:hint="eastAsia" w:ascii="仿宋" w:hAnsi="仿宋" w:eastAsia="仿宋" w:cs="仿宋_GB2312"/>
                <w:sz w:val="21"/>
                <w:szCs w:val="21"/>
              </w:rPr>
              <w:t>（2分）</w:t>
            </w:r>
          </w:p>
        </w:tc>
        <w:tc>
          <w:tcPr>
            <w:tcW w:w="4721" w:type="dxa"/>
            <w:tcBorders>
              <w:top w:val="single" w:color="auto" w:sz="4" w:space="0"/>
              <w:left w:val="single" w:color="auto" w:sz="4" w:space="0"/>
              <w:bottom w:val="single" w:color="auto" w:sz="4" w:space="0"/>
              <w:right w:val="single" w:color="auto" w:sz="4" w:space="0"/>
            </w:tcBorders>
            <w:vAlign w:val="center"/>
          </w:tcPr>
          <w:p w14:paraId="6163F352">
            <w:pPr>
              <w:pStyle w:val="6"/>
              <w:rPr>
                <w:rFonts w:hint="eastAsia" w:ascii="仿宋" w:hAnsi="仿宋" w:eastAsia="仿宋" w:cs="仿宋_GB2312"/>
                <w:sz w:val="21"/>
                <w:szCs w:val="21"/>
              </w:rPr>
            </w:pPr>
            <w:r>
              <w:rPr>
                <w:rFonts w:hint="eastAsia" w:ascii="仿宋" w:hAnsi="仿宋" w:eastAsia="仿宋" w:cs="仿宋_GB2312"/>
                <w:sz w:val="21"/>
                <w:szCs w:val="21"/>
              </w:rPr>
              <w:t>（1）建立定期对娱乐设施的巡查、养护、维修制度。（2）对于有安全隐患的设备设施，采取应急防范措施、设置警示标示。</w:t>
            </w:r>
          </w:p>
        </w:tc>
        <w:tc>
          <w:tcPr>
            <w:tcW w:w="1075" w:type="dxa"/>
            <w:tcBorders>
              <w:top w:val="single" w:color="auto" w:sz="4" w:space="0"/>
              <w:left w:val="single" w:color="auto" w:sz="4" w:space="0"/>
              <w:bottom w:val="single" w:color="auto" w:sz="4" w:space="0"/>
              <w:right w:val="single" w:color="auto" w:sz="4" w:space="0"/>
            </w:tcBorders>
            <w:vAlign w:val="center"/>
          </w:tcPr>
          <w:p w14:paraId="527A8288">
            <w:pPr>
              <w:pStyle w:val="6"/>
              <w:rPr>
                <w:rFonts w:hint="eastAsia" w:ascii="仿宋" w:hAnsi="仿宋" w:eastAsia="仿宋" w:cs="仿宋_GB2312"/>
                <w:sz w:val="21"/>
                <w:szCs w:val="21"/>
              </w:rPr>
            </w:pPr>
            <w:r>
              <w:rPr>
                <w:rFonts w:hint="eastAsia" w:ascii="仿宋" w:hAnsi="仿宋" w:eastAsia="仿宋" w:cs="仿宋_GB2312"/>
                <w:sz w:val="21"/>
                <w:szCs w:val="21"/>
              </w:rPr>
              <w:t>检查台账、现场抽查检查</w:t>
            </w:r>
          </w:p>
        </w:tc>
        <w:tc>
          <w:tcPr>
            <w:tcW w:w="2924" w:type="dxa"/>
            <w:tcBorders>
              <w:top w:val="single" w:color="auto" w:sz="4" w:space="0"/>
              <w:left w:val="single" w:color="auto" w:sz="4" w:space="0"/>
              <w:bottom w:val="single" w:color="auto" w:sz="4" w:space="0"/>
              <w:right w:val="single" w:color="auto" w:sz="4" w:space="0"/>
            </w:tcBorders>
            <w:vAlign w:val="center"/>
          </w:tcPr>
          <w:p w14:paraId="40EE6AE8">
            <w:pPr>
              <w:pStyle w:val="6"/>
              <w:rPr>
                <w:rFonts w:hint="eastAsia" w:ascii="仿宋" w:hAnsi="仿宋" w:eastAsia="仿宋" w:cs="仿宋_GB2312"/>
                <w:sz w:val="21"/>
                <w:szCs w:val="21"/>
              </w:rPr>
            </w:pPr>
            <w:r>
              <w:rPr>
                <w:rFonts w:hint="eastAsia" w:ascii="仿宋" w:hAnsi="仿宋" w:eastAsia="仿宋" w:cs="仿宋_GB2312"/>
                <w:sz w:val="21"/>
                <w:szCs w:val="21"/>
              </w:rPr>
              <w:t>《部分新业态新领域安全生产工作职责》的通知</w:t>
            </w:r>
          </w:p>
        </w:tc>
        <w:tc>
          <w:tcPr>
            <w:tcW w:w="3635" w:type="dxa"/>
            <w:tcBorders>
              <w:top w:val="single" w:color="auto" w:sz="4" w:space="0"/>
              <w:left w:val="single" w:color="auto" w:sz="4" w:space="0"/>
              <w:bottom w:val="single" w:color="auto" w:sz="4" w:space="0"/>
              <w:right w:val="single" w:color="auto" w:sz="4" w:space="0"/>
            </w:tcBorders>
            <w:vAlign w:val="center"/>
          </w:tcPr>
          <w:p w14:paraId="15881569">
            <w:pPr>
              <w:pStyle w:val="6"/>
              <w:rPr>
                <w:rFonts w:hint="eastAsia" w:ascii="仿宋" w:hAnsi="仿宋" w:eastAsia="仿宋" w:cs="仿宋_GB2312"/>
                <w:sz w:val="21"/>
                <w:szCs w:val="21"/>
              </w:rPr>
            </w:pPr>
            <w:r>
              <w:rPr>
                <w:rFonts w:hint="eastAsia" w:ascii="仿宋" w:hAnsi="仿宋" w:eastAsia="仿宋" w:cs="仿宋_GB2312"/>
                <w:sz w:val="21"/>
                <w:szCs w:val="21"/>
              </w:rPr>
              <w:t>未建立娱乐设施安全管理制度，扣1分；未对存在安全隐患的位置采取相关措施，每发现一处，扣0.5分，最多扣1分。</w:t>
            </w:r>
          </w:p>
        </w:tc>
        <w:tc>
          <w:tcPr>
            <w:tcW w:w="457" w:type="dxa"/>
            <w:tcBorders>
              <w:top w:val="single" w:color="auto" w:sz="4" w:space="0"/>
              <w:left w:val="single" w:color="auto" w:sz="4" w:space="0"/>
              <w:bottom w:val="single" w:color="auto" w:sz="4" w:space="0"/>
              <w:right w:val="single" w:color="auto" w:sz="4" w:space="0"/>
            </w:tcBorders>
          </w:tcPr>
          <w:p w14:paraId="20AA096E">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363881DA">
            <w:pPr>
              <w:widowControl/>
              <w:rPr>
                <w:rFonts w:hint="eastAsia" w:ascii="仿宋" w:hAnsi="仿宋" w:eastAsia="仿宋" w:cs="仿宋_GB2312"/>
              </w:rPr>
            </w:pPr>
          </w:p>
        </w:tc>
      </w:tr>
      <w:tr w14:paraId="03CD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0"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40EAB33E">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3</w:t>
            </w:r>
            <w:r>
              <w:rPr>
                <w:rFonts w:ascii="仿宋" w:hAnsi="仿宋" w:eastAsia="仿宋" w:cs="仿宋_GB2312"/>
                <w:sz w:val="21"/>
                <w:szCs w:val="21"/>
              </w:rPr>
              <w:t>2</w:t>
            </w:r>
          </w:p>
        </w:tc>
        <w:tc>
          <w:tcPr>
            <w:tcW w:w="1428" w:type="dxa"/>
            <w:tcBorders>
              <w:top w:val="single" w:color="auto" w:sz="4" w:space="0"/>
              <w:left w:val="single" w:color="auto" w:sz="4" w:space="0"/>
              <w:bottom w:val="single" w:color="auto" w:sz="4" w:space="0"/>
              <w:right w:val="single" w:color="auto" w:sz="4" w:space="0"/>
            </w:tcBorders>
            <w:vAlign w:val="center"/>
          </w:tcPr>
          <w:p w14:paraId="06EB1616">
            <w:pPr>
              <w:pStyle w:val="6"/>
              <w:rPr>
                <w:rFonts w:hint="eastAsia" w:ascii="仿宋" w:hAnsi="仿宋" w:eastAsia="仿宋" w:cs="仿宋_GB2312"/>
                <w:sz w:val="21"/>
                <w:szCs w:val="21"/>
              </w:rPr>
            </w:pPr>
            <w:r>
              <w:rPr>
                <w:rFonts w:hint="eastAsia" w:ascii="仿宋" w:hAnsi="仿宋" w:eastAsia="仿宋" w:cs="仿宋_GB2312"/>
                <w:sz w:val="21"/>
                <w:szCs w:val="21"/>
              </w:rPr>
              <w:t>上级文件执行</w:t>
            </w:r>
          </w:p>
          <w:p w14:paraId="03BB0531">
            <w:pPr>
              <w:pStyle w:val="6"/>
              <w:rPr>
                <w:rFonts w:hint="eastAsia" w:ascii="仿宋" w:hAnsi="仿宋" w:eastAsia="仿宋" w:cs="仿宋_GB2312"/>
                <w:sz w:val="21"/>
                <w:szCs w:val="21"/>
              </w:rPr>
            </w:pPr>
            <w:r>
              <w:rPr>
                <w:rFonts w:hint="eastAsia" w:ascii="仿宋" w:hAnsi="仿宋" w:eastAsia="仿宋" w:cs="仿宋_GB2312"/>
                <w:sz w:val="21"/>
                <w:szCs w:val="21"/>
              </w:rPr>
              <w:t>（2分）</w:t>
            </w:r>
          </w:p>
        </w:tc>
        <w:tc>
          <w:tcPr>
            <w:tcW w:w="4721" w:type="dxa"/>
            <w:tcBorders>
              <w:top w:val="single" w:color="auto" w:sz="4" w:space="0"/>
              <w:left w:val="single" w:color="auto" w:sz="4" w:space="0"/>
              <w:bottom w:val="single" w:color="auto" w:sz="4" w:space="0"/>
              <w:right w:val="single" w:color="auto" w:sz="4" w:space="0"/>
            </w:tcBorders>
            <w:vAlign w:val="center"/>
          </w:tcPr>
          <w:p w14:paraId="38C2C8F2">
            <w:pPr>
              <w:pStyle w:val="6"/>
              <w:rPr>
                <w:rFonts w:hint="eastAsia" w:ascii="仿宋" w:hAnsi="仿宋" w:eastAsia="仿宋" w:cs="仿宋_GB2312"/>
                <w:sz w:val="21"/>
                <w:szCs w:val="21"/>
              </w:rPr>
            </w:pPr>
            <w:r>
              <w:rPr>
                <w:rFonts w:hint="eastAsia" w:ascii="仿宋" w:hAnsi="仿宋" w:eastAsia="仿宋" w:cs="仿宋_GB2312"/>
                <w:sz w:val="21"/>
                <w:szCs w:val="21"/>
              </w:rPr>
              <w:t>是否对物业主管及相关上级部门文件进行落实。</w:t>
            </w:r>
          </w:p>
        </w:tc>
        <w:tc>
          <w:tcPr>
            <w:tcW w:w="1075" w:type="dxa"/>
            <w:tcBorders>
              <w:top w:val="single" w:color="auto" w:sz="4" w:space="0"/>
              <w:left w:val="single" w:color="auto" w:sz="4" w:space="0"/>
              <w:bottom w:val="single" w:color="auto" w:sz="4" w:space="0"/>
              <w:right w:val="single" w:color="auto" w:sz="4" w:space="0"/>
            </w:tcBorders>
            <w:vAlign w:val="center"/>
          </w:tcPr>
          <w:p w14:paraId="23A3C2D5">
            <w:pPr>
              <w:pStyle w:val="6"/>
              <w:rPr>
                <w:rFonts w:hint="eastAsia" w:ascii="仿宋" w:hAnsi="仿宋" w:eastAsia="仿宋" w:cs="仿宋_GB2312"/>
                <w:sz w:val="21"/>
                <w:szCs w:val="21"/>
              </w:rPr>
            </w:pPr>
            <w:r>
              <w:rPr>
                <w:rFonts w:hint="eastAsia" w:ascii="仿宋" w:hAnsi="仿宋" w:eastAsia="仿宋" w:cs="仿宋_GB2312"/>
                <w:sz w:val="21"/>
                <w:szCs w:val="21"/>
              </w:rPr>
              <w:t>查阅档案</w:t>
            </w:r>
          </w:p>
        </w:tc>
        <w:tc>
          <w:tcPr>
            <w:tcW w:w="2924" w:type="dxa"/>
            <w:tcBorders>
              <w:top w:val="single" w:color="auto" w:sz="4" w:space="0"/>
              <w:left w:val="single" w:color="auto" w:sz="4" w:space="0"/>
              <w:bottom w:val="single" w:color="auto" w:sz="4" w:space="0"/>
              <w:right w:val="single" w:color="auto" w:sz="4" w:space="0"/>
            </w:tcBorders>
            <w:vAlign w:val="center"/>
          </w:tcPr>
          <w:p w14:paraId="5C7633D4">
            <w:pPr>
              <w:pStyle w:val="6"/>
              <w:rPr>
                <w:rFonts w:hint="eastAsia" w:ascii="仿宋" w:hAnsi="仿宋" w:eastAsia="仿宋" w:cs="仿宋_GB2312"/>
                <w:sz w:val="21"/>
                <w:szCs w:val="21"/>
              </w:rPr>
            </w:pPr>
            <w:r>
              <w:rPr>
                <w:rFonts w:hint="eastAsia" w:ascii="仿宋" w:hAnsi="仿宋" w:eastAsia="仿宋" w:cs="仿宋_GB2312"/>
                <w:sz w:val="21"/>
                <w:szCs w:val="21"/>
              </w:rPr>
              <w:t>南山区住房和建设局和相关部门对物业服务企业下发的安全管理文件</w:t>
            </w:r>
          </w:p>
        </w:tc>
        <w:tc>
          <w:tcPr>
            <w:tcW w:w="3635" w:type="dxa"/>
            <w:tcBorders>
              <w:top w:val="single" w:color="auto" w:sz="4" w:space="0"/>
              <w:left w:val="single" w:color="auto" w:sz="4" w:space="0"/>
              <w:bottom w:val="single" w:color="auto" w:sz="4" w:space="0"/>
              <w:right w:val="single" w:color="auto" w:sz="4" w:space="0"/>
            </w:tcBorders>
            <w:vAlign w:val="center"/>
          </w:tcPr>
          <w:p w14:paraId="3DAF2CAC">
            <w:pPr>
              <w:pStyle w:val="6"/>
              <w:rPr>
                <w:rFonts w:hint="eastAsia" w:ascii="仿宋" w:hAnsi="仿宋" w:eastAsia="仿宋" w:cs="仿宋_GB2312"/>
                <w:sz w:val="21"/>
                <w:szCs w:val="21"/>
              </w:rPr>
            </w:pPr>
            <w:r>
              <w:rPr>
                <w:rFonts w:hint="eastAsia" w:ascii="仿宋" w:hAnsi="仿宋" w:eastAsia="仿宋" w:cs="仿宋_GB2312"/>
                <w:sz w:val="21"/>
                <w:szCs w:val="21"/>
              </w:rPr>
              <w:t>根据项目的风险特征，现场抽查上级下发文件的落实情况，少执行一项扣0.5分，最多扣2分。</w:t>
            </w:r>
          </w:p>
        </w:tc>
        <w:tc>
          <w:tcPr>
            <w:tcW w:w="457" w:type="dxa"/>
            <w:tcBorders>
              <w:top w:val="single" w:color="auto" w:sz="4" w:space="0"/>
              <w:left w:val="single" w:color="auto" w:sz="4" w:space="0"/>
              <w:bottom w:val="single" w:color="auto" w:sz="4" w:space="0"/>
              <w:right w:val="single" w:color="auto" w:sz="4" w:space="0"/>
            </w:tcBorders>
          </w:tcPr>
          <w:p w14:paraId="0451A877">
            <w:pPr>
              <w:pStyle w:val="6"/>
              <w:rPr>
                <w:rFonts w:hint="eastAsia" w:ascii="仿宋" w:hAnsi="仿宋" w:eastAsia="仿宋" w:cs="仿宋_GB2312"/>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4BB898DF">
            <w:pPr>
              <w:widowControl/>
              <w:rPr>
                <w:rFonts w:hint="eastAsia" w:ascii="仿宋" w:hAnsi="仿宋" w:eastAsia="仿宋" w:cs="仿宋_GB2312"/>
              </w:rPr>
            </w:pPr>
          </w:p>
        </w:tc>
      </w:tr>
      <w:tr w14:paraId="0F4C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0" w:hRule="atLeast"/>
          <w:jc w:val="center"/>
        </w:trPr>
        <w:tc>
          <w:tcPr>
            <w:tcW w:w="497" w:type="dxa"/>
            <w:tcBorders>
              <w:top w:val="single" w:color="auto" w:sz="4" w:space="0"/>
              <w:left w:val="single" w:color="auto" w:sz="4" w:space="0"/>
              <w:bottom w:val="single" w:color="auto" w:sz="4" w:space="0"/>
              <w:right w:val="single" w:color="auto" w:sz="4" w:space="0"/>
            </w:tcBorders>
            <w:vAlign w:val="center"/>
          </w:tcPr>
          <w:p w14:paraId="0099E213">
            <w:pPr>
              <w:pStyle w:val="6"/>
              <w:spacing w:after="150"/>
              <w:jc w:val="center"/>
              <w:rPr>
                <w:rFonts w:hint="eastAsia" w:ascii="仿宋" w:hAnsi="仿宋" w:eastAsia="仿宋" w:cs="仿宋_GB2312"/>
                <w:sz w:val="21"/>
                <w:szCs w:val="21"/>
              </w:rPr>
            </w:pPr>
            <w:r>
              <w:rPr>
                <w:rFonts w:hint="eastAsia" w:ascii="仿宋" w:hAnsi="仿宋" w:eastAsia="仿宋" w:cs="仿宋_GB2312"/>
                <w:sz w:val="21"/>
                <w:szCs w:val="21"/>
              </w:rPr>
              <w:t>3</w:t>
            </w:r>
            <w:r>
              <w:rPr>
                <w:rFonts w:ascii="仿宋" w:hAnsi="仿宋" w:eastAsia="仿宋" w:cs="仿宋_GB2312"/>
                <w:sz w:val="21"/>
                <w:szCs w:val="21"/>
              </w:rPr>
              <w:t>3</w:t>
            </w:r>
          </w:p>
        </w:tc>
        <w:tc>
          <w:tcPr>
            <w:tcW w:w="1428" w:type="dxa"/>
            <w:tcBorders>
              <w:top w:val="single" w:color="auto" w:sz="4" w:space="0"/>
              <w:left w:val="single" w:color="auto" w:sz="4" w:space="0"/>
              <w:bottom w:val="single" w:color="auto" w:sz="4" w:space="0"/>
              <w:right w:val="single" w:color="auto" w:sz="4" w:space="0"/>
            </w:tcBorders>
            <w:vAlign w:val="center"/>
          </w:tcPr>
          <w:p w14:paraId="2A829D3D">
            <w:pPr>
              <w:pStyle w:val="6"/>
              <w:rPr>
                <w:rFonts w:hint="eastAsia" w:ascii="仿宋" w:hAnsi="仿宋" w:eastAsia="仿宋" w:cs="仿宋_GB2312"/>
                <w:sz w:val="21"/>
                <w:szCs w:val="21"/>
              </w:rPr>
            </w:pPr>
            <w:r>
              <w:rPr>
                <w:rFonts w:hint="eastAsia" w:ascii="仿宋" w:hAnsi="仿宋" w:eastAsia="仿宋" w:cs="仿宋_GB2312"/>
                <w:color w:val="FF0000"/>
                <w:sz w:val="21"/>
                <w:szCs w:val="21"/>
              </w:rPr>
              <w:t>安全职责履行（4分）</w:t>
            </w:r>
          </w:p>
        </w:tc>
        <w:tc>
          <w:tcPr>
            <w:tcW w:w="4721" w:type="dxa"/>
            <w:tcBorders>
              <w:top w:val="single" w:color="auto" w:sz="4" w:space="0"/>
              <w:left w:val="single" w:color="auto" w:sz="4" w:space="0"/>
              <w:bottom w:val="single" w:color="auto" w:sz="4" w:space="0"/>
              <w:right w:val="single" w:color="auto" w:sz="4" w:space="0"/>
            </w:tcBorders>
            <w:vAlign w:val="center"/>
          </w:tcPr>
          <w:p w14:paraId="6FD6F8B0">
            <w:pPr>
              <w:pStyle w:val="6"/>
              <w:rPr>
                <w:rFonts w:hint="eastAsia" w:ascii="仿宋" w:hAnsi="仿宋" w:eastAsia="仿宋" w:cs="仿宋_GB2312"/>
                <w:sz w:val="21"/>
                <w:szCs w:val="21"/>
              </w:rPr>
            </w:pPr>
            <w:r>
              <w:rPr>
                <w:rFonts w:hint="eastAsia" w:ascii="仿宋" w:hAnsi="仿宋" w:eastAsia="仿宋" w:cs="仿宋_GB2312"/>
                <w:sz w:val="21"/>
                <w:szCs w:val="21"/>
              </w:rPr>
              <w:t>是否履行物业安全生产管理职责，对于物业责任的问题落实整改，对于非物业责任的问题向相关部门及街道办履行报告职责。</w:t>
            </w:r>
          </w:p>
        </w:tc>
        <w:tc>
          <w:tcPr>
            <w:tcW w:w="1075" w:type="dxa"/>
            <w:tcBorders>
              <w:top w:val="single" w:color="auto" w:sz="4" w:space="0"/>
              <w:left w:val="single" w:color="auto" w:sz="4" w:space="0"/>
              <w:bottom w:val="single" w:color="auto" w:sz="4" w:space="0"/>
              <w:right w:val="single" w:color="auto" w:sz="4" w:space="0"/>
            </w:tcBorders>
            <w:vAlign w:val="center"/>
          </w:tcPr>
          <w:p w14:paraId="250F60E0">
            <w:pPr>
              <w:pStyle w:val="6"/>
              <w:rPr>
                <w:rFonts w:hint="eastAsia" w:ascii="仿宋" w:hAnsi="仿宋" w:eastAsia="仿宋" w:cs="仿宋_GB2312"/>
                <w:sz w:val="21"/>
                <w:szCs w:val="21"/>
              </w:rPr>
            </w:pPr>
            <w:r>
              <w:rPr>
                <w:rFonts w:hint="eastAsia" w:ascii="仿宋" w:hAnsi="仿宋" w:eastAsia="仿宋" w:cs="仿宋_GB2312"/>
                <w:sz w:val="21"/>
                <w:szCs w:val="21"/>
              </w:rPr>
              <w:t>查阅资料</w:t>
            </w:r>
          </w:p>
        </w:tc>
        <w:tc>
          <w:tcPr>
            <w:tcW w:w="2924" w:type="dxa"/>
            <w:tcBorders>
              <w:top w:val="single" w:color="auto" w:sz="4" w:space="0"/>
              <w:left w:val="single" w:color="auto" w:sz="4" w:space="0"/>
              <w:bottom w:val="single" w:color="auto" w:sz="4" w:space="0"/>
              <w:right w:val="single" w:color="auto" w:sz="4" w:space="0"/>
            </w:tcBorders>
            <w:vAlign w:val="center"/>
          </w:tcPr>
          <w:p w14:paraId="5A044704">
            <w:pPr>
              <w:pStyle w:val="6"/>
              <w:rPr>
                <w:rFonts w:hint="eastAsia" w:ascii="仿宋" w:hAnsi="仿宋" w:eastAsia="仿宋" w:cs="仿宋_GB2312"/>
                <w:sz w:val="21"/>
                <w:szCs w:val="21"/>
              </w:rPr>
            </w:pPr>
            <w:r>
              <w:rPr>
                <w:rFonts w:hint="eastAsia" w:ascii="仿宋" w:hAnsi="仿宋" w:eastAsia="仿宋" w:cs="仿宋_GB2312"/>
                <w:sz w:val="21"/>
                <w:szCs w:val="21"/>
              </w:rPr>
              <w:t>安全问题的处理情况</w:t>
            </w:r>
          </w:p>
        </w:tc>
        <w:tc>
          <w:tcPr>
            <w:tcW w:w="3635" w:type="dxa"/>
            <w:tcBorders>
              <w:top w:val="single" w:color="auto" w:sz="4" w:space="0"/>
              <w:left w:val="single" w:color="auto" w:sz="4" w:space="0"/>
              <w:bottom w:val="single" w:color="auto" w:sz="4" w:space="0"/>
              <w:right w:val="single" w:color="auto" w:sz="4" w:space="0"/>
            </w:tcBorders>
            <w:vAlign w:val="center"/>
          </w:tcPr>
          <w:p w14:paraId="712555E4">
            <w:pPr>
              <w:pStyle w:val="6"/>
              <w:rPr>
                <w:rFonts w:hint="eastAsia" w:ascii="仿宋" w:hAnsi="仿宋" w:eastAsia="仿宋" w:cs="仿宋_GB2312"/>
                <w:sz w:val="21"/>
                <w:szCs w:val="21"/>
              </w:rPr>
            </w:pPr>
            <w:r>
              <w:rPr>
                <w:rFonts w:hint="eastAsia" w:ascii="仿宋" w:hAnsi="仿宋" w:eastAsia="仿宋" w:cs="仿宋_GB2312"/>
                <w:sz w:val="21"/>
                <w:szCs w:val="21"/>
              </w:rPr>
              <w:t>根据项目发现的问题，物业责任造成的问题未落实整改的一次扣1分；非物业责任的问题未落实报告职责的一次扣1分；此项最多扣4分。</w:t>
            </w:r>
          </w:p>
        </w:tc>
        <w:tc>
          <w:tcPr>
            <w:tcW w:w="457" w:type="dxa"/>
            <w:tcBorders>
              <w:top w:val="single" w:color="auto" w:sz="4" w:space="0"/>
              <w:left w:val="single" w:color="auto" w:sz="4" w:space="0"/>
              <w:bottom w:val="single" w:color="auto" w:sz="4" w:space="0"/>
              <w:right w:val="single" w:color="auto" w:sz="4" w:space="0"/>
            </w:tcBorders>
          </w:tcPr>
          <w:p w14:paraId="405D0C2E">
            <w:pPr>
              <w:pStyle w:val="6"/>
              <w:rPr>
                <w:rFonts w:hint="eastAsia" w:ascii="仿宋" w:hAnsi="仿宋" w:eastAsia="仿宋" w:cs="仿宋_GB2312"/>
                <w:color w:val="FF0000"/>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14:paraId="4CA92065">
            <w:pPr>
              <w:widowControl/>
              <w:rPr>
                <w:rFonts w:hint="eastAsia" w:ascii="仿宋" w:hAnsi="仿宋" w:eastAsia="仿宋" w:cs="仿宋_GB2312"/>
                <w:color w:val="FF0000"/>
              </w:rPr>
            </w:pPr>
          </w:p>
        </w:tc>
      </w:tr>
    </w:tbl>
    <w:p w14:paraId="08DBC20E">
      <w:pPr>
        <w:pStyle w:val="6"/>
        <w:rPr>
          <w:rFonts w:hint="eastAsia" w:ascii="仿宋" w:hAnsi="仿宋" w:eastAsia="仿宋" w:cs="仿宋_GB2312"/>
          <w:color w:val="000000"/>
          <w:sz w:val="21"/>
          <w:szCs w:val="21"/>
        </w:rPr>
      </w:pPr>
      <w:r>
        <w:rPr>
          <w:rFonts w:hint="eastAsia" w:ascii="仿宋" w:hAnsi="仿宋" w:eastAsia="仿宋" w:cs="仿宋_GB2312"/>
          <w:color w:val="000000"/>
          <w:sz w:val="21"/>
          <w:szCs w:val="21"/>
        </w:rPr>
        <w:t xml:space="preserve"> </w:t>
      </w:r>
    </w:p>
    <w:p w14:paraId="71B0582B">
      <w:pPr>
        <w:spacing w:line="360" w:lineRule="auto"/>
        <w:rPr>
          <w:rFonts w:hint="eastAsia" w:ascii="仿宋" w:hAnsi="仿宋" w:eastAsia="仿宋"/>
          <w:sz w:val="24"/>
          <w:szCs w:val="24"/>
          <w:u w:val="single"/>
        </w:rPr>
      </w:pPr>
      <w:r>
        <w:rPr>
          <w:rFonts w:hint="eastAsia" w:ascii="仿宋" w:hAnsi="仿宋" w:eastAsia="仿宋"/>
          <w:sz w:val="24"/>
          <w:szCs w:val="24"/>
        </w:rPr>
        <w:t>管理处负责人签名：                                                                      检查人员签名：</w:t>
      </w:r>
    </w:p>
    <w:p w14:paraId="15335599">
      <w:pPr>
        <w:spacing w:line="360" w:lineRule="auto"/>
        <w:rPr>
          <w:rFonts w:hint="eastAsia"/>
        </w:rPr>
      </w:pPr>
      <w:r>
        <w:rPr>
          <w:rFonts w:hint="eastAsia" w:ascii="仿宋" w:hAnsi="仿宋" w:eastAsia="仿宋"/>
          <w:sz w:val="24"/>
          <w:szCs w:val="24"/>
        </w:rPr>
        <w:t>检查日期：        年   月    日                                                         检查日期：     年     月    日</w:t>
      </w:r>
    </w:p>
    <w:sectPr>
      <w:footerReference r:id="rId3" w:type="default"/>
      <w:pgSz w:w="16838" w:h="11906" w:orient="landscape"/>
      <w:pgMar w:top="720" w:right="720" w:bottom="720" w:left="720" w:header="28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0E6A">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EC4EF">
                          <w:pPr>
                            <w:pStyle w:val="4"/>
                            <w:rPr>
                              <w:rFonts w:hint="eastAsia"/>
                            </w:rP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BEEC4EF">
                    <w:pPr>
                      <w:pStyle w:val="4"/>
                      <w:rPr>
                        <w:rFonts w:hint="eastAsia"/>
                      </w:rPr>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xZmUzOTJhMmFjOWQ3ZTY3ODUxNmVmZGJhMzk2YzYifQ=="/>
  </w:docVars>
  <w:rsids>
    <w:rsidRoot w:val="0034386B"/>
    <w:rsid w:val="00054E8D"/>
    <w:rsid w:val="000A37AC"/>
    <w:rsid w:val="0034386B"/>
    <w:rsid w:val="003E6FED"/>
    <w:rsid w:val="004B6137"/>
    <w:rsid w:val="004E7363"/>
    <w:rsid w:val="00522202"/>
    <w:rsid w:val="005B3419"/>
    <w:rsid w:val="005C72FA"/>
    <w:rsid w:val="008B777F"/>
    <w:rsid w:val="00951A0F"/>
    <w:rsid w:val="00B5200B"/>
    <w:rsid w:val="00B95A90"/>
    <w:rsid w:val="00C16E4E"/>
    <w:rsid w:val="00DF2D59"/>
    <w:rsid w:val="00E2157B"/>
    <w:rsid w:val="00E42B9D"/>
    <w:rsid w:val="00F805CB"/>
    <w:rsid w:val="335464B2"/>
    <w:rsid w:val="34263634"/>
    <w:rsid w:val="43D003D8"/>
    <w:rsid w:val="5B7B1776"/>
    <w:rsid w:val="658DBE1E"/>
    <w:rsid w:val="6DF601E8"/>
    <w:rsid w:val="7D4D79A7"/>
    <w:rsid w:val="BEB43077"/>
    <w:rsid w:val="F9EF6F19"/>
    <w:rsid w:val="FFDF3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Balloon Text"/>
    <w:basedOn w:val="1"/>
    <w:link w:val="10"/>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character" w:customStyle="1" w:styleId="9">
    <w:name w:val="正文文本 字符"/>
    <w:basedOn w:val="8"/>
    <w:link w:val="2"/>
    <w:semiHidden/>
    <w:qFormat/>
    <w:uiPriority w:val="99"/>
    <w:rPr>
      <w:rFonts w:ascii="等线" w:hAnsi="等线" w:eastAsia="等线" w:cs="黑体"/>
      <w:szCs w:val="21"/>
    </w:rPr>
  </w:style>
  <w:style w:type="character" w:customStyle="1" w:styleId="10">
    <w:name w:val="批注框文本 字符"/>
    <w:basedOn w:val="8"/>
    <w:link w:val="3"/>
    <w:semiHidden/>
    <w:qFormat/>
    <w:uiPriority w:val="99"/>
    <w:rPr>
      <w:rFonts w:ascii="等线" w:hAnsi="等线" w:eastAsia="等线"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1539</Words>
  <Characters>8774</Characters>
  <Lines>73</Lines>
  <Paragraphs>20</Paragraphs>
  <TotalTime>29</TotalTime>
  <ScaleCrop>false</ScaleCrop>
  <LinksUpToDate>false</LinksUpToDate>
  <CharactersWithSpaces>10293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2024-07-30T03:09:00Z</dcterms:created>
  <dc:creator>Dell</dc:creator>
  <cp:lastModifiedBy>住建局帐户</cp:lastModifiedBy>
  <cp:lastPrinted>2024-07-30T03:13:00Z</cp:lastPrinted>
  <dcterms:modified xsi:type="dcterms:W3CDTF">2026-05-13T09:11:03Z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563E5EA28C88ABB9A7CF036A9B19F14A_43</vt:lpwstr>
  </property>
  <property fmtid="{D5CDD505-2E9C-101B-9397-08002B2CF9AE}" pid="4" name="KSOTemplateDocerSaveRecord">
    <vt:lpwstr>eyJoZGlkIjoiNGM4ZWM0NDMzYWVlMjIxYjIxZDJkNWQ5M2ExYTNhYzEiLCJ1c2VySWQiOiIzOTU5MTUyMDAifQ==</vt:lpwstr>
  </property>
</Properties>
</file>