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5DA9" w14:textId="77777777" w:rsidR="00F805CB" w:rsidRDefault="00000000">
      <w:pPr>
        <w:widowControl/>
        <w:spacing w:after="225"/>
        <w:jc w:val="center"/>
        <w:rPr>
          <w:rFonts w:ascii="宋体" w:eastAsia="宋体" w:hAnsi="宋体" w:hint="eastAsia"/>
          <w:b/>
          <w:sz w:val="36"/>
          <w:szCs w:val="36"/>
        </w:rPr>
      </w:pPr>
      <w:r>
        <w:rPr>
          <w:rFonts w:ascii="宋体" w:eastAsia="宋体" w:hAnsi="宋体" w:hint="eastAsia"/>
          <w:b/>
          <w:kern w:val="0"/>
          <w:sz w:val="36"/>
          <w:szCs w:val="36"/>
          <w:shd w:val="clear" w:color="auto" w:fill="FFFFFF"/>
        </w:rPr>
        <w:t>物业管理安全生产监督检查清单</w:t>
      </w:r>
    </w:p>
    <w:p w14:paraId="0548ED65" w14:textId="77777777" w:rsidR="00F805CB" w:rsidRDefault="00000000">
      <w:pPr>
        <w:pStyle w:val="a9"/>
        <w:spacing w:after="150"/>
        <w:ind w:firstLineChars="200" w:firstLine="482"/>
        <w:rPr>
          <w:rFonts w:ascii="仿宋" w:eastAsia="仿宋" w:hAnsi="仿宋" w:cs="仿宋_GB2312" w:hint="eastAsia"/>
          <w:b/>
        </w:rPr>
      </w:pPr>
      <w:r>
        <w:rPr>
          <w:rFonts w:ascii="仿宋" w:eastAsia="仿宋" w:hAnsi="仿宋" w:cs="仿宋_GB2312" w:hint="eastAsia"/>
          <w:b/>
        </w:rPr>
        <w:t xml:space="preserve">物业项目名称：                                                     物业服务企业名称： </w:t>
      </w:r>
    </w:p>
    <w:p w14:paraId="59C7FCBA" w14:textId="77777777" w:rsidR="00F805CB" w:rsidRDefault="00000000">
      <w:pPr>
        <w:pStyle w:val="a9"/>
        <w:spacing w:after="150"/>
        <w:ind w:firstLineChars="200" w:firstLine="482"/>
        <w:rPr>
          <w:rFonts w:ascii="仿宋" w:eastAsia="仿宋" w:hAnsi="仿宋" w:cs="仿宋_GB2312" w:hint="eastAsia"/>
          <w:b/>
          <w:u w:val="single"/>
        </w:rPr>
      </w:pPr>
      <w:r>
        <w:rPr>
          <w:rFonts w:ascii="仿宋" w:eastAsia="仿宋" w:hAnsi="仿宋" w:cs="仿宋_GB2312" w:hint="eastAsia"/>
          <w:b/>
        </w:rPr>
        <w:t xml:space="preserve">项目负责人：                                                       联系电话： </w:t>
      </w:r>
    </w:p>
    <w:p w14:paraId="68375EE2" w14:textId="77777777" w:rsidR="00F805CB" w:rsidRDefault="00000000">
      <w:pPr>
        <w:pStyle w:val="a9"/>
        <w:spacing w:after="150"/>
        <w:ind w:firstLineChars="200" w:firstLine="482"/>
        <w:rPr>
          <w:rFonts w:ascii="仿宋" w:eastAsia="仿宋" w:hAnsi="仿宋" w:cs="仿宋_GB2312" w:hint="eastAsia"/>
          <w:b/>
        </w:rPr>
      </w:pPr>
      <w:r>
        <w:rPr>
          <w:rFonts w:ascii="仿宋" w:eastAsia="仿宋" w:hAnsi="仿宋" w:cs="仿宋_GB2312" w:hint="eastAsia"/>
          <w:b/>
        </w:rPr>
        <w:t>物业地址：          街道            社区                           检查评分：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7"/>
        <w:gridCol w:w="1428"/>
        <w:gridCol w:w="4721"/>
        <w:gridCol w:w="1075"/>
        <w:gridCol w:w="2924"/>
        <w:gridCol w:w="3635"/>
        <w:gridCol w:w="457"/>
        <w:gridCol w:w="737"/>
      </w:tblGrid>
      <w:tr w:rsidR="00F805CB" w14:paraId="43543424" w14:textId="77777777">
        <w:trPr>
          <w:trHeight w:val="90"/>
          <w:jc w:val="center"/>
        </w:trPr>
        <w:tc>
          <w:tcPr>
            <w:tcW w:w="15474" w:type="dxa"/>
            <w:gridSpan w:val="8"/>
            <w:tcBorders>
              <w:top w:val="single" w:sz="4" w:space="0" w:color="auto"/>
              <w:left w:val="single" w:sz="4" w:space="0" w:color="auto"/>
              <w:bottom w:val="single" w:sz="4" w:space="0" w:color="auto"/>
              <w:right w:val="single" w:sz="4" w:space="0" w:color="auto"/>
            </w:tcBorders>
            <w:shd w:val="clear" w:color="auto" w:fill="A5A5A5"/>
          </w:tcPr>
          <w:p w14:paraId="2F3FF2D9" w14:textId="77777777" w:rsidR="00F805CB" w:rsidRDefault="00000000">
            <w:pPr>
              <w:pStyle w:val="a9"/>
              <w:jc w:val="center"/>
              <w:rPr>
                <w:rFonts w:ascii="仿宋" w:eastAsia="仿宋" w:hAnsi="仿宋" w:cs="仿宋_GB2312" w:hint="eastAsia"/>
                <w:b/>
                <w:sz w:val="21"/>
                <w:szCs w:val="21"/>
              </w:rPr>
            </w:pPr>
            <w:r>
              <w:rPr>
                <w:rFonts w:ascii="仿宋" w:eastAsia="仿宋" w:hAnsi="仿宋" w:cs="仿宋_GB2312" w:hint="eastAsia"/>
                <w:b/>
                <w:sz w:val="28"/>
                <w:szCs w:val="28"/>
              </w:rPr>
              <w:t>物业管理安全生产基础制度监督检查（38分）</w:t>
            </w:r>
          </w:p>
        </w:tc>
      </w:tr>
      <w:tr w:rsidR="00F805CB" w14:paraId="3F48C3C8" w14:textId="77777777">
        <w:trPr>
          <w:trHeight w:val="392"/>
          <w:jc w:val="center"/>
        </w:trPr>
        <w:tc>
          <w:tcPr>
            <w:tcW w:w="497" w:type="dxa"/>
            <w:tcBorders>
              <w:top w:val="single" w:sz="4" w:space="0" w:color="auto"/>
              <w:left w:val="single" w:sz="4" w:space="0" w:color="auto"/>
              <w:bottom w:val="single" w:sz="4" w:space="0" w:color="auto"/>
              <w:right w:val="single" w:sz="4" w:space="0" w:color="auto"/>
            </w:tcBorders>
            <w:vAlign w:val="center"/>
          </w:tcPr>
          <w:p w14:paraId="10612398"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序号</w:t>
            </w:r>
          </w:p>
        </w:tc>
        <w:tc>
          <w:tcPr>
            <w:tcW w:w="1428" w:type="dxa"/>
            <w:tcBorders>
              <w:top w:val="single" w:sz="4" w:space="0" w:color="auto"/>
              <w:left w:val="single" w:sz="4" w:space="0" w:color="auto"/>
              <w:bottom w:val="single" w:sz="4" w:space="0" w:color="auto"/>
              <w:right w:val="single" w:sz="4" w:space="0" w:color="auto"/>
            </w:tcBorders>
            <w:vAlign w:val="center"/>
          </w:tcPr>
          <w:p w14:paraId="799F41E0"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检查事项</w:t>
            </w:r>
          </w:p>
        </w:tc>
        <w:tc>
          <w:tcPr>
            <w:tcW w:w="4721" w:type="dxa"/>
            <w:tcBorders>
              <w:top w:val="single" w:sz="4" w:space="0" w:color="auto"/>
              <w:left w:val="single" w:sz="4" w:space="0" w:color="auto"/>
              <w:bottom w:val="single" w:sz="4" w:space="0" w:color="auto"/>
              <w:right w:val="single" w:sz="4" w:space="0" w:color="auto"/>
            </w:tcBorders>
            <w:vAlign w:val="center"/>
          </w:tcPr>
          <w:p w14:paraId="6DAF2F66"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检查内容</w:t>
            </w:r>
          </w:p>
        </w:tc>
        <w:tc>
          <w:tcPr>
            <w:tcW w:w="1075" w:type="dxa"/>
            <w:tcBorders>
              <w:top w:val="single" w:sz="4" w:space="0" w:color="auto"/>
              <w:left w:val="single" w:sz="4" w:space="0" w:color="auto"/>
              <w:bottom w:val="single" w:sz="4" w:space="0" w:color="auto"/>
              <w:right w:val="single" w:sz="4" w:space="0" w:color="auto"/>
            </w:tcBorders>
            <w:vAlign w:val="center"/>
          </w:tcPr>
          <w:p w14:paraId="74BA5429"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检查形式</w:t>
            </w:r>
          </w:p>
        </w:tc>
        <w:tc>
          <w:tcPr>
            <w:tcW w:w="2924" w:type="dxa"/>
            <w:tcBorders>
              <w:top w:val="single" w:sz="4" w:space="0" w:color="auto"/>
              <w:left w:val="single" w:sz="4" w:space="0" w:color="auto"/>
              <w:bottom w:val="single" w:sz="4" w:space="0" w:color="auto"/>
              <w:right w:val="single" w:sz="4" w:space="0" w:color="auto"/>
            </w:tcBorders>
            <w:vAlign w:val="center"/>
          </w:tcPr>
          <w:p w14:paraId="2B3BAFB1"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依据</w:t>
            </w:r>
          </w:p>
        </w:tc>
        <w:tc>
          <w:tcPr>
            <w:tcW w:w="3635" w:type="dxa"/>
            <w:tcBorders>
              <w:top w:val="single" w:sz="4" w:space="0" w:color="auto"/>
              <w:left w:val="single" w:sz="4" w:space="0" w:color="auto"/>
              <w:bottom w:val="single" w:sz="4" w:space="0" w:color="auto"/>
              <w:right w:val="single" w:sz="4" w:space="0" w:color="auto"/>
            </w:tcBorders>
          </w:tcPr>
          <w:p w14:paraId="2BCFEA73"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评分细则</w:t>
            </w:r>
          </w:p>
        </w:tc>
        <w:tc>
          <w:tcPr>
            <w:tcW w:w="457" w:type="dxa"/>
            <w:tcBorders>
              <w:top w:val="single" w:sz="4" w:space="0" w:color="auto"/>
              <w:left w:val="single" w:sz="4" w:space="0" w:color="auto"/>
              <w:bottom w:val="single" w:sz="4" w:space="0" w:color="auto"/>
              <w:right w:val="single" w:sz="4" w:space="0" w:color="auto"/>
            </w:tcBorders>
          </w:tcPr>
          <w:p w14:paraId="62620CC0"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扣分</w:t>
            </w:r>
          </w:p>
        </w:tc>
        <w:tc>
          <w:tcPr>
            <w:tcW w:w="737" w:type="dxa"/>
            <w:tcBorders>
              <w:top w:val="single" w:sz="4" w:space="0" w:color="auto"/>
              <w:left w:val="single" w:sz="4" w:space="0" w:color="auto"/>
              <w:bottom w:val="single" w:sz="4" w:space="0" w:color="auto"/>
              <w:right w:val="single" w:sz="4" w:space="0" w:color="auto"/>
            </w:tcBorders>
            <w:vAlign w:val="center"/>
          </w:tcPr>
          <w:p w14:paraId="66900CD2" w14:textId="77777777" w:rsidR="00F805CB" w:rsidRDefault="00000000">
            <w:pPr>
              <w:pStyle w:val="a9"/>
              <w:spacing w:after="150"/>
              <w:jc w:val="center"/>
              <w:rPr>
                <w:rFonts w:ascii="仿宋" w:eastAsia="仿宋" w:hAnsi="仿宋" w:cs="仿宋_GB2312" w:hint="eastAsia"/>
                <w:b/>
                <w:sz w:val="21"/>
                <w:szCs w:val="21"/>
              </w:rPr>
            </w:pPr>
            <w:r>
              <w:rPr>
                <w:rFonts w:ascii="仿宋" w:eastAsia="仿宋" w:hAnsi="仿宋" w:cs="仿宋_GB2312" w:hint="eastAsia"/>
                <w:b/>
                <w:sz w:val="21"/>
                <w:szCs w:val="21"/>
              </w:rPr>
              <w:t>备注</w:t>
            </w:r>
          </w:p>
        </w:tc>
      </w:tr>
      <w:tr w:rsidR="00F805CB" w14:paraId="27981863" w14:textId="77777777">
        <w:trPr>
          <w:trHeight w:val="1907"/>
          <w:jc w:val="center"/>
        </w:trPr>
        <w:tc>
          <w:tcPr>
            <w:tcW w:w="497" w:type="dxa"/>
            <w:tcBorders>
              <w:top w:val="single" w:sz="4" w:space="0" w:color="auto"/>
              <w:left w:val="single" w:sz="4" w:space="0" w:color="auto"/>
              <w:bottom w:val="single" w:sz="4" w:space="0" w:color="auto"/>
              <w:right w:val="single" w:sz="4" w:space="0" w:color="auto"/>
            </w:tcBorders>
            <w:vAlign w:val="center"/>
          </w:tcPr>
          <w:p w14:paraId="658BB448"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w:t>
            </w:r>
          </w:p>
        </w:tc>
        <w:tc>
          <w:tcPr>
            <w:tcW w:w="1428" w:type="dxa"/>
            <w:tcBorders>
              <w:top w:val="single" w:sz="4" w:space="0" w:color="auto"/>
              <w:left w:val="single" w:sz="4" w:space="0" w:color="auto"/>
              <w:bottom w:val="single" w:sz="4" w:space="0" w:color="auto"/>
              <w:right w:val="single" w:sz="4" w:space="0" w:color="auto"/>
            </w:tcBorders>
            <w:vAlign w:val="center"/>
          </w:tcPr>
          <w:p w14:paraId="3B902C3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安全生产管理制度的建立、公开和实施（6分）</w:t>
            </w:r>
          </w:p>
        </w:tc>
        <w:tc>
          <w:tcPr>
            <w:tcW w:w="4721" w:type="dxa"/>
            <w:tcBorders>
              <w:top w:val="single" w:sz="4" w:space="0" w:color="auto"/>
              <w:left w:val="single" w:sz="4" w:space="0" w:color="auto"/>
              <w:bottom w:val="single" w:sz="4" w:space="0" w:color="auto"/>
              <w:right w:val="single" w:sz="4" w:space="0" w:color="auto"/>
            </w:tcBorders>
            <w:vAlign w:val="center"/>
          </w:tcPr>
          <w:p w14:paraId="24FBF4D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安全生产岗位责任制和监督考核制度；（2）安全生产资金管理和设备、设施保障制度；（3）风险辨识、分级管控和安全生产检查、事故隐患排查治理制度；（4）特种作业和危险作业管理制度；（5）安全生产教育培训制度；（6）生产安全事故报告、应急救援和调查处理制度。</w:t>
            </w:r>
          </w:p>
        </w:tc>
        <w:tc>
          <w:tcPr>
            <w:tcW w:w="1075" w:type="dxa"/>
            <w:tcBorders>
              <w:top w:val="single" w:sz="4" w:space="0" w:color="auto"/>
              <w:left w:val="single" w:sz="4" w:space="0" w:color="auto"/>
              <w:bottom w:val="single" w:sz="4" w:space="0" w:color="auto"/>
              <w:right w:val="single" w:sz="4" w:space="0" w:color="auto"/>
            </w:tcBorders>
            <w:vAlign w:val="center"/>
          </w:tcPr>
          <w:p w14:paraId="70ECE04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文本资料、相关张贴照片</w:t>
            </w:r>
          </w:p>
        </w:tc>
        <w:tc>
          <w:tcPr>
            <w:tcW w:w="2924" w:type="dxa"/>
            <w:tcBorders>
              <w:top w:val="single" w:sz="4" w:space="0" w:color="auto"/>
              <w:left w:val="single" w:sz="4" w:space="0" w:color="auto"/>
              <w:bottom w:val="single" w:sz="4" w:space="0" w:color="auto"/>
              <w:right w:val="single" w:sz="4" w:space="0" w:color="auto"/>
            </w:tcBorders>
            <w:vAlign w:val="center"/>
          </w:tcPr>
          <w:p w14:paraId="4A64ED8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《安全生产法》（2021年修正）第二十一条、第二十二条；《深圳市生产经营单位安全生产主体责任规定》（深圳市人民政府第308号令）第七条</w:t>
            </w:r>
          </w:p>
        </w:tc>
        <w:tc>
          <w:tcPr>
            <w:tcW w:w="3635" w:type="dxa"/>
            <w:tcBorders>
              <w:top w:val="single" w:sz="4" w:space="0" w:color="auto"/>
              <w:left w:val="single" w:sz="4" w:space="0" w:color="auto"/>
              <w:bottom w:val="single" w:sz="4" w:space="0" w:color="auto"/>
              <w:right w:val="single" w:sz="4" w:space="0" w:color="auto"/>
            </w:tcBorders>
            <w:vAlign w:val="center"/>
          </w:tcPr>
          <w:p w14:paraId="1CF8C62F"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未制定安全生产管理制度或制度不完善，每项不符合扣1分，最多扣6分。</w:t>
            </w:r>
          </w:p>
        </w:tc>
        <w:tc>
          <w:tcPr>
            <w:tcW w:w="457" w:type="dxa"/>
            <w:tcBorders>
              <w:top w:val="single" w:sz="4" w:space="0" w:color="auto"/>
              <w:left w:val="single" w:sz="4" w:space="0" w:color="auto"/>
              <w:bottom w:val="single" w:sz="4" w:space="0" w:color="auto"/>
              <w:right w:val="single" w:sz="4" w:space="0" w:color="auto"/>
            </w:tcBorders>
          </w:tcPr>
          <w:p w14:paraId="0ED7BBC4"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54AF4A5" w14:textId="77777777" w:rsidR="00F805CB" w:rsidRDefault="00F805CB">
            <w:pPr>
              <w:widowControl/>
              <w:rPr>
                <w:rFonts w:ascii="仿宋" w:eastAsia="仿宋" w:hAnsi="仿宋" w:cs="仿宋_GB2312" w:hint="eastAsia"/>
              </w:rPr>
            </w:pPr>
          </w:p>
        </w:tc>
      </w:tr>
      <w:tr w:rsidR="00F805CB" w14:paraId="7C6E327C" w14:textId="77777777">
        <w:trPr>
          <w:trHeight w:val="1505"/>
          <w:jc w:val="center"/>
        </w:trPr>
        <w:tc>
          <w:tcPr>
            <w:tcW w:w="497" w:type="dxa"/>
            <w:tcBorders>
              <w:top w:val="single" w:sz="4" w:space="0" w:color="auto"/>
              <w:left w:val="single" w:sz="4" w:space="0" w:color="auto"/>
              <w:bottom w:val="single" w:sz="4" w:space="0" w:color="auto"/>
              <w:right w:val="single" w:sz="4" w:space="0" w:color="auto"/>
            </w:tcBorders>
            <w:vAlign w:val="center"/>
          </w:tcPr>
          <w:p w14:paraId="10EC5B85"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w:t>
            </w:r>
          </w:p>
        </w:tc>
        <w:tc>
          <w:tcPr>
            <w:tcW w:w="1428" w:type="dxa"/>
            <w:tcBorders>
              <w:top w:val="single" w:sz="4" w:space="0" w:color="auto"/>
              <w:left w:val="single" w:sz="4" w:space="0" w:color="auto"/>
              <w:bottom w:val="single" w:sz="4" w:space="0" w:color="auto"/>
              <w:right w:val="single" w:sz="4" w:space="0" w:color="auto"/>
            </w:tcBorders>
            <w:vAlign w:val="center"/>
          </w:tcPr>
          <w:p w14:paraId="567FB0B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实行全员安全生产责任制（2分）</w:t>
            </w:r>
          </w:p>
        </w:tc>
        <w:tc>
          <w:tcPr>
            <w:tcW w:w="4721" w:type="dxa"/>
            <w:tcBorders>
              <w:top w:val="single" w:sz="4" w:space="0" w:color="auto"/>
              <w:left w:val="single" w:sz="4" w:space="0" w:color="auto"/>
              <w:bottom w:val="single" w:sz="4" w:space="0" w:color="auto"/>
              <w:right w:val="single" w:sz="4" w:space="0" w:color="auto"/>
            </w:tcBorders>
            <w:vAlign w:val="center"/>
          </w:tcPr>
          <w:p w14:paraId="7BAB4D8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以书面形式确认物业服务企业主要负责人、分管安全生产负责人、安全生产管理机构或者专兼职安全生产管理人员、物业项目负责人有关安全管理工作职责，</w:t>
            </w:r>
            <w:r>
              <w:rPr>
                <w:rFonts w:ascii="仿宋" w:eastAsia="仿宋" w:hAnsi="仿宋" w:cs="Times New Roman" w:hint="eastAsia"/>
                <w:sz w:val="21"/>
                <w:szCs w:val="21"/>
                <w:shd w:val="clear" w:color="auto" w:fill="FFFFFF"/>
              </w:rPr>
              <w:t>并向本单位人员公示。</w:t>
            </w:r>
          </w:p>
        </w:tc>
        <w:tc>
          <w:tcPr>
            <w:tcW w:w="1075" w:type="dxa"/>
            <w:tcBorders>
              <w:top w:val="single" w:sz="4" w:space="0" w:color="auto"/>
              <w:left w:val="single" w:sz="4" w:space="0" w:color="auto"/>
              <w:bottom w:val="single" w:sz="4" w:space="0" w:color="auto"/>
              <w:right w:val="single" w:sz="4" w:space="0" w:color="auto"/>
            </w:tcBorders>
            <w:vAlign w:val="center"/>
          </w:tcPr>
          <w:p w14:paraId="75CAD15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文本资料、相关张贴照片</w:t>
            </w:r>
          </w:p>
        </w:tc>
        <w:tc>
          <w:tcPr>
            <w:tcW w:w="2924" w:type="dxa"/>
            <w:tcBorders>
              <w:top w:val="single" w:sz="4" w:space="0" w:color="auto"/>
              <w:left w:val="single" w:sz="4" w:space="0" w:color="auto"/>
              <w:bottom w:val="single" w:sz="4" w:space="0" w:color="auto"/>
              <w:right w:val="single" w:sz="4" w:space="0" w:color="auto"/>
            </w:tcBorders>
            <w:vAlign w:val="center"/>
          </w:tcPr>
          <w:p w14:paraId="00CEF75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《安全生产法》（2021年修正）第二十一条、第二十二条；《深圳市生产经营单位安全生产主体责任规定》（深圳市人民政府第308号令）第十五条</w:t>
            </w:r>
          </w:p>
        </w:tc>
        <w:tc>
          <w:tcPr>
            <w:tcW w:w="3635" w:type="dxa"/>
            <w:tcBorders>
              <w:top w:val="single" w:sz="4" w:space="0" w:color="auto"/>
              <w:left w:val="single" w:sz="4" w:space="0" w:color="auto"/>
              <w:bottom w:val="single" w:sz="4" w:space="0" w:color="auto"/>
              <w:right w:val="single" w:sz="4" w:space="0" w:color="auto"/>
            </w:tcBorders>
            <w:vAlign w:val="center"/>
          </w:tcPr>
          <w:p w14:paraId="1EF47A2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无安全相关责任人员书面确认文件，缺少一个扣1分，最多扣2分。</w:t>
            </w:r>
          </w:p>
        </w:tc>
        <w:tc>
          <w:tcPr>
            <w:tcW w:w="457" w:type="dxa"/>
            <w:tcBorders>
              <w:top w:val="single" w:sz="4" w:space="0" w:color="auto"/>
              <w:left w:val="single" w:sz="4" w:space="0" w:color="auto"/>
              <w:bottom w:val="single" w:sz="4" w:space="0" w:color="auto"/>
              <w:right w:val="single" w:sz="4" w:space="0" w:color="auto"/>
            </w:tcBorders>
          </w:tcPr>
          <w:p w14:paraId="23FE51E8"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E98F14E" w14:textId="77777777" w:rsidR="00F805CB" w:rsidRDefault="00F805CB">
            <w:pPr>
              <w:widowControl/>
              <w:rPr>
                <w:rFonts w:ascii="仿宋" w:eastAsia="仿宋" w:hAnsi="仿宋" w:cs="仿宋_GB2312" w:hint="eastAsia"/>
              </w:rPr>
            </w:pPr>
          </w:p>
        </w:tc>
      </w:tr>
      <w:tr w:rsidR="00F805CB" w14:paraId="590420D5" w14:textId="77777777">
        <w:trPr>
          <w:trHeight w:val="1307"/>
          <w:jc w:val="center"/>
        </w:trPr>
        <w:tc>
          <w:tcPr>
            <w:tcW w:w="497" w:type="dxa"/>
            <w:tcBorders>
              <w:top w:val="single" w:sz="4" w:space="0" w:color="auto"/>
              <w:left w:val="single" w:sz="4" w:space="0" w:color="auto"/>
              <w:bottom w:val="single" w:sz="4" w:space="0" w:color="auto"/>
              <w:right w:val="single" w:sz="4" w:space="0" w:color="auto"/>
            </w:tcBorders>
            <w:vAlign w:val="center"/>
          </w:tcPr>
          <w:p w14:paraId="2A93ABEB"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3</w:t>
            </w:r>
          </w:p>
        </w:tc>
        <w:tc>
          <w:tcPr>
            <w:tcW w:w="1428" w:type="dxa"/>
            <w:tcBorders>
              <w:top w:val="single" w:sz="4" w:space="0" w:color="auto"/>
              <w:left w:val="single" w:sz="4" w:space="0" w:color="auto"/>
              <w:bottom w:val="single" w:sz="4" w:space="0" w:color="auto"/>
              <w:right w:val="single" w:sz="4" w:space="0" w:color="auto"/>
            </w:tcBorders>
            <w:vAlign w:val="center"/>
          </w:tcPr>
          <w:p w14:paraId="7E372D5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安全生产管理机构及安全生产管理人员配备（1分）</w:t>
            </w:r>
          </w:p>
        </w:tc>
        <w:tc>
          <w:tcPr>
            <w:tcW w:w="4721" w:type="dxa"/>
            <w:tcBorders>
              <w:top w:val="single" w:sz="4" w:space="0" w:color="auto"/>
              <w:left w:val="single" w:sz="4" w:space="0" w:color="auto"/>
              <w:bottom w:val="single" w:sz="4" w:space="0" w:color="auto"/>
              <w:right w:val="single" w:sz="4" w:space="0" w:color="auto"/>
            </w:tcBorders>
            <w:vAlign w:val="center"/>
          </w:tcPr>
          <w:p w14:paraId="25D41E3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（1）从业人员超过一百人的物业服务企业、物业管理项目，设置安全生产管理机构</w:t>
            </w:r>
            <w:r>
              <w:rPr>
                <w:rFonts w:ascii="仿宋" w:eastAsia="仿宋" w:hAnsi="仿宋" w:cs="Times New Roman" w:hint="eastAsia"/>
                <w:sz w:val="21"/>
                <w:szCs w:val="21"/>
                <w:shd w:val="clear" w:color="auto" w:fill="FFFFFF"/>
              </w:rPr>
              <w:t>或者配备专职安全生产管理人员；</w:t>
            </w:r>
            <w:r>
              <w:rPr>
                <w:rFonts w:ascii="仿宋" w:eastAsia="仿宋" w:hAnsi="仿宋" w:cs="仿宋_GB2312" w:hint="eastAsia"/>
                <w:sz w:val="21"/>
                <w:szCs w:val="21"/>
              </w:rPr>
              <w:t>（2）从业人员在一百人以下的，配备专职或者兼职的安全管理人员。</w:t>
            </w:r>
          </w:p>
        </w:tc>
        <w:tc>
          <w:tcPr>
            <w:tcW w:w="1075" w:type="dxa"/>
            <w:tcBorders>
              <w:top w:val="single" w:sz="4" w:space="0" w:color="auto"/>
              <w:left w:val="single" w:sz="4" w:space="0" w:color="auto"/>
              <w:bottom w:val="single" w:sz="4" w:space="0" w:color="auto"/>
              <w:right w:val="single" w:sz="4" w:space="0" w:color="auto"/>
            </w:tcBorders>
            <w:vAlign w:val="center"/>
          </w:tcPr>
          <w:p w14:paraId="55978D6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文本资料、相关张贴照片</w:t>
            </w:r>
          </w:p>
        </w:tc>
        <w:tc>
          <w:tcPr>
            <w:tcW w:w="2924" w:type="dxa"/>
            <w:tcBorders>
              <w:top w:val="single" w:sz="4" w:space="0" w:color="auto"/>
              <w:left w:val="single" w:sz="4" w:space="0" w:color="auto"/>
              <w:bottom w:val="single" w:sz="4" w:space="0" w:color="auto"/>
              <w:right w:val="single" w:sz="4" w:space="0" w:color="auto"/>
            </w:tcBorders>
            <w:vAlign w:val="center"/>
          </w:tcPr>
          <w:p w14:paraId="321974F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《安全生产法》(2021年修正）第二十四条</w:t>
            </w:r>
          </w:p>
        </w:tc>
        <w:tc>
          <w:tcPr>
            <w:tcW w:w="3635" w:type="dxa"/>
            <w:tcBorders>
              <w:top w:val="single" w:sz="4" w:space="0" w:color="auto"/>
              <w:left w:val="single" w:sz="4" w:space="0" w:color="auto"/>
              <w:bottom w:val="single" w:sz="4" w:space="0" w:color="auto"/>
              <w:right w:val="single" w:sz="4" w:space="0" w:color="auto"/>
            </w:tcBorders>
            <w:vAlign w:val="center"/>
          </w:tcPr>
          <w:p w14:paraId="15A86CC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未设置安全管理机构或未配备管理人员，缺少一个扣0.5分，最多扣1分。</w:t>
            </w:r>
          </w:p>
        </w:tc>
        <w:tc>
          <w:tcPr>
            <w:tcW w:w="457" w:type="dxa"/>
            <w:tcBorders>
              <w:top w:val="single" w:sz="4" w:space="0" w:color="auto"/>
              <w:left w:val="single" w:sz="4" w:space="0" w:color="auto"/>
              <w:bottom w:val="single" w:sz="4" w:space="0" w:color="auto"/>
              <w:right w:val="single" w:sz="4" w:space="0" w:color="auto"/>
            </w:tcBorders>
          </w:tcPr>
          <w:p w14:paraId="7961508D"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55C17A7" w14:textId="77777777" w:rsidR="00F805CB" w:rsidRDefault="00F805CB">
            <w:pPr>
              <w:widowControl/>
              <w:rPr>
                <w:rFonts w:ascii="仿宋" w:eastAsia="仿宋" w:hAnsi="仿宋" w:cs="仿宋_GB2312" w:hint="eastAsia"/>
              </w:rPr>
            </w:pPr>
          </w:p>
        </w:tc>
      </w:tr>
      <w:tr w:rsidR="00F805CB" w14:paraId="73931146" w14:textId="77777777">
        <w:trPr>
          <w:trHeight w:val="2473"/>
          <w:jc w:val="center"/>
        </w:trPr>
        <w:tc>
          <w:tcPr>
            <w:tcW w:w="497" w:type="dxa"/>
            <w:tcBorders>
              <w:top w:val="single" w:sz="4" w:space="0" w:color="auto"/>
              <w:left w:val="single" w:sz="4" w:space="0" w:color="auto"/>
              <w:bottom w:val="single" w:sz="4" w:space="0" w:color="auto"/>
              <w:right w:val="single" w:sz="4" w:space="0" w:color="auto"/>
            </w:tcBorders>
            <w:vAlign w:val="center"/>
          </w:tcPr>
          <w:p w14:paraId="0E6C69F1"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lastRenderedPageBreak/>
              <w:t>4</w:t>
            </w:r>
          </w:p>
        </w:tc>
        <w:tc>
          <w:tcPr>
            <w:tcW w:w="1428" w:type="dxa"/>
            <w:tcBorders>
              <w:top w:val="single" w:sz="4" w:space="0" w:color="auto"/>
              <w:left w:val="single" w:sz="4" w:space="0" w:color="auto"/>
              <w:bottom w:val="single" w:sz="4" w:space="0" w:color="auto"/>
              <w:right w:val="single" w:sz="4" w:space="0" w:color="auto"/>
            </w:tcBorders>
            <w:vAlign w:val="center"/>
          </w:tcPr>
          <w:p w14:paraId="7028FED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安全生产资金投入（1分）</w:t>
            </w:r>
          </w:p>
        </w:tc>
        <w:tc>
          <w:tcPr>
            <w:tcW w:w="4721" w:type="dxa"/>
            <w:tcBorders>
              <w:top w:val="single" w:sz="4" w:space="0" w:color="auto"/>
              <w:left w:val="single" w:sz="4" w:space="0" w:color="auto"/>
              <w:bottom w:val="single" w:sz="4" w:space="0" w:color="auto"/>
              <w:right w:val="single" w:sz="4" w:space="0" w:color="auto"/>
            </w:tcBorders>
            <w:vAlign w:val="center"/>
          </w:tcPr>
          <w:p w14:paraId="6FC66CF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（1）是否将安全生产费用在成本中据实列支；（2）、是否为安全生产条件所必需的资金投入。</w:t>
            </w:r>
          </w:p>
        </w:tc>
        <w:tc>
          <w:tcPr>
            <w:tcW w:w="1075" w:type="dxa"/>
            <w:tcBorders>
              <w:top w:val="single" w:sz="4" w:space="0" w:color="auto"/>
              <w:left w:val="single" w:sz="4" w:space="0" w:color="auto"/>
              <w:bottom w:val="single" w:sz="4" w:space="0" w:color="auto"/>
              <w:right w:val="single" w:sz="4" w:space="0" w:color="auto"/>
            </w:tcBorders>
            <w:vAlign w:val="center"/>
          </w:tcPr>
          <w:p w14:paraId="2A4EB27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282179B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二十三条、第九十三条；《企业安全生产费用提取和使用管理办法》四十五条、四十六条、四十七条；《生产安全事故罚款处罚规定（试行）》第十九条；《安全生产违法行为行政处罚办法》第四十三条。</w:t>
            </w:r>
          </w:p>
        </w:tc>
        <w:tc>
          <w:tcPr>
            <w:tcW w:w="3635" w:type="dxa"/>
            <w:tcBorders>
              <w:top w:val="single" w:sz="4" w:space="0" w:color="auto"/>
              <w:left w:val="single" w:sz="4" w:space="0" w:color="auto"/>
              <w:bottom w:val="single" w:sz="4" w:space="0" w:color="auto"/>
              <w:right w:val="single" w:sz="4" w:space="0" w:color="auto"/>
            </w:tcBorders>
            <w:vAlign w:val="center"/>
          </w:tcPr>
          <w:p w14:paraId="274820D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未将安全生产资金投入纳入年度预算，扣1分。</w:t>
            </w:r>
          </w:p>
        </w:tc>
        <w:tc>
          <w:tcPr>
            <w:tcW w:w="457" w:type="dxa"/>
            <w:tcBorders>
              <w:top w:val="single" w:sz="4" w:space="0" w:color="auto"/>
              <w:left w:val="single" w:sz="4" w:space="0" w:color="auto"/>
              <w:bottom w:val="single" w:sz="4" w:space="0" w:color="auto"/>
              <w:right w:val="single" w:sz="4" w:space="0" w:color="auto"/>
            </w:tcBorders>
          </w:tcPr>
          <w:p w14:paraId="15201E57"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C38A15D" w14:textId="77777777" w:rsidR="00F805CB" w:rsidRDefault="00F805CB">
            <w:pPr>
              <w:widowControl/>
              <w:rPr>
                <w:rFonts w:ascii="仿宋" w:eastAsia="仿宋" w:hAnsi="仿宋" w:cs="仿宋_GB2312" w:hint="eastAsia"/>
              </w:rPr>
            </w:pPr>
          </w:p>
        </w:tc>
      </w:tr>
      <w:tr w:rsidR="00F805CB" w14:paraId="4E207B37" w14:textId="77777777">
        <w:trPr>
          <w:trHeight w:val="613"/>
          <w:jc w:val="center"/>
        </w:trPr>
        <w:tc>
          <w:tcPr>
            <w:tcW w:w="497" w:type="dxa"/>
            <w:tcBorders>
              <w:top w:val="single" w:sz="4" w:space="0" w:color="auto"/>
              <w:left w:val="single" w:sz="4" w:space="0" w:color="auto"/>
              <w:bottom w:val="single" w:sz="4" w:space="0" w:color="auto"/>
              <w:right w:val="single" w:sz="4" w:space="0" w:color="auto"/>
            </w:tcBorders>
            <w:vAlign w:val="center"/>
          </w:tcPr>
          <w:p w14:paraId="6C0A95E0"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5</w:t>
            </w:r>
          </w:p>
        </w:tc>
        <w:tc>
          <w:tcPr>
            <w:tcW w:w="1428" w:type="dxa"/>
            <w:tcBorders>
              <w:top w:val="single" w:sz="4" w:space="0" w:color="auto"/>
              <w:left w:val="single" w:sz="4" w:space="0" w:color="auto"/>
              <w:bottom w:val="single" w:sz="4" w:space="0" w:color="auto"/>
              <w:right w:val="single" w:sz="4" w:space="0" w:color="auto"/>
            </w:tcBorders>
            <w:vAlign w:val="center"/>
          </w:tcPr>
          <w:p w14:paraId="6D249E7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劳动防护用品使用（1分）</w:t>
            </w:r>
          </w:p>
        </w:tc>
        <w:tc>
          <w:tcPr>
            <w:tcW w:w="4721" w:type="dxa"/>
            <w:tcBorders>
              <w:top w:val="single" w:sz="4" w:space="0" w:color="auto"/>
              <w:left w:val="single" w:sz="4" w:space="0" w:color="auto"/>
              <w:bottom w:val="single" w:sz="4" w:space="0" w:color="auto"/>
              <w:right w:val="single" w:sz="4" w:space="0" w:color="auto"/>
            </w:tcBorders>
            <w:vAlign w:val="center"/>
          </w:tcPr>
          <w:p w14:paraId="30E14C2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是否及时为从业人员提供符合国家标准或者行业标准的劳动防护用品并登记建档。</w:t>
            </w:r>
          </w:p>
        </w:tc>
        <w:tc>
          <w:tcPr>
            <w:tcW w:w="1075" w:type="dxa"/>
            <w:tcBorders>
              <w:top w:val="single" w:sz="4" w:space="0" w:color="auto"/>
              <w:left w:val="single" w:sz="4" w:space="0" w:color="auto"/>
              <w:bottom w:val="single" w:sz="4" w:space="0" w:color="auto"/>
              <w:right w:val="single" w:sz="4" w:space="0" w:color="auto"/>
            </w:tcBorders>
            <w:vAlign w:val="center"/>
          </w:tcPr>
          <w:p w14:paraId="4E340C5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3DC9ABE9" w14:textId="77777777" w:rsidR="00F805CB" w:rsidRDefault="00000000">
            <w:pPr>
              <w:pStyle w:val="a9"/>
              <w:rPr>
                <w:rFonts w:ascii="仿宋" w:hAnsi="仿宋" w:cs="仿宋_GB2312" w:hint="eastAsia"/>
                <w:sz w:val="21"/>
                <w:szCs w:val="21"/>
              </w:rPr>
            </w:pPr>
            <w:r>
              <w:rPr>
                <w:rFonts w:ascii="仿宋" w:eastAsia="仿宋" w:hAnsi="仿宋" w:cs="仿宋_GB2312" w:hint="eastAsia"/>
                <w:sz w:val="21"/>
                <w:szCs w:val="21"/>
              </w:rPr>
              <w:t>《安全生产法》(2021年修正）第四十五条、第九十九条；《用人单位劳动防护用品管理规范》第十八条。</w:t>
            </w:r>
          </w:p>
        </w:tc>
        <w:tc>
          <w:tcPr>
            <w:tcW w:w="3635" w:type="dxa"/>
            <w:tcBorders>
              <w:top w:val="single" w:sz="4" w:space="0" w:color="auto"/>
              <w:left w:val="single" w:sz="4" w:space="0" w:color="auto"/>
              <w:bottom w:val="single" w:sz="4" w:space="0" w:color="auto"/>
              <w:right w:val="single" w:sz="4" w:space="0" w:color="auto"/>
            </w:tcBorders>
            <w:vAlign w:val="center"/>
          </w:tcPr>
          <w:p w14:paraId="7CD4E8B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未建立劳动防护用品发放登记使用记录，扣1分。</w:t>
            </w:r>
          </w:p>
        </w:tc>
        <w:tc>
          <w:tcPr>
            <w:tcW w:w="457" w:type="dxa"/>
            <w:tcBorders>
              <w:top w:val="single" w:sz="4" w:space="0" w:color="auto"/>
              <w:left w:val="single" w:sz="4" w:space="0" w:color="auto"/>
              <w:bottom w:val="single" w:sz="4" w:space="0" w:color="auto"/>
              <w:right w:val="single" w:sz="4" w:space="0" w:color="auto"/>
            </w:tcBorders>
          </w:tcPr>
          <w:p w14:paraId="0EF114AB"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51B2A994" w14:textId="77777777" w:rsidR="00F805CB" w:rsidRDefault="00F805CB">
            <w:pPr>
              <w:widowControl/>
              <w:rPr>
                <w:rFonts w:ascii="仿宋" w:eastAsia="仿宋" w:hAnsi="仿宋" w:cs="仿宋_GB2312" w:hint="eastAsia"/>
              </w:rPr>
            </w:pPr>
          </w:p>
        </w:tc>
      </w:tr>
      <w:tr w:rsidR="00F805CB" w14:paraId="242587EE" w14:textId="77777777">
        <w:trPr>
          <w:trHeight w:val="90"/>
          <w:jc w:val="center"/>
        </w:trPr>
        <w:tc>
          <w:tcPr>
            <w:tcW w:w="497" w:type="dxa"/>
            <w:tcBorders>
              <w:top w:val="single" w:sz="4" w:space="0" w:color="auto"/>
              <w:left w:val="single" w:sz="4" w:space="0" w:color="auto"/>
              <w:bottom w:val="single" w:sz="4" w:space="0" w:color="auto"/>
              <w:right w:val="single" w:sz="4" w:space="0" w:color="auto"/>
            </w:tcBorders>
            <w:vAlign w:val="center"/>
          </w:tcPr>
          <w:p w14:paraId="4F23CEC3"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6</w:t>
            </w:r>
          </w:p>
        </w:tc>
        <w:tc>
          <w:tcPr>
            <w:tcW w:w="1428" w:type="dxa"/>
            <w:tcBorders>
              <w:top w:val="single" w:sz="4" w:space="0" w:color="auto"/>
              <w:left w:val="single" w:sz="4" w:space="0" w:color="auto"/>
              <w:bottom w:val="single" w:sz="4" w:space="0" w:color="auto"/>
              <w:right w:val="single" w:sz="4" w:space="0" w:color="auto"/>
            </w:tcBorders>
            <w:vAlign w:val="center"/>
          </w:tcPr>
          <w:p w14:paraId="2BBFEA4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安全生产培训教育</w:t>
            </w:r>
          </w:p>
          <w:p w14:paraId="7C8A8A2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（2分）</w:t>
            </w:r>
          </w:p>
        </w:tc>
        <w:tc>
          <w:tcPr>
            <w:tcW w:w="4721" w:type="dxa"/>
            <w:tcBorders>
              <w:top w:val="single" w:sz="4" w:space="0" w:color="auto"/>
              <w:left w:val="single" w:sz="4" w:space="0" w:color="auto"/>
              <w:bottom w:val="single" w:sz="4" w:space="0" w:color="auto"/>
              <w:right w:val="single" w:sz="4" w:space="0" w:color="auto"/>
            </w:tcBorders>
            <w:vAlign w:val="center"/>
          </w:tcPr>
          <w:p w14:paraId="69E3633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对从业人员进行安全生产教育和培训，按照规定如实告知有关的安全生产事项；（2）对从业人员安全培训的时间是否满足《生产经营单位安全培训规定》或者有关标准规定；（3）是否建立安全生产教育和培训档案，如实记录安全生产教育和培训的时间、内容、参加人员以及考核结果等情况。</w:t>
            </w:r>
          </w:p>
          <w:p w14:paraId="53614B68" w14:textId="77777777" w:rsidR="00F805CB" w:rsidRDefault="00F805CB">
            <w:pPr>
              <w:pStyle w:val="a9"/>
              <w:rPr>
                <w:rFonts w:ascii="仿宋" w:eastAsia="仿宋" w:hAnsi="仿宋" w:cs="仿宋_GB2312" w:hint="eastAsia"/>
                <w:sz w:val="21"/>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5696B13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6E1A76E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二十八条、第九十七条；《生产经营单位安全培训规定》第十三条、第二十一条、第二十二条、第二十九条、第三十条；《安全生产培训管理办法》第十一条、第三十六条；《深圳市生产经营单位安全生产主体责任规定》第四十七条。</w:t>
            </w:r>
          </w:p>
        </w:tc>
        <w:tc>
          <w:tcPr>
            <w:tcW w:w="3635" w:type="dxa"/>
            <w:tcBorders>
              <w:top w:val="single" w:sz="4" w:space="0" w:color="auto"/>
              <w:left w:val="single" w:sz="4" w:space="0" w:color="auto"/>
              <w:bottom w:val="single" w:sz="4" w:space="0" w:color="auto"/>
              <w:right w:val="single" w:sz="4" w:space="0" w:color="auto"/>
            </w:tcBorders>
            <w:vAlign w:val="center"/>
          </w:tcPr>
          <w:p w14:paraId="085084E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培训时间不符合要求，扣1分，未建立培训档案或记录不完善，扣1分。</w:t>
            </w:r>
          </w:p>
        </w:tc>
        <w:tc>
          <w:tcPr>
            <w:tcW w:w="457" w:type="dxa"/>
            <w:tcBorders>
              <w:top w:val="single" w:sz="4" w:space="0" w:color="auto"/>
              <w:left w:val="single" w:sz="4" w:space="0" w:color="auto"/>
              <w:bottom w:val="single" w:sz="4" w:space="0" w:color="auto"/>
              <w:right w:val="single" w:sz="4" w:space="0" w:color="auto"/>
            </w:tcBorders>
          </w:tcPr>
          <w:p w14:paraId="1406D3CE"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4F8496B" w14:textId="77777777" w:rsidR="00F805CB" w:rsidRDefault="00F805CB">
            <w:pPr>
              <w:widowControl/>
              <w:rPr>
                <w:rFonts w:ascii="仿宋" w:eastAsia="仿宋" w:hAnsi="仿宋" w:cs="仿宋_GB2312" w:hint="eastAsia"/>
              </w:rPr>
            </w:pPr>
          </w:p>
        </w:tc>
      </w:tr>
      <w:tr w:rsidR="00F805CB" w14:paraId="194602DC" w14:textId="77777777">
        <w:trPr>
          <w:trHeight w:val="809"/>
          <w:jc w:val="center"/>
        </w:trPr>
        <w:tc>
          <w:tcPr>
            <w:tcW w:w="497" w:type="dxa"/>
            <w:tcBorders>
              <w:top w:val="single" w:sz="4" w:space="0" w:color="auto"/>
              <w:left w:val="single" w:sz="4" w:space="0" w:color="auto"/>
              <w:bottom w:val="single" w:sz="4" w:space="0" w:color="auto"/>
              <w:right w:val="single" w:sz="4" w:space="0" w:color="auto"/>
            </w:tcBorders>
            <w:vAlign w:val="center"/>
          </w:tcPr>
          <w:p w14:paraId="4EDC8B2E"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7</w:t>
            </w:r>
          </w:p>
        </w:tc>
        <w:tc>
          <w:tcPr>
            <w:tcW w:w="1428" w:type="dxa"/>
            <w:tcBorders>
              <w:top w:val="single" w:sz="4" w:space="0" w:color="auto"/>
              <w:left w:val="single" w:sz="4" w:space="0" w:color="auto"/>
              <w:bottom w:val="single" w:sz="4" w:space="0" w:color="auto"/>
              <w:right w:val="single" w:sz="4" w:space="0" w:color="auto"/>
            </w:tcBorders>
            <w:vAlign w:val="center"/>
          </w:tcPr>
          <w:p w14:paraId="7DD435C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风险分级管控制度（5分）</w:t>
            </w:r>
          </w:p>
        </w:tc>
        <w:tc>
          <w:tcPr>
            <w:tcW w:w="4721" w:type="dxa"/>
            <w:tcBorders>
              <w:top w:val="single" w:sz="4" w:space="0" w:color="auto"/>
              <w:left w:val="single" w:sz="4" w:space="0" w:color="auto"/>
              <w:bottom w:val="single" w:sz="4" w:space="0" w:color="auto"/>
              <w:right w:val="single" w:sz="4" w:space="0" w:color="auto"/>
            </w:tcBorders>
            <w:vAlign w:val="center"/>
          </w:tcPr>
          <w:p w14:paraId="511F295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建立风险排查机制，明确风险排查范围，全面排查危险源；（2）是否明确风险辨识方法，对排查出的危险源进行识别；（3）是否组织专业技术力量进行风险分析，判断事故发生的可能性和危害后果严重程度；（4）是否明确风险分级标准，根据风险分析结果评价确认风险等级；（5）是否遵循消除、预防、减弱、隔离、警示等原则，科学设置风险控制措施，突出重大风险的有效控制；（6）常态化实施风险排查、辨识、分</w:t>
            </w:r>
            <w:r>
              <w:rPr>
                <w:rFonts w:ascii="仿宋" w:eastAsia="仿宋" w:hAnsi="仿宋" w:cs="仿宋_GB2312" w:hint="eastAsia"/>
                <w:sz w:val="21"/>
                <w:szCs w:val="21"/>
              </w:rPr>
              <w:lastRenderedPageBreak/>
              <w:t>析、评价、确认、控制，建立风险清单，根据风险消除或降低情况动态更新风险清单。</w:t>
            </w:r>
          </w:p>
        </w:tc>
        <w:tc>
          <w:tcPr>
            <w:tcW w:w="1075" w:type="dxa"/>
            <w:tcBorders>
              <w:top w:val="single" w:sz="4" w:space="0" w:color="auto"/>
              <w:left w:val="single" w:sz="4" w:space="0" w:color="auto"/>
              <w:bottom w:val="single" w:sz="4" w:space="0" w:color="auto"/>
              <w:right w:val="single" w:sz="4" w:space="0" w:color="auto"/>
            </w:tcBorders>
            <w:vAlign w:val="center"/>
          </w:tcPr>
          <w:p w14:paraId="3381F51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lastRenderedPageBreak/>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1BA4C20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依据《广东省应急管理厅关于安全风险分级管控办法（试行）》第六条、第三十一条。</w:t>
            </w:r>
          </w:p>
        </w:tc>
        <w:tc>
          <w:tcPr>
            <w:tcW w:w="3635" w:type="dxa"/>
            <w:tcBorders>
              <w:top w:val="single" w:sz="4" w:space="0" w:color="auto"/>
              <w:left w:val="single" w:sz="4" w:space="0" w:color="auto"/>
              <w:bottom w:val="single" w:sz="4" w:space="0" w:color="auto"/>
              <w:right w:val="single" w:sz="4" w:space="0" w:color="auto"/>
            </w:tcBorders>
            <w:vAlign w:val="center"/>
          </w:tcPr>
          <w:p w14:paraId="1AB39F3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风险排查机制扣1分；未进行风险常态化排查，根据风险消除或降低情况动态更新风险清单扣1分；未对排查出的危险源进行识别扣0.5分；未对危险源进行风险分析扣0.5分；未根据风险分析结果评价确认风险等级进行分级管理扣0.5分；未针对风险分级结果采取管控措施扣1分；未建立风险清单扣0.5分</w:t>
            </w:r>
          </w:p>
        </w:tc>
        <w:tc>
          <w:tcPr>
            <w:tcW w:w="457" w:type="dxa"/>
            <w:tcBorders>
              <w:top w:val="single" w:sz="4" w:space="0" w:color="auto"/>
              <w:left w:val="single" w:sz="4" w:space="0" w:color="auto"/>
              <w:bottom w:val="single" w:sz="4" w:space="0" w:color="auto"/>
              <w:right w:val="single" w:sz="4" w:space="0" w:color="auto"/>
            </w:tcBorders>
          </w:tcPr>
          <w:p w14:paraId="77EFEEAC"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AA439B0" w14:textId="77777777" w:rsidR="00F805CB" w:rsidRDefault="00F805CB">
            <w:pPr>
              <w:widowControl/>
              <w:rPr>
                <w:rFonts w:ascii="仿宋" w:eastAsia="仿宋" w:hAnsi="仿宋" w:cs="仿宋_GB2312" w:hint="eastAsia"/>
              </w:rPr>
            </w:pPr>
          </w:p>
        </w:tc>
      </w:tr>
      <w:tr w:rsidR="00F805CB" w14:paraId="3BF12341" w14:textId="77777777">
        <w:trPr>
          <w:trHeight w:val="90"/>
          <w:jc w:val="center"/>
        </w:trPr>
        <w:tc>
          <w:tcPr>
            <w:tcW w:w="497" w:type="dxa"/>
            <w:tcBorders>
              <w:top w:val="single" w:sz="4" w:space="0" w:color="auto"/>
              <w:left w:val="single" w:sz="4" w:space="0" w:color="auto"/>
              <w:bottom w:val="single" w:sz="4" w:space="0" w:color="auto"/>
              <w:right w:val="single" w:sz="4" w:space="0" w:color="auto"/>
            </w:tcBorders>
            <w:vAlign w:val="center"/>
          </w:tcPr>
          <w:p w14:paraId="2DE8774F"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8</w:t>
            </w:r>
          </w:p>
        </w:tc>
        <w:tc>
          <w:tcPr>
            <w:tcW w:w="1428" w:type="dxa"/>
            <w:tcBorders>
              <w:top w:val="single" w:sz="4" w:space="0" w:color="auto"/>
              <w:left w:val="single" w:sz="4" w:space="0" w:color="auto"/>
              <w:bottom w:val="single" w:sz="4" w:space="0" w:color="auto"/>
              <w:right w:val="single" w:sz="4" w:space="0" w:color="auto"/>
            </w:tcBorders>
            <w:vAlign w:val="center"/>
          </w:tcPr>
          <w:p w14:paraId="4A35CCD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隐患排查治理制度（5分）</w:t>
            </w:r>
          </w:p>
        </w:tc>
        <w:tc>
          <w:tcPr>
            <w:tcW w:w="4721" w:type="dxa"/>
            <w:tcBorders>
              <w:top w:val="single" w:sz="4" w:space="0" w:color="auto"/>
              <w:left w:val="single" w:sz="4" w:space="0" w:color="auto"/>
              <w:bottom w:val="single" w:sz="4" w:space="0" w:color="auto"/>
              <w:right w:val="single" w:sz="4" w:space="0" w:color="auto"/>
            </w:tcBorders>
            <w:vAlign w:val="center"/>
          </w:tcPr>
          <w:p w14:paraId="0CFF53D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建立事故隐患排查治理制度；（2）是否采取措施消除事故隐患；（3）是否将事故隐患排查治理情况如实记录并通过职工大会或者职工代表大会、信息公示栏等方式向从业人员通报；（4）对监管部门针对重大事故隐患做出的停止施工、停止使用相关设施或者设备的决定，是否执行；（5）是否按时对本单位事故隐患排查治理情况进行统计分析，是否按时向安全监管监察部门和有关部门报送书面统计分析表；（6）是否建立“一线三排”隐患排查排序</w:t>
            </w:r>
            <w:proofErr w:type="gramStart"/>
            <w:r>
              <w:rPr>
                <w:rFonts w:ascii="仿宋" w:eastAsia="仿宋" w:hAnsi="仿宋" w:cs="仿宋_GB2312" w:hint="eastAsia"/>
                <w:sz w:val="21"/>
                <w:szCs w:val="21"/>
              </w:rPr>
              <w:t>排除台</w:t>
            </w:r>
            <w:proofErr w:type="gramEnd"/>
            <w:r>
              <w:rPr>
                <w:rFonts w:ascii="仿宋" w:eastAsia="仿宋" w:hAnsi="仿宋" w:cs="仿宋_GB2312" w:hint="eastAsia"/>
                <w:sz w:val="21"/>
                <w:szCs w:val="21"/>
              </w:rPr>
              <w:t>账，设置并张贴“一线三排”标识牌、工作机制牌，严格落实“一线三排”安全生产相关工作，开展事故隐患的排查、排序、排除。</w:t>
            </w:r>
          </w:p>
        </w:tc>
        <w:tc>
          <w:tcPr>
            <w:tcW w:w="1075" w:type="dxa"/>
            <w:tcBorders>
              <w:top w:val="single" w:sz="4" w:space="0" w:color="auto"/>
              <w:left w:val="single" w:sz="4" w:space="0" w:color="auto"/>
              <w:bottom w:val="single" w:sz="4" w:space="0" w:color="auto"/>
              <w:right w:val="single" w:sz="4" w:space="0" w:color="auto"/>
            </w:tcBorders>
            <w:vAlign w:val="center"/>
          </w:tcPr>
          <w:p w14:paraId="3A3FC70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3BC4322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四十一条、第七十条、第九十七条、第一百零一条；《安全生产违法行为行政处罚办法》第四十五条；《安全生产事故隐患排查治理暂行规定》第十四条、第十五条、第十六条、第十八条、第二十六条；《广东省生产经营单位安全生产“一线三排”工作指引》第一条、第三条、第六条。</w:t>
            </w:r>
          </w:p>
        </w:tc>
        <w:tc>
          <w:tcPr>
            <w:tcW w:w="3635" w:type="dxa"/>
            <w:tcBorders>
              <w:top w:val="single" w:sz="4" w:space="0" w:color="auto"/>
              <w:left w:val="single" w:sz="4" w:space="0" w:color="auto"/>
              <w:bottom w:val="single" w:sz="4" w:space="0" w:color="auto"/>
              <w:right w:val="single" w:sz="4" w:space="0" w:color="auto"/>
            </w:tcBorders>
            <w:vAlign w:val="center"/>
          </w:tcPr>
          <w:p w14:paraId="70C5331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事故隐患排查治理制度，扣1分；未采取措施消除隐患，每发现一项扣0.5分，最多扣1分；未及时将隐患情况告知从业人员扣1分；未及时将治理情况按时报送，扣1分；未落实“一线三排”相关规定，每发现一项扣0.5分，最多扣1分。</w:t>
            </w:r>
          </w:p>
        </w:tc>
        <w:tc>
          <w:tcPr>
            <w:tcW w:w="457" w:type="dxa"/>
            <w:tcBorders>
              <w:top w:val="single" w:sz="4" w:space="0" w:color="auto"/>
              <w:left w:val="single" w:sz="4" w:space="0" w:color="auto"/>
              <w:bottom w:val="single" w:sz="4" w:space="0" w:color="auto"/>
              <w:right w:val="single" w:sz="4" w:space="0" w:color="auto"/>
            </w:tcBorders>
          </w:tcPr>
          <w:p w14:paraId="5845341F"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1ED6964" w14:textId="77777777" w:rsidR="00F805CB" w:rsidRDefault="00F805CB">
            <w:pPr>
              <w:widowControl/>
              <w:rPr>
                <w:rFonts w:ascii="仿宋" w:eastAsia="仿宋" w:hAnsi="仿宋" w:cs="仿宋_GB2312" w:hint="eastAsia"/>
              </w:rPr>
            </w:pPr>
          </w:p>
        </w:tc>
      </w:tr>
      <w:tr w:rsidR="00F805CB" w14:paraId="222CE9DB" w14:textId="77777777">
        <w:trPr>
          <w:trHeight w:val="940"/>
          <w:jc w:val="center"/>
        </w:trPr>
        <w:tc>
          <w:tcPr>
            <w:tcW w:w="497" w:type="dxa"/>
            <w:tcBorders>
              <w:top w:val="single" w:sz="4" w:space="0" w:color="auto"/>
              <w:left w:val="single" w:sz="4" w:space="0" w:color="auto"/>
              <w:bottom w:val="single" w:sz="4" w:space="0" w:color="auto"/>
              <w:right w:val="single" w:sz="4" w:space="0" w:color="auto"/>
            </w:tcBorders>
            <w:vAlign w:val="center"/>
          </w:tcPr>
          <w:p w14:paraId="2CE24D41"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9</w:t>
            </w:r>
          </w:p>
        </w:tc>
        <w:tc>
          <w:tcPr>
            <w:tcW w:w="1428" w:type="dxa"/>
            <w:tcBorders>
              <w:top w:val="single" w:sz="4" w:space="0" w:color="auto"/>
              <w:left w:val="single" w:sz="4" w:space="0" w:color="auto"/>
              <w:bottom w:val="single" w:sz="4" w:space="0" w:color="auto"/>
              <w:right w:val="single" w:sz="4" w:space="0" w:color="auto"/>
            </w:tcBorders>
            <w:vAlign w:val="center"/>
          </w:tcPr>
          <w:p w14:paraId="00BA8BE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重大危险源安全管理（2分）</w:t>
            </w:r>
          </w:p>
        </w:tc>
        <w:tc>
          <w:tcPr>
            <w:tcW w:w="4721" w:type="dxa"/>
            <w:tcBorders>
              <w:top w:val="single" w:sz="4" w:space="0" w:color="auto"/>
              <w:left w:val="single" w:sz="4" w:space="0" w:color="auto"/>
              <w:bottom w:val="single" w:sz="4" w:space="0" w:color="auto"/>
              <w:right w:val="single" w:sz="4" w:space="0" w:color="auto"/>
            </w:tcBorders>
            <w:vAlign w:val="center"/>
          </w:tcPr>
          <w:p w14:paraId="0F952BB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（1）是否建立重大危险源管理制度，全面辨识重大危险源，对确认的重大危险</w:t>
            </w:r>
            <w:proofErr w:type="gramStart"/>
            <w:r>
              <w:rPr>
                <w:rFonts w:ascii="仿宋" w:eastAsia="仿宋" w:hAnsi="仿宋" w:cs="仿宋_GB2312" w:hint="eastAsia"/>
                <w:sz w:val="21"/>
                <w:szCs w:val="21"/>
              </w:rPr>
              <w:t>源制定</w:t>
            </w:r>
            <w:proofErr w:type="gramEnd"/>
            <w:r>
              <w:rPr>
                <w:rFonts w:ascii="仿宋" w:eastAsia="仿宋" w:hAnsi="仿宋" w:cs="仿宋_GB2312" w:hint="eastAsia"/>
                <w:sz w:val="21"/>
                <w:szCs w:val="21"/>
              </w:rPr>
              <w:t>安全管理技术措施和应急预案；</w:t>
            </w:r>
          </w:p>
        </w:tc>
        <w:tc>
          <w:tcPr>
            <w:tcW w:w="1075" w:type="dxa"/>
            <w:tcBorders>
              <w:top w:val="single" w:sz="4" w:space="0" w:color="auto"/>
              <w:left w:val="single" w:sz="4" w:space="0" w:color="auto"/>
              <w:bottom w:val="single" w:sz="4" w:space="0" w:color="auto"/>
              <w:right w:val="single" w:sz="4" w:space="0" w:color="auto"/>
            </w:tcBorders>
            <w:vAlign w:val="center"/>
          </w:tcPr>
          <w:p w14:paraId="68BA609F"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51199CFF"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《安全生产法》（2021修正）第四十条、《企业安全生产标准化基本规范》5.5.2条</w:t>
            </w:r>
          </w:p>
        </w:tc>
        <w:tc>
          <w:tcPr>
            <w:tcW w:w="3635" w:type="dxa"/>
            <w:tcBorders>
              <w:top w:val="single" w:sz="4" w:space="0" w:color="auto"/>
              <w:left w:val="single" w:sz="4" w:space="0" w:color="auto"/>
              <w:bottom w:val="single" w:sz="4" w:space="0" w:color="auto"/>
              <w:right w:val="single" w:sz="4" w:space="0" w:color="auto"/>
            </w:tcBorders>
            <w:vAlign w:val="center"/>
          </w:tcPr>
          <w:p w14:paraId="5EA8D41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未建立重大危险源管理制度，扣0.5分；未进行辨识扣0.5分；未制定相关应对措施和预案扣1分。</w:t>
            </w:r>
          </w:p>
        </w:tc>
        <w:tc>
          <w:tcPr>
            <w:tcW w:w="457" w:type="dxa"/>
            <w:tcBorders>
              <w:top w:val="single" w:sz="4" w:space="0" w:color="auto"/>
              <w:left w:val="single" w:sz="4" w:space="0" w:color="auto"/>
              <w:bottom w:val="single" w:sz="4" w:space="0" w:color="auto"/>
              <w:right w:val="single" w:sz="4" w:space="0" w:color="auto"/>
            </w:tcBorders>
          </w:tcPr>
          <w:p w14:paraId="0DDCDD42"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D20E638" w14:textId="77777777" w:rsidR="00F805CB" w:rsidRDefault="00F805CB">
            <w:pPr>
              <w:widowControl/>
              <w:rPr>
                <w:rFonts w:ascii="仿宋" w:eastAsia="仿宋" w:hAnsi="仿宋" w:cs="仿宋_GB2312" w:hint="eastAsia"/>
              </w:rPr>
            </w:pPr>
          </w:p>
        </w:tc>
      </w:tr>
      <w:tr w:rsidR="00F805CB" w14:paraId="03052207" w14:textId="77777777">
        <w:trPr>
          <w:trHeight w:val="656"/>
          <w:jc w:val="center"/>
        </w:trPr>
        <w:tc>
          <w:tcPr>
            <w:tcW w:w="497" w:type="dxa"/>
            <w:tcBorders>
              <w:top w:val="single" w:sz="4" w:space="0" w:color="auto"/>
              <w:left w:val="single" w:sz="4" w:space="0" w:color="auto"/>
              <w:bottom w:val="single" w:sz="4" w:space="0" w:color="auto"/>
              <w:right w:val="single" w:sz="4" w:space="0" w:color="auto"/>
            </w:tcBorders>
            <w:vAlign w:val="center"/>
          </w:tcPr>
          <w:p w14:paraId="3014459C"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10</w:t>
            </w:r>
          </w:p>
        </w:tc>
        <w:tc>
          <w:tcPr>
            <w:tcW w:w="1428" w:type="dxa"/>
            <w:tcBorders>
              <w:top w:val="single" w:sz="4" w:space="0" w:color="auto"/>
              <w:left w:val="single" w:sz="4" w:space="0" w:color="auto"/>
              <w:bottom w:val="single" w:sz="4" w:space="0" w:color="auto"/>
              <w:right w:val="single" w:sz="4" w:space="0" w:color="auto"/>
            </w:tcBorders>
            <w:vAlign w:val="center"/>
          </w:tcPr>
          <w:p w14:paraId="14BF3D5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安全警示标志</w:t>
            </w:r>
          </w:p>
          <w:p w14:paraId="07A16AB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（3分）</w:t>
            </w:r>
          </w:p>
        </w:tc>
        <w:tc>
          <w:tcPr>
            <w:tcW w:w="4721" w:type="dxa"/>
            <w:tcBorders>
              <w:top w:val="single" w:sz="4" w:space="0" w:color="auto"/>
              <w:left w:val="single" w:sz="4" w:space="0" w:color="auto"/>
              <w:bottom w:val="single" w:sz="4" w:space="0" w:color="auto"/>
              <w:right w:val="single" w:sz="4" w:space="0" w:color="auto"/>
            </w:tcBorders>
            <w:vAlign w:val="center"/>
          </w:tcPr>
          <w:p w14:paraId="56876065" w14:textId="4B132E0B"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是否在有重大危险源、较大危险因素的工作场所、设备设施，设置明显的、符合有关规定要求的安全警示标志；（2）是否定期对警示标志进行</w:t>
            </w:r>
            <w:r w:rsidR="00951A0F" w:rsidRPr="00951A0F">
              <w:rPr>
                <w:rFonts w:ascii="仿宋" w:eastAsia="仿宋" w:hAnsi="仿宋" w:cs="仿宋_GB2312" w:hint="eastAsia"/>
                <w:sz w:val="21"/>
                <w:szCs w:val="21"/>
              </w:rPr>
              <w:t>检查</w:t>
            </w:r>
            <w:r>
              <w:rPr>
                <w:rFonts w:ascii="仿宋" w:eastAsia="仿宋" w:hAnsi="仿宋" w:cs="仿宋_GB2312" w:hint="eastAsia"/>
                <w:sz w:val="21"/>
                <w:szCs w:val="21"/>
              </w:rPr>
              <w:t>维护，确保其完好有效（3）是否在设备设施施工、吊装、检维修等作业现场设置警戒区域和警示标志，在检维修现场的坑、井、渠、沟、陡坡等场所设置围栏和警示标志，进行危险提示、警示，告知危险的种类、后果及应急措施等；（4）是否在醒目位置和重点区域设置重大风险公告栏，制作岗位风险告知卡，标明风险名称、主要风险因素、可能引发事故类型、事故后果、管控方法、应急措施、报告方式以及责任单位、责任人、联系方式等内容。（5）对存在重大风险的工作场所、岗位和有关设施、设备，是否设置明显的风险警示标志。</w:t>
            </w:r>
          </w:p>
        </w:tc>
        <w:tc>
          <w:tcPr>
            <w:tcW w:w="1075" w:type="dxa"/>
            <w:tcBorders>
              <w:top w:val="single" w:sz="4" w:space="0" w:color="auto"/>
              <w:left w:val="single" w:sz="4" w:space="0" w:color="auto"/>
              <w:bottom w:val="single" w:sz="4" w:space="0" w:color="auto"/>
              <w:right w:val="single" w:sz="4" w:space="0" w:color="auto"/>
            </w:tcBorders>
            <w:vAlign w:val="center"/>
          </w:tcPr>
          <w:p w14:paraId="2289D6D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检查台账/查看现场</w:t>
            </w:r>
          </w:p>
        </w:tc>
        <w:tc>
          <w:tcPr>
            <w:tcW w:w="2924" w:type="dxa"/>
            <w:tcBorders>
              <w:top w:val="single" w:sz="4" w:space="0" w:color="auto"/>
              <w:left w:val="single" w:sz="4" w:space="0" w:color="auto"/>
              <w:bottom w:val="single" w:sz="4" w:space="0" w:color="auto"/>
              <w:right w:val="single" w:sz="4" w:space="0" w:color="auto"/>
            </w:tcBorders>
            <w:vAlign w:val="center"/>
          </w:tcPr>
          <w:p w14:paraId="1D03A8E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《企业安全生产标准化基本规范》要点5.4.4条、《安全生产法》第三十二条；依据《广东省应急管理厅关于安全风险分级管控办法（试行）》第十条、三十一条</w:t>
            </w:r>
          </w:p>
        </w:tc>
        <w:tc>
          <w:tcPr>
            <w:tcW w:w="3635" w:type="dxa"/>
            <w:tcBorders>
              <w:top w:val="single" w:sz="4" w:space="0" w:color="auto"/>
              <w:left w:val="single" w:sz="4" w:space="0" w:color="auto"/>
              <w:bottom w:val="single" w:sz="4" w:space="0" w:color="auto"/>
              <w:right w:val="single" w:sz="4" w:space="0" w:color="auto"/>
            </w:tcBorders>
            <w:vAlign w:val="center"/>
          </w:tcPr>
          <w:p w14:paraId="3073ABF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在有危险因素场所或设施设置警示标志或者标志损坏，每发现一处扣0.5分，最多扣1分；对存在重大风险区域未设置公告栏，未明确岗位风险告知内容，每处扣0.5分，最多扣1分；未在存在重大风险场所设置警示标识，每发现一处扣0.5分，最多扣1分</w:t>
            </w:r>
          </w:p>
        </w:tc>
        <w:tc>
          <w:tcPr>
            <w:tcW w:w="457" w:type="dxa"/>
            <w:tcBorders>
              <w:top w:val="single" w:sz="4" w:space="0" w:color="auto"/>
              <w:left w:val="single" w:sz="4" w:space="0" w:color="auto"/>
              <w:bottom w:val="single" w:sz="4" w:space="0" w:color="auto"/>
              <w:right w:val="single" w:sz="4" w:space="0" w:color="auto"/>
            </w:tcBorders>
          </w:tcPr>
          <w:p w14:paraId="6098FAD8"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7DC21AF" w14:textId="77777777" w:rsidR="00F805CB" w:rsidRDefault="00F805CB">
            <w:pPr>
              <w:widowControl/>
              <w:rPr>
                <w:rFonts w:ascii="仿宋" w:eastAsia="仿宋" w:hAnsi="仿宋" w:cs="仿宋_GB2312" w:hint="eastAsia"/>
              </w:rPr>
            </w:pPr>
          </w:p>
        </w:tc>
      </w:tr>
      <w:tr w:rsidR="00F805CB" w14:paraId="1624CEC9" w14:textId="77777777">
        <w:trPr>
          <w:trHeight w:val="2360"/>
          <w:jc w:val="center"/>
        </w:trPr>
        <w:tc>
          <w:tcPr>
            <w:tcW w:w="497" w:type="dxa"/>
            <w:tcBorders>
              <w:top w:val="single" w:sz="4" w:space="0" w:color="auto"/>
              <w:left w:val="single" w:sz="4" w:space="0" w:color="auto"/>
              <w:bottom w:val="single" w:sz="4" w:space="0" w:color="auto"/>
              <w:right w:val="single" w:sz="4" w:space="0" w:color="auto"/>
            </w:tcBorders>
            <w:vAlign w:val="center"/>
          </w:tcPr>
          <w:p w14:paraId="76F705C9"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lastRenderedPageBreak/>
              <w:t>11</w:t>
            </w:r>
          </w:p>
        </w:tc>
        <w:tc>
          <w:tcPr>
            <w:tcW w:w="1428" w:type="dxa"/>
            <w:tcBorders>
              <w:top w:val="single" w:sz="4" w:space="0" w:color="auto"/>
              <w:left w:val="single" w:sz="4" w:space="0" w:color="auto"/>
              <w:bottom w:val="single" w:sz="4" w:space="0" w:color="auto"/>
              <w:right w:val="single" w:sz="4" w:space="0" w:color="auto"/>
            </w:tcBorders>
            <w:vAlign w:val="center"/>
          </w:tcPr>
          <w:p w14:paraId="7DA5E66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应急预案编制、备案、演练和应急组织人员设置及应急救援器材、设备及物质配备（4分）</w:t>
            </w:r>
          </w:p>
        </w:tc>
        <w:tc>
          <w:tcPr>
            <w:tcW w:w="4721" w:type="dxa"/>
            <w:tcBorders>
              <w:top w:val="single" w:sz="4" w:space="0" w:color="auto"/>
              <w:left w:val="single" w:sz="4" w:space="0" w:color="auto"/>
              <w:bottom w:val="single" w:sz="4" w:space="0" w:color="auto"/>
              <w:right w:val="single" w:sz="4" w:space="0" w:color="auto"/>
            </w:tcBorders>
            <w:vAlign w:val="center"/>
          </w:tcPr>
          <w:p w14:paraId="6085146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制定应急救援预案，并定期组织演练；（2）是否有兼职应急救援人员、组建应急救援队伍；（3）是否配备应急装备、储备应急物资、建立应急物资管理台账；（4）应急预案是否在区住房和建设部门备案。</w:t>
            </w:r>
          </w:p>
        </w:tc>
        <w:tc>
          <w:tcPr>
            <w:tcW w:w="1075" w:type="dxa"/>
            <w:tcBorders>
              <w:top w:val="single" w:sz="4" w:space="0" w:color="auto"/>
              <w:left w:val="single" w:sz="4" w:space="0" w:color="auto"/>
              <w:bottom w:val="single" w:sz="4" w:space="0" w:color="auto"/>
              <w:right w:val="single" w:sz="4" w:space="0" w:color="auto"/>
            </w:tcBorders>
            <w:vAlign w:val="center"/>
          </w:tcPr>
          <w:p w14:paraId="6C6C673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15BFB05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二十一条、第八十一条、第八十二条、第九十七条；《生产安全事故应急预案管理办法》、《企业安全生产标准化基本规范》要点5.6.1条、《深圳特区物业管理条例》第五十八、第六十四条、第一百一十四条。</w:t>
            </w:r>
          </w:p>
        </w:tc>
        <w:tc>
          <w:tcPr>
            <w:tcW w:w="3635" w:type="dxa"/>
            <w:tcBorders>
              <w:top w:val="single" w:sz="4" w:space="0" w:color="auto"/>
              <w:left w:val="single" w:sz="4" w:space="0" w:color="auto"/>
              <w:bottom w:val="single" w:sz="4" w:space="0" w:color="auto"/>
              <w:right w:val="single" w:sz="4" w:space="0" w:color="auto"/>
            </w:tcBorders>
            <w:vAlign w:val="center"/>
          </w:tcPr>
          <w:p w14:paraId="75DD0F6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未制定应急预案或预案不</w:t>
            </w:r>
            <w:proofErr w:type="gramStart"/>
            <w:r>
              <w:rPr>
                <w:rFonts w:ascii="仿宋" w:eastAsia="仿宋" w:hAnsi="仿宋" w:cs="仿宋_GB2312" w:hint="eastAsia"/>
                <w:sz w:val="21"/>
                <w:szCs w:val="21"/>
              </w:rPr>
              <w:t>完善扣</w:t>
            </w:r>
            <w:proofErr w:type="gramEnd"/>
            <w:r>
              <w:rPr>
                <w:rFonts w:ascii="仿宋" w:eastAsia="仿宋" w:hAnsi="仿宋" w:cs="仿宋_GB2312" w:hint="eastAsia"/>
                <w:sz w:val="21"/>
                <w:szCs w:val="21"/>
              </w:rPr>
              <w:t>1分；无演练记录扣1分；未建立应急队伍扣0.5分；未建立应急管理台账，扣0.5分；未及时将应急预案在行业主管部门备案，扣1分。</w:t>
            </w:r>
          </w:p>
        </w:tc>
        <w:tc>
          <w:tcPr>
            <w:tcW w:w="457" w:type="dxa"/>
            <w:tcBorders>
              <w:top w:val="single" w:sz="4" w:space="0" w:color="auto"/>
              <w:left w:val="single" w:sz="4" w:space="0" w:color="auto"/>
              <w:bottom w:val="single" w:sz="4" w:space="0" w:color="auto"/>
              <w:right w:val="single" w:sz="4" w:space="0" w:color="auto"/>
            </w:tcBorders>
          </w:tcPr>
          <w:p w14:paraId="3CA426A0"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06AA411" w14:textId="77777777" w:rsidR="00F805CB" w:rsidRDefault="00F805CB">
            <w:pPr>
              <w:widowControl/>
              <w:rPr>
                <w:rFonts w:ascii="仿宋" w:eastAsia="仿宋" w:hAnsi="仿宋" w:cs="仿宋_GB2312" w:hint="eastAsia"/>
              </w:rPr>
            </w:pPr>
          </w:p>
        </w:tc>
      </w:tr>
      <w:tr w:rsidR="00F805CB" w14:paraId="3EAAF15B" w14:textId="77777777">
        <w:trPr>
          <w:trHeight w:val="3407"/>
          <w:jc w:val="center"/>
        </w:trPr>
        <w:tc>
          <w:tcPr>
            <w:tcW w:w="497" w:type="dxa"/>
            <w:tcBorders>
              <w:top w:val="single" w:sz="4" w:space="0" w:color="auto"/>
              <w:left w:val="single" w:sz="4" w:space="0" w:color="auto"/>
              <w:bottom w:val="single" w:sz="4" w:space="0" w:color="auto"/>
              <w:right w:val="single" w:sz="4" w:space="0" w:color="auto"/>
            </w:tcBorders>
            <w:vAlign w:val="center"/>
          </w:tcPr>
          <w:p w14:paraId="1D1DA7C0"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12</w:t>
            </w:r>
          </w:p>
        </w:tc>
        <w:tc>
          <w:tcPr>
            <w:tcW w:w="1428" w:type="dxa"/>
            <w:tcBorders>
              <w:top w:val="single" w:sz="4" w:space="0" w:color="auto"/>
              <w:left w:val="single" w:sz="4" w:space="0" w:color="auto"/>
              <w:bottom w:val="single" w:sz="4" w:space="0" w:color="auto"/>
              <w:right w:val="single" w:sz="4" w:space="0" w:color="auto"/>
            </w:tcBorders>
            <w:vAlign w:val="center"/>
          </w:tcPr>
          <w:p w14:paraId="15B92E9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分包安全生产管理（6分）</w:t>
            </w:r>
          </w:p>
        </w:tc>
        <w:tc>
          <w:tcPr>
            <w:tcW w:w="4721" w:type="dxa"/>
            <w:tcBorders>
              <w:top w:val="single" w:sz="4" w:space="0" w:color="auto"/>
              <w:left w:val="single" w:sz="4" w:space="0" w:color="auto"/>
              <w:bottom w:val="single" w:sz="4" w:space="0" w:color="auto"/>
              <w:right w:val="single" w:sz="4" w:space="0" w:color="auto"/>
            </w:tcBorders>
            <w:vAlign w:val="center"/>
          </w:tcPr>
          <w:p w14:paraId="7C3DB4D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签订安全生产管理协议，安全分包协议，明确各自的安全生产职责；（2）是否对分包单位进行安全技术交底，告知其作业现场存在的危险因素和防范措施；（3）、是否对分包单位作业人员进行安全生产教育和培训，如实记录安全生产教育和培训的时间、内容、参加人员以及考核结果等情况；（4）、是否对分包单位安全生产工作统一协调、管理，发现安全问题的，应当及时督促整改（5）、定期进行安全检查。</w:t>
            </w:r>
          </w:p>
        </w:tc>
        <w:tc>
          <w:tcPr>
            <w:tcW w:w="1075" w:type="dxa"/>
            <w:tcBorders>
              <w:top w:val="single" w:sz="4" w:space="0" w:color="auto"/>
              <w:left w:val="single" w:sz="4" w:space="0" w:color="auto"/>
              <w:bottom w:val="single" w:sz="4" w:space="0" w:color="auto"/>
              <w:right w:val="single" w:sz="4" w:space="0" w:color="auto"/>
            </w:tcBorders>
            <w:vAlign w:val="center"/>
          </w:tcPr>
          <w:p w14:paraId="664F1A4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03AFA4D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《安全生产法》（2021年修正）第二十八条、第四十九条；《深圳市生产经营单位安全生产主体责任规定》第四十一条</w:t>
            </w:r>
          </w:p>
          <w:p w14:paraId="04542C98" w14:textId="77777777" w:rsidR="00F805CB" w:rsidRDefault="00F805CB">
            <w:pPr>
              <w:pStyle w:val="a9"/>
              <w:rPr>
                <w:rFonts w:ascii="仿宋" w:eastAsia="仿宋" w:hAnsi="仿宋" w:cs="仿宋_GB2312" w:hint="eastAsia"/>
                <w:sz w:val="21"/>
                <w:szCs w:val="21"/>
              </w:rPr>
            </w:pPr>
          </w:p>
        </w:tc>
        <w:tc>
          <w:tcPr>
            <w:tcW w:w="3635" w:type="dxa"/>
            <w:tcBorders>
              <w:top w:val="single" w:sz="4" w:space="0" w:color="auto"/>
              <w:left w:val="single" w:sz="4" w:space="0" w:color="auto"/>
              <w:bottom w:val="single" w:sz="4" w:space="0" w:color="auto"/>
              <w:right w:val="single" w:sz="4" w:space="0" w:color="auto"/>
            </w:tcBorders>
            <w:vAlign w:val="center"/>
          </w:tcPr>
          <w:p w14:paraId="2C3F7E3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签订安全生产管理协议，安全分包协议，明确各自的安全生产职责，扣3分；未对分包单位进行安全技术交底，告知其作业现场存在的危险因素和防范措施，扣1分；未对分包单位作业人员进行安全生产教育和培训，如实记录安全生产教育和培训的时间、内容、参加人员以及考核结果等情况，扣0.5分；未对分包单位安全生产工作统一协调、管理，发现安全问题的，应当及时督促整改，扣0.5分；未定期进行安全检查扣1分</w:t>
            </w:r>
          </w:p>
        </w:tc>
        <w:tc>
          <w:tcPr>
            <w:tcW w:w="457" w:type="dxa"/>
            <w:tcBorders>
              <w:top w:val="single" w:sz="4" w:space="0" w:color="auto"/>
              <w:left w:val="single" w:sz="4" w:space="0" w:color="auto"/>
              <w:bottom w:val="single" w:sz="4" w:space="0" w:color="auto"/>
              <w:right w:val="single" w:sz="4" w:space="0" w:color="auto"/>
            </w:tcBorders>
          </w:tcPr>
          <w:p w14:paraId="1AD8CF68"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A9985B4" w14:textId="77777777" w:rsidR="00F805CB" w:rsidRDefault="00F805CB">
            <w:pPr>
              <w:widowControl/>
              <w:rPr>
                <w:rFonts w:ascii="仿宋" w:eastAsia="仿宋" w:hAnsi="仿宋" w:cs="仿宋_GB2312" w:hint="eastAsia"/>
              </w:rPr>
            </w:pPr>
          </w:p>
        </w:tc>
      </w:tr>
      <w:tr w:rsidR="00F805CB" w14:paraId="1635B271" w14:textId="77777777">
        <w:trPr>
          <w:jc w:val="center"/>
        </w:trPr>
        <w:tc>
          <w:tcPr>
            <w:tcW w:w="15474" w:type="dxa"/>
            <w:gridSpan w:val="8"/>
            <w:tcBorders>
              <w:top w:val="single" w:sz="4" w:space="0" w:color="auto"/>
              <w:left w:val="single" w:sz="4" w:space="0" w:color="auto"/>
              <w:bottom w:val="single" w:sz="4" w:space="0" w:color="auto"/>
              <w:right w:val="single" w:sz="4" w:space="0" w:color="auto"/>
            </w:tcBorders>
            <w:shd w:val="clear" w:color="auto" w:fill="A5A5A5"/>
            <w:vAlign w:val="center"/>
          </w:tcPr>
          <w:p w14:paraId="3EF9F4EB" w14:textId="77777777" w:rsidR="00F805CB" w:rsidRDefault="00000000">
            <w:pPr>
              <w:widowControl/>
              <w:jc w:val="center"/>
              <w:rPr>
                <w:rFonts w:ascii="仿宋" w:eastAsia="仿宋" w:hAnsi="仿宋" w:cs="仿宋_GB2312" w:hint="eastAsia"/>
                <w:kern w:val="0"/>
              </w:rPr>
            </w:pPr>
            <w:r>
              <w:rPr>
                <w:rFonts w:ascii="仿宋" w:eastAsia="仿宋" w:hAnsi="仿宋" w:cs="仿宋_GB2312" w:hint="eastAsia"/>
                <w:b/>
                <w:kern w:val="0"/>
                <w:sz w:val="28"/>
                <w:szCs w:val="28"/>
              </w:rPr>
              <w:t>物业管理安全生产专项监督检查（10分）</w:t>
            </w:r>
          </w:p>
        </w:tc>
      </w:tr>
      <w:tr w:rsidR="00F805CB" w14:paraId="7B5102C1" w14:textId="77777777">
        <w:trPr>
          <w:trHeight w:val="1737"/>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250B4F13"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13</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14:paraId="3DE5645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共有物业安全检查和维护保养</w:t>
            </w:r>
          </w:p>
          <w:p w14:paraId="24465E2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（1分）</w:t>
            </w:r>
          </w:p>
        </w:tc>
        <w:tc>
          <w:tcPr>
            <w:tcW w:w="4721" w:type="dxa"/>
            <w:tcBorders>
              <w:top w:val="single" w:sz="4" w:space="0" w:color="auto"/>
              <w:left w:val="single" w:sz="4" w:space="0" w:color="auto"/>
              <w:bottom w:val="single" w:sz="4" w:space="0" w:color="auto"/>
              <w:right w:val="single" w:sz="4" w:space="0" w:color="auto"/>
            </w:tcBorders>
            <w:vAlign w:val="center"/>
          </w:tcPr>
          <w:p w14:paraId="3A96D92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建立对建筑物的基础、承重结构、外墙、屋顶、楼梯间、幕墙等共有物业的日常巡查、养护、维修制度；（2）是否对有安全隐患的部位，采取应急防范措施、设置警示标志并及时向业主委员会和主管部门报告。</w:t>
            </w:r>
          </w:p>
        </w:tc>
        <w:tc>
          <w:tcPr>
            <w:tcW w:w="1075" w:type="dxa"/>
            <w:tcBorders>
              <w:top w:val="single" w:sz="4" w:space="0" w:color="auto"/>
              <w:left w:val="single" w:sz="4" w:space="0" w:color="auto"/>
              <w:bottom w:val="single" w:sz="4" w:space="0" w:color="auto"/>
              <w:right w:val="single" w:sz="4" w:space="0" w:color="auto"/>
            </w:tcBorders>
            <w:vAlign w:val="center"/>
          </w:tcPr>
          <w:p w14:paraId="4814B47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检查台账、现场抽查检查</w:t>
            </w:r>
          </w:p>
        </w:tc>
        <w:tc>
          <w:tcPr>
            <w:tcW w:w="2924" w:type="dxa"/>
            <w:tcBorders>
              <w:top w:val="single" w:sz="4" w:space="0" w:color="auto"/>
              <w:left w:val="single" w:sz="4" w:space="0" w:color="auto"/>
              <w:bottom w:val="single" w:sz="4" w:space="0" w:color="auto"/>
              <w:right w:val="single" w:sz="4" w:space="0" w:color="auto"/>
            </w:tcBorders>
            <w:vAlign w:val="center"/>
          </w:tcPr>
          <w:p w14:paraId="5D5BD4C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《深圳经济特区物业管理条例》第七十五条、第八十二条；《深圳市房屋安全管理办法》第三十三条</w:t>
            </w:r>
          </w:p>
        </w:tc>
        <w:tc>
          <w:tcPr>
            <w:tcW w:w="3635" w:type="dxa"/>
            <w:tcBorders>
              <w:top w:val="single" w:sz="4" w:space="0" w:color="auto"/>
              <w:left w:val="single" w:sz="4" w:space="0" w:color="auto"/>
              <w:bottom w:val="single" w:sz="4" w:space="0" w:color="auto"/>
              <w:right w:val="single" w:sz="4" w:space="0" w:color="auto"/>
            </w:tcBorders>
            <w:vAlign w:val="center"/>
          </w:tcPr>
          <w:p w14:paraId="26FFB6AF"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未建立共有物业定期巡查制度扣0.5分；未见相关巡查记录，扣0.5分.</w:t>
            </w:r>
          </w:p>
        </w:tc>
        <w:tc>
          <w:tcPr>
            <w:tcW w:w="457" w:type="dxa"/>
            <w:tcBorders>
              <w:top w:val="single" w:sz="4" w:space="0" w:color="auto"/>
              <w:left w:val="single" w:sz="4" w:space="0" w:color="auto"/>
              <w:bottom w:val="single" w:sz="4" w:space="0" w:color="auto"/>
              <w:right w:val="single" w:sz="4" w:space="0" w:color="auto"/>
            </w:tcBorders>
          </w:tcPr>
          <w:p w14:paraId="3B1014DE"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2FD5273" w14:textId="77777777" w:rsidR="00F805CB" w:rsidRDefault="00F805CB">
            <w:pPr>
              <w:widowControl/>
              <w:rPr>
                <w:rFonts w:ascii="仿宋" w:eastAsia="仿宋" w:hAnsi="仿宋" w:cs="仿宋_GB2312" w:hint="eastAsia"/>
              </w:rPr>
            </w:pPr>
          </w:p>
        </w:tc>
      </w:tr>
      <w:tr w:rsidR="00F805CB" w14:paraId="280176C3" w14:textId="77777777">
        <w:trPr>
          <w:trHeight w:val="1558"/>
          <w:jc w:val="center"/>
        </w:trPr>
        <w:tc>
          <w:tcPr>
            <w:tcW w:w="497" w:type="dxa"/>
            <w:tcBorders>
              <w:top w:val="single" w:sz="4" w:space="0" w:color="auto"/>
              <w:left w:val="single" w:sz="4" w:space="0" w:color="auto"/>
              <w:bottom w:val="single" w:sz="4" w:space="0" w:color="auto"/>
              <w:right w:val="single" w:sz="4" w:space="0" w:color="auto"/>
            </w:tcBorders>
            <w:vAlign w:val="center"/>
          </w:tcPr>
          <w:p w14:paraId="6DE3A56A"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lastRenderedPageBreak/>
              <w:t>14</w:t>
            </w:r>
          </w:p>
        </w:tc>
        <w:tc>
          <w:tcPr>
            <w:tcW w:w="1428" w:type="dxa"/>
            <w:tcBorders>
              <w:top w:val="single" w:sz="4" w:space="0" w:color="auto"/>
              <w:left w:val="single" w:sz="4" w:space="0" w:color="auto"/>
              <w:bottom w:val="single" w:sz="4" w:space="0" w:color="auto"/>
              <w:right w:val="single" w:sz="4" w:space="0" w:color="auto"/>
            </w:tcBorders>
            <w:vAlign w:val="center"/>
          </w:tcPr>
          <w:p w14:paraId="514DC4B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房屋公共通行部分及附属设施安全管理</w:t>
            </w:r>
          </w:p>
          <w:p w14:paraId="2F80D8B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（1分）</w:t>
            </w:r>
          </w:p>
        </w:tc>
        <w:tc>
          <w:tcPr>
            <w:tcW w:w="4721" w:type="dxa"/>
            <w:tcBorders>
              <w:top w:val="single" w:sz="4" w:space="0" w:color="auto"/>
              <w:left w:val="single" w:sz="4" w:space="0" w:color="auto"/>
              <w:bottom w:val="single" w:sz="4" w:space="0" w:color="auto"/>
              <w:right w:val="single" w:sz="4" w:space="0" w:color="auto"/>
            </w:tcBorders>
            <w:vAlign w:val="center"/>
          </w:tcPr>
          <w:p w14:paraId="7D074A8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（1）建立定期对通道、楼梯、大堂等公共通行部分，消防、公共照明等附属设施设备的巡查、养护、维修制度。（2）对于有安全隐患的设备设施，采取应急防范措施、设置警示标示。</w:t>
            </w:r>
          </w:p>
        </w:tc>
        <w:tc>
          <w:tcPr>
            <w:tcW w:w="1075" w:type="dxa"/>
            <w:tcBorders>
              <w:top w:val="single" w:sz="4" w:space="0" w:color="auto"/>
              <w:left w:val="single" w:sz="4" w:space="0" w:color="auto"/>
              <w:bottom w:val="single" w:sz="4" w:space="0" w:color="auto"/>
              <w:right w:val="single" w:sz="4" w:space="0" w:color="auto"/>
            </w:tcBorders>
            <w:vAlign w:val="center"/>
          </w:tcPr>
          <w:p w14:paraId="1BC24F7F"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08706EC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《深圳经济特区物业管理条例》第七十五条；《安全生产法》第三十五条</w:t>
            </w:r>
          </w:p>
        </w:tc>
        <w:tc>
          <w:tcPr>
            <w:tcW w:w="3635" w:type="dxa"/>
            <w:tcBorders>
              <w:top w:val="single" w:sz="4" w:space="0" w:color="auto"/>
              <w:left w:val="single" w:sz="4" w:space="0" w:color="auto"/>
              <w:bottom w:val="single" w:sz="4" w:space="0" w:color="auto"/>
              <w:right w:val="single" w:sz="4" w:space="0" w:color="auto"/>
            </w:tcBorders>
            <w:vAlign w:val="center"/>
          </w:tcPr>
          <w:p w14:paraId="5C560E7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未建立房屋公共通行部分及附属设施安全管理制度，扣0.5分；未对存在安全隐患的位置采取相关措施，每发现一处，扣0.2分，最多扣0.5分。</w:t>
            </w:r>
          </w:p>
        </w:tc>
        <w:tc>
          <w:tcPr>
            <w:tcW w:w="457" w:type="dxa"/>
            <w:tcBorders>
              <w:top w:val="single" w:sz="4" w:space="0" w:color="auto"/>
              <w:left w:val="single" w:sz="4" w:space="0" w:color="auto"/>
              <w:bottom w:val="single" w:sz="4" w:space="0" w:color="auto"/>
              <w:right w:val="single" w:sz="4" w:space="0" w:color="auto"/>
            </w:tcBorders>
          </w:tcPr>
          <w:p w14:paraId="6C7522EC"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4C9AD12" w14:textId="77777777" w:rsidR="00F805CB" w:rsidRDefault="00F805CB">
            <w:pPr>
              <w:widowControl/>
              <w:rPr>
                <w:rFonts w:ascii="仿宋" w:eastAsia="仿宋" w:hAnsi="仿宋" w:cs="仿宋_GB2312" w:hint="eastAsia"/>
              </w:rPr>
            </w:pPr>
          </w:p>
        </w:tc>
      </w:tr>
      <w:tr w:rsidR="00F805CB" w14:paraId="27919C0C" w14:textId="77777777">
        <w:trPr>
          <w:trHeight w:val="2438"/>
          <w:jc w:val="center"/>
        </w:trPr>
        <w:tc>
          <w:tcPr>
            <w:tcW w:w="497" w:type="dxa"/>
            <w:tcBorders>
              <w:top w:val="single" w:sz="4" w:space="0" w:color="auto"/>
              <w:left w:val="single" w:sz="4" w:space="0" w:color="auto"/>
              <w:bottom w:val="single" w:sz="4" w:space="0" w:color="auto"/>
              <w:right w:val="single" w:sz="4" w:space="0" w:color="auto"/>
            </w:tcBorders>
            <w:vAlign w:val="center"/>
          </w:tcPr>
          <w:p w14:paraId="5B35EDE8"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15</w:t>
            </w:r>
          </w:p>
        </w:tc>
        <w:tc>
          <w:tcPr>
            <w:tcW w:w="1428" w:type="dxa"/>
            <w:tcBorders>
              <w:top w:val="single" w:sz="4" w:space="0" w:color="auto"/>
              <w:left w:val="single" w:sz="4" w:space="0" w:color="auto"/>
              <w:bottom w:val="single" w:sz="4" w:space="0" w:color="auto"/>
              <w:right w:val="single" w:sz="4" w:space="0" w:color="auto"/>
            </w:tcBorders>
            <w:vAlign w:val="center"/>
          </w:tcPr>
          <w:p w14:paraId="3EF4B9A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防范高空坠物</w:t>
            </w:r>
          </w:p>
          <w:p w14:paraId="4D83AD8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（4分）</w:t>
            </w:r>
          </w:p>
        </w:tc>
        <w:tc>
          <w:tcPr>
            <w:tcW w:w="4721" w:type="dxa"/>
            <w:tcBorders>
              <w:top w:val="single" w:sz="4" w:space="0" w:color="auto"/>
              <w:left w:val="single" w:sz="4" w:space="0" w:color="auto"/>
              <w:bottom w:val="single" w:sz="4" w:space="0" w:color="auto"/>
              <w:right w:val="single" w:sz="4" w:space="0" w:color="auto"/>
            </w:tcBorders>
            <w:vAlign w:val="center"/>
          </w:tcPr>
          <w:p w14:paraId="4FA5477F"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建立防范高空坠物制度。是否定期对共有的窗户、幕墙、外墙等容易发生脱落事故的设施及部位做好安全巡查、检查工作，排除事故隐患；（2）定期对共有的天面、阳台、窗台、外墙的搁置物、悬挂物进行日常巡查，排查事故隐患。（3）发现业主专有部分的窗户、阳台的搁置物、悬挂物存在安全隐患的，通知物业使用人及时处理。（4）发现绿植、树木有安全隐患按照《深圳经济特区绿化条例》《深圳园林树木修剪工作指引》相关规定及时处置。</w:t>
            </w:r>
          </w:p>
        </w:tc>
        <w:tc>
          <w:tcPr>
            <w:tcW w:w="1075" w:type="dxa"/>
            <w:tcBorders>
              <w:top w:val="single" w:sz="4" w:space="0" w:color="auto"/>
              <w:left w:val="single" w:sz="4" w:space="0" w:color="auto"/>
              <w:bottom w:val="single" w:sz="4" w:space="0" w:color="auto"/>
              <w:right w:val="single" w:sz="4" w:space="0" w:color="auto"/>
            </w:tcBorders>
            <w:vAlign w:val="center"/>
          </w:tcPr>
          <w:p w14:paraId="12B4AE1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检查台账、现场抽查检查</w:t>
            </w:r>
          </w:p>
        </w:tc>
        <w:tc>
          <w:tcPr>
            <w:tcW w:w="2924" w:type="dxa"/>
            <w:tcBorders>
              <w:top w:val="single" w:sz="4" w:space="0" w:color="auto"/>
              <w:left w:val="single" w:sz="4" w:space="0" w:color="auto"/>
              <w:bottom w:val="single" w:sz="4" w:space="0" w:color="auto"/>
              <w:right w:val="single" w:sz="4" w:space="0" w:color="auto"/>
            </w:tcBorders>
            <w:vAlign w:val="center"/>
          </w:tcPr>
          <w:p w14:paraId="3887E28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《深圳经济特区物业管理条例》第七十七条、第八十二条；《住宅小区高空抛物安全防范要求》《深圳经济特区绿化条例》第四十条、第四十二条、第六十六条；《深圳园林树木修剪工作指引》</w:t>
            </w:r>
          </w:p>
        </w:tc>
        <w:tc>
          <w:tcPr>
            <w:tcW w:w="3635" w:type="dxa"/>
            <w:tcBorders>
              <w:top w:val="single" w:sz="4" w:space="0" w:color="auto"/>
              <w:left w:val="single" w:sz="4" w:space="0" w:color="auto"/>
              <w:bottom w:val="single" w:sz="4" w:space="0" w:color="auto"/>
              <w:right w:val="single" w:sz="4" w:space="0" w:color="auto"/>
            </w:tcBorders>
            <w:vAlign w:val="center"/>
          </w:tcPr>
          <w:p w14:paraId="500B238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未建立高空坠物防范制度，扣2分；未见共有部位巡查记录，扣1分；现场存在安全隐患，每发现一处扣0.5分，最多扣1分。</w:t>
            </w:r>
          </w:p>
        </w:tc>
        <w:tc>
          <w:tcPr>
            <w:tcW w:w="457" w:type="dxa"/>
            <w:tcBorders>
              <w:top w:val="single" w:sz="4" w:space="0" w:color="auto"/>
              <w:left w:val="single" w:sz="4" w:space="0" w:color="auto"/>
              <w:bottom w:val="single" w:sz="4" w:space="0" w:color="auto"/>
              <w:right w:val="single" w:sz="4" w:space="0" w:color="auto"/>
            </w:tcBorders>
          </w:tcPr>
          <w:p w14:paraId="565E9F86"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71ABB57" w14:textId="77777777" w:rsidR="00F805CB" w:rsidRDefault="00F805CB">
            <w:pPr>
              <w:widowControl/>
              <w:rPr>
                <w:rFonts w:ascii="仿宋" w:eastAsia="仿宋" w:hAnsi="仿宋" w:cs="仿宋_GB2312" w:hint="eastAsia"/>
              </w:rPr>
            </w:pPr>
          </w:p>
        </w:tc>
      </w:tr>
      <w:tr w:rsidR="00F805CB" w14:paraId="2CF6BC90" w14:textId="77777777">
        <w:trPr>
          <w:trHeight w:val="850"/>
          <w:jc w:val="center"/>
        </w:trPr>
        <w:tc>
          <w:tcPr>
            <w:tcW w:w="497" w:type="dxa"/>
            <w:tcBorders>
              <w:top w:val="single" w:sz="4" w:space="0" w:color="auto"/>
              <w:left w:val="single" w:sz="4" w:space="0" w:color="auto"/>
              <w:bottom w:val="single" w:sz="4" w:space="0" w:color="auto"/>
              <w:right w:val="single" w:sz="4" w:space="0" w:color="auto"/>
            </w:tcBorders>
            <w:shd w:val="clear" w:color="auto" w:fill="FFFFFF"/>
            <w:vAlign w:val="center"/>
          </w:tcPr>
          <w:p w14:paraId="181C4EFB"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16</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14:paraId="110EA5C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建筑物和公共设施清洗翻新管理（2分）</w:t>
            </w:r>
          </w:p>
        </w:tc>
        <w:tc>
          <w:tcPr>
            <w:tcW w:w="4721" w:type="dxa"/>
            <w:tcBorders>
              <w:top w:val="single" w:sz="4" w:space="0" w:color="auto"/>
              <w:left w:val="single" w:sz="4" w:space="0" w:color="auto"/>
              <w:bottom w:val="single" w:sz="4" w:space="0" w:color="auto"/>
              <w:right w:val="single" w:sz="4" w:space="0" w:color="auto"/>
            </w:tcBorders>
            <w:shd w:val="clear" w:color="auto" w:fill="FFFFFF"/>
            <w:vAlign w:val="center"/>
          </w:tcPr>
          <w:p w14:paraId="79F9F49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（1）是否建立定期对建筑物外立面、屋顶清洗翻新并建立记录档案；（2）是否对建筑物屋顶绿化涉及工程施工的，在施工前做好屋顶承重勘察和评估，并对屋面进行防渗补漏处理。</w:t>
            </w:r>
          </w:p>
        </w:tc>
        <w:tc>
          <w:tcPr>
            <w:tcW w:w="1075" w:type="dxa"/>
            <w:tcBorders>
              <w:top w:val="single" w:sz="4" w:space="0" w:color="auto"/>
              <w:left w:val="single" w:sz="4" w:space="0" w:color="auto"/>
              <w:bottom w:val="single" w:sz="4" w:space="0" w:color="auto"/>
              <w:right w:val="single" w:sz="4" w:space="0" w:color="auto"/>
            </w:tcBorders>
            <w:vAlign w:val="center"/>
          </w:tcPr>
          <w:p w14:paraId="052A35E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3F61C28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《深圳经济特区物业管理条例》第七十七条、《深圳市建筑物和公共设施清洗翻新管理规定》第十三条、第十四条</w:t>
            </w:r>
          </w:p>
        </w:tc>
        <w:tc>
          <w:tcPr>
            <w:tcW w:w="3635" w:type="dxa"/>
            <w:tcBorders>
              <w:top w:val="single" w:sz="4" w:space="0" w:color="auto"/>
              <w:left w:val="single" w:sz="4" w:space="0" w:color="auto"/>
              <w:bottom w:val="single" w:sz="4" w:space="0" w:color="auto"/>
              <w:right w:val="single" w:sz="4" w:space="0" w:color="auto"/>
            </w:tcBorders>
            <w:vAlign w:val="center"/>
          </w:tcPr>
          <w:p w14:paraId="2471251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未建立建筑清洗或翻新档案，扣1分；未在施工前做好房屋承重的相关评价评估，扣1分。</w:t>
            </w:r>
          </w:p>
        </w:tc>
        <w:tc>
          <w:tcPr>
            <w:tcW w:w="457" w:type="dxa"/>
            <w:tcBorders>
              <w:top w:val="single" w:sz="4" w:space="0" w:color="auto"/>
              <w:left w:val="single" w:sz="4" w:space="0" w:color="auto"/>
              <w:bottom w:val="single" w:sz="4" w:space="0" w:color="auto"/>
              <w:right w:val="single" w:sz="4" w:space="0" w:color="auto"/>
            </w:tcBorders>
          </w:tcPr>
          <w:p w14:paraId="23A9A27A"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3DCAED19" w14:textId="77777777" w:rsidR="00F805CB" w:rsidRDefault="00F805CB">
            <w:pPr>
              <w:widowControl/>
              <w:rPr>
                <w:rFonts w:ascii="仿宋" w:eastAsia="仿宋" w:hAnsi="仿宋" w:cs="仿宋_GB2312" w:hint="eastAsia"/>
              </w:rPr>
            </w:pPr>
          </w:p>
        </w:tc>
      </w:tr>
      <w:tr w:rsidR="00F805CB" w14:paraId="28E797F0" w14:textId="77777777">
        <w:trPr>
          <w:trHeight w:val="1177"/>
          <w:jc w:val="center"/>
        </w:trPr>
        <w:tc>
          <w:tcPr>
            <w:tcW w:w="497" w:type="dxa"/>
            <w:tcBorders>
              <w:top w:val="single" w:sz="4" w:space="0" w:color="auto"/>
              <w:left w:val="single" w:sz="4" w:space="0" w:color="auto"/>
              <w:bottom w:val="single" w:sz="4" w:space="0" w:color="auto"/>
              <w:right w:val="single" w:sz="4" w:space="0" w:color="auto"/>
            </w:tcBorders>
            <w:vAlign w:val="center"/>
          </w:tcPr>
          <w:p w14:paraId="10ACAA0C"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17</w:t>
            </w:r>
          </w:p>
        </w:tc>
        <w:tc>
          <w:tcPr>
            <w:tcW w:w="1428" w:type="dxa"/>
            <w:tcBorders>
              <w:top w:val="single" w:sz="4" w:space="0" w:color="auto"/>
              <w:left w:val="single" w:sz="4" w:space="0" w:color="auto"/>
              <w:bottom w:val="single" w:sz="4" w:space="0" w:color="auto"/>
              <w:right w:val="single" w:sz="4" w:space="0" w:color="auto"/>
            </w:tcBorders>
            <w:vAlign w:val="center"/>
          </w:tcPr>
          <w:p w14:paraId="4B0437A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配合专营单位对供水供电供气通讯设备设施的安全管理（2分）</w:t>
            </w:r>
          </w:p>
        </w:tc>
        <w:tc>
          <w:tcPr>
            <w:tcW w:w="4721" w:type="dxa"/>
            <w:tcBorders>
              <w:top w:val="single" w:sz="4" w:space="0" w:color="auto"/>
              <w:left w:val="single" w:sz="4" w:space="0" w:color="auto"/>
              <w:bottom w:val="single" w:sz="4" w:space="0" w:color="auto"/>
              <w:right w:val="single" w:sz="4" w:space="0" w:color="auto"/>
            </w:tcBorders>
            <w:vAlign w:val="center"/>
          </w:tcPr>
          <w:p w14:paraId="7BD7920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（1）是否配合专营单位对物业管理区域内的专营设施设备进行检查；（2）对于发生故障或者其他影响正常使用的情况，是否立即采取应急防范措施，及时报告相关专营单位。</w:t>
            </w:r>
          </w:p>
        </w:tc>
        <w:tc>
          <w:tcPr>
            <w:tcW w:w="1075" w:type="dxa"/>
            <w:tcBorders>
              <w:top w:val="single" w:sz="4" w:space="0" w:color="auto"/>
              <w:left w:val="single" w:sz="4" w:space="0" w:color="auto"/>
              <w:bottom w:val="single" w:sz="4" w:space="0" w:color="auto"/>
              <w:right w:val="single" w:sz="4" w:space="0" w:color="auto"/>
            </w:tcBorders>
            <w:vAlign w:val="center"/>
          </w:tcPr>
          <w:p w14:paraId="1808FAC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2B89194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《深圳经济特区物业管理条例》第七十七条、第八十二条</w:t>
            </w:r>
          </w:p>
        </w:tc>
        <w:tc>
          <w:tcPr>
            <w:tcW w:w="3635" w:type="dxa"/>
            <w:tcBorders>
              <w:top w:val="single" w:sz="4" w:space="0" w:color="auto"/>
              <w:left w:val="single" w:sz="4" w:space="0" w:color="auto"/>
              <w:bottom w:val="single" w:sz="4" w:space="0" w:color="auto"/>
              <w:right w:val="single" w:sz="4" w:space="0" w:color="auto"/>
            </w:tcBorders>
            <w:vAlign w:val="center"/>
          </w:tcPr>
          <w:p w14:paraId="459B9E1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无日常巡查记录扣1分；未对发现的隐患及时整改和上报，每项扣0.5分，最多扣1分。</w:t>
            </w:r>
          </w:p>
        </w:tc>
        <w:tc>
          <w:tcPr>
            <w:tcW w:w="457" w:type="dxa"/>
            <w:tcBorders>
              <w:top w:val="single" w:sz="4" w:space="0" w:color="auto"/>
              <w:left w:val="single" w:sz="4" w:space="0" w:color="auto"/>
              <w:bottom w:val="single" w:sz="4" w:space="0" w:color="auto"/>
              <w:right w:val="single" w:sz="4" w:space="0" w:color="auto"/>
            </w:tcBorders>
          </w:tcPr>
          <w:p w14:paraId="7E0CEEBC"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512F9157" w14:textId="77777777" w:rsidR="00F805CB" w:rsidRDefault="00F805CB">
            <w:pPr>
              <w:widowControl/>
              <w:rPr>
                <w:rFonts w:ascii="仿宋" w:eastAsia="仿宋" w:hAnsi="仿宋" w:cs="仿宋_GB2312" w:hint="eastAsia"/>
              </w:rPr>
            </w:pPr>
          </w:p>
        </w:tc>
      </w:tr>
      <w:tr w:rsidR="00F805CB" w14:paraId="7BD87D72" w14:textId="77777777">
        <w:trPr>
          <w:trHeight w:val="90"/>
          <w:jc w:val="center"/>
        </w:trPr>
        <w:tc>
          <w:tcPr>
            <w:tcW w:w="15474" w:type="dxa"/>
            <w:gridSpan w:val="8"/>
            <w:tcBorders>
              <w:top w:val="single" w:sz="4" w:space="0" w:color="auto"/>
              <w:left w:val="single" w:sz="4" w:space="0" w:color="auto"/>
              <w:bottom w:val="single" w:sz="4" w:space="0" w:color="auto"/>
              <w:right w:val="single" w:sz="4" w:space="0" w:color="auto"/>
            </w:tcBorders>
            <w:shd w:val="clear" w:color="auto" w:fill="A5A5A5"/>
            <w:vAlign w:val="center"/>
          </w:tcPr>
          <w:p w14:paraId="57BCAA27" w14:textId="77777777" w:rsidR="00F805CB" w:rsidRDefault="00000000">
            <w:pPr>
              <w:widowControl/>
              <w:jc w:val="center"/>
              <w:rPr>
                <w:rFonts w:ascii="仿宋" w:eastAsia="仿宋" w:hAnsi="仿宋" w:cs="仿宋_GB2312" w:hint="eastAsia"/>
                <w:kern w:val="0"/>
              </w:rPr>
            </w:pPr>
            <w:r>
              <w:rPr>
                <w:rFonts w:ascii="仿宋" w:eastAsia="仿宋" w:hAnsi="仿宋" w:cs="仿宋_GB2312" w:hint="eastAsia"/>
                <w:b/>
                <w:kern w:val="0"/>
                <w:sz w:val="28"/>
                <w:szCs w:val="28"/>
              </w:rPr>
              <w:t>对物业管理区域内其他安全管理事项的督促检查（52分）</w:t>
            </w:r>
          </w:p>
        </w:tc>
      </w:tr>
      <w:tr w:rsidR="00F805CB" w14:paraId="3C4AE4A2" w14:textId="77777777">
        <w:trPr>
          <w:trHeight w:val="895"/>
          <w:jc w:val="center"/>
        </w:trPr>
        <w:tc>
          <w:tcPr>
            <w:tcW w:w="497" w:type="dxa"/>
            <w:tcBorders>
              <w:top w:val="single" w:sz="4" w:space="0" w:color="auto"/>
              <w:left w:val="single" w:sz="4" w:space="0" w:color="auto"/>
              <w:bottom w:val="single" w:sz="4" w:space="0" w:color="auto"/>
              <w:right w:val="single" w:sz="4" w:space="0" w:color="auto"/>
            </w:tcBorders>
            <w:vAlign w:val="center"/>
          </w:tcPr>
          <w:p w14:paraId="3B51721B"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18</w:t>
            </w:r>
          </w:p>
        </w:tc>
        <w:tc>
          <w:tcPr>
            <w:tcW w:w="1428" w:type="dxa"/>
            <w:tcBorders>
              <w:top w:val="single" w:sz="4" w:space="0" w:color="auto"/>
              <w:left w:val="single" w:sz="4" w:space="0" w:color="auto"/>
              <w:bottom w:val="single" w:sz="4" w:space="0" w:color="auto"/>
              <w:right w:val="single" w:sz="4" w:space="0" w:color="auto"/>
            </w:tcBorders>
            <w:vAlign w:val="center"/>
          </w:tcPr>
          <w:p w14:paraId="3E933AA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消防安全管理</w:t>
            </w:r>
          </w:p>
          <w:p w14:paraId="313E893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（4分）</w:t>
            </w:r>
          </w:p>
        </w:tc>
        <w:tc>
          <w:tcPr>
            <w:tcW w:w="4721" w:type="dxa"/>
            <w:tcBorders>
              <w:top w:val="single" w:sz="4" w:space="0" w:color="auto"/>
              <w:left w:val="single" w:sz="4" w:space="0" w:color="auto"/>
              <w:bottom w:val="single" w:sz="4" w:space="0" w:color="auto"/>
              <w:right w:val="single" w:sz="4" w:space="0" w:color="auto"/>
            </w:tcBorders>
            <w:vAlign w:val="center"/>
          </w:tcPr>
          <w:p w14:paraId="4721D2D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是否遵守消防安全有关法律法规，配合消防救援机构履行以下职责：（1）落实消防安全责任制，制定本单位消防安全制度，明确消防安全主体责任；定期对本单位消防安全管理人的岗位</w:t>
            </w:r>
            <w:proofErr w:type="gramStart"/>
            <w:r>
              <w:rPr>
                <w:rFonts w:ascii="仿宋" w:eastAsia="仿宋" w:hAnsi="仿宋" w:cs="仿宋_GB2312" w:hint="eastAsia"/>
                <w:sz w:val="21"/>
                <w:szCs w:val="21"/>
              </w:rPr>
              <w:t>履</w:t>
            </w:r>
            <w:proofErr w:type="gramEnd"/>
            <w:r>
              <w:rPr>
                <w:rFonts w:ascii="仿宋" w:eastAsia="仿宋" w:hAnsi="仿宋" w:cs="仿宋_GB2312" w:hint="eastAsia"/>
                <w:sz w:val="21"/>
                <w:szCs w:val="21"/>
              </w:rPr>
              <w:t>职能力进行考核评价，并将消防安全责任人、管理人和</w:t>
            </w:r>
            <w:proofErr w:type="gramStart"/>
            <w:r>
              <w:rPr>
                <w:rFonts w:ascii="仿宋" w:eastAsia="仿宋" w:hAnsi="仿宋" w:cs="仿宋_GB2312" w:hint="eastAsia"/>
                <w:sz w:val="21"/>
                <w:szCs w:val="21"/>
              </w:rPr>
              <w:t>场所消防</w:t>
            </w:r>
            <w:proofErr w:type="gramEnd"/>
            <w:r>
              <w:rPr>
                <w:rFonts w:ascii="仿宋" w:eastAsia="仿宋" w:hAnsi="仿宋" w:cs="仿宋_GB2312" w:hint="eastAsia"/>
                <w:sz w:val="21"/>
                <w:szCs w:val="21"/>
              </w:rPr>
              <w:t>安全条件进行公示，接受社会监督；（2）定期开展防火巡查，（缺少维护记录），消除火灾隐</w:t>
            </w:r>
            <w:r>
              <w:rPr>
                <w:rFonts w:ascii="仿宋" w:eastAsia="仿宋" w:hAnsi="仿宋" w:cs="仿宋_GB2312" w:hint="eastAsia"/>
                <w:sz w:val="21"/>
                <w:szCs w:val="21"/>
              </w:rPr>
              <w:lastRenderedPageBreak/>
              <w:t>患；发现消防违法行为的，及时采取合理措施制止并报告消防机构或者公安派出所；（3）对职工进行消防安全宣传教育，有针对性地组织消防演练。</w:t>
            </w:r>
          </w:p>
        </w:tc>
        <w:tc>
          <w:tcPr>
            <w:tcW w:w="1075" w:type="dxa"/>
            <w:tcBorders>
              <w:top w:val="single" w:sz="4" w:space="0" w:color="auto"/>
              <w:left w:val="single" w:sz="4" w:space="0" w:color="auto"/>
              <w:bottom w:val="single" w:sz="4" w:space="0" w:color="auto"/>
              <w:right w:val="single" w:sz="4" w:space="0" w:color="auto"/>
            </w:tcBorders>
            <w:vAlign w:val="center"/>
          </w:tcPr>
          <w:p w14:paraId="77A1C11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lastRenderedPageBreak/>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13788FE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《高层民用建筑消防安全管理规定》第七条、第八条、第三十四条、第三十五条、第四十一条；《深圳经济特区消防条例》第十三条、第十五条；《广东省消防工作若干规定》第十一条</w:t>
            </w:r>
          </w:p>
        </w:tc>
        <w:tc>
          <w:tcPr>
            <w:tcW w:w="3635" w:type="dxa"/>
            <w:tcBorders>
              <w:top w:val="single" w:sz="4" w:space="0" w:color="auto"/>
              <w:left w:val="single" w:sz="4" w:space="0" w:color="auto"/>
              <w:bottom w:val="single" w:sz="4" w:space="0" w:color="auto"/>
              <w:right w:val="single" w:sz="4" w:space="0" w:color="auto"/>
            </w:tcBorders>
            <w:vAlign w:val="center"/>
          </w:tcPr>
          <w:p w14:paraId="13356BF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未建立消防安全责任制，扣1分；无消防设施日常检查记录，或记录不完善，扣1分；无消防演练记录扣1分；未公示责任人等，扣1分。</w:t>
            </w:r>
          </w:p>
        </w:tc>
        <w:tc>
          <w:tcPr>
            <w:tcW w:w="457" w:type="dxa"/>
            <w:tcBorders>
              <w:top w:val="single" w:sz="4" w:space="0" w:color="auto"/>
              <w:left w:val="single" w:sz="4" w:space="0" w:color="auto"/>
              <w:bottom w:val="single" w:sz="4" w:space="0" w:color="auto"/>
              <w:right w:val="single" w:sz="4" w:space="0" w:color="auto"/>
            </w:tcBorders>
          </w:tcPr>
          <w:p w14:paraId="037B6415"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FBB3772" w14:textId="77777777" w:rsidR="00F805CB" w:rsidRDefault="00F805CB">
            <w:pPr>
              <w:widowControl/>
              <w:rPr>
                <w:rFonts w:ascii="仿宋" w:eastAsia="仿宋" w:hAnsi="仿宋" w:cs="仿宋_GB2312" w:hint="eastAsia"/>
              </w:rPr>
            </w:pPr>
          </w:p>
        </w:tc>
      </w:tr>
      <w:tr w:rsidR="00F805CB" w14:paraId="4545FF09" w14:textId="77777777">
        <w:trPr>
          <w:trHeight w:val="3305"/>
          <w:jc w:val="center"/>
        </w:trPr>
        <w:tc>
          <w:tcPr>
            <w:tcW w:w="497" w:type="dxa"/>
            <w:tcBorders>
              <w:top w:val="single" w:sz="4" w:space="0" w:color="auto"/>
              <w:left w:val="single" w:sz="4" w:space="0" w:color="auto"/>
              <w:bottom w:val="single" w:sz="4" w:space="0" w:color="auto"/>
              <w:right w:val="single" w:sz="4" w:space="0" w:color="auto"/>
            </w:tcBorders>
            <w:vAlign w:val="center"/>
          </w:tcPr>
          <w:p w14:paraId="2031FAFD"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19</w:t>
            </w:r>
          </w:p>
        </w:tc>
        <w:tc>
          <w:tcPr>
            <w:tcW w:w="1428" w:type="dxa"/>
            <w:tcBorders>
              <w:top w:val="single" w:sz="4" w:space="0" w:color="auto"/>
              <w:left w:val="single" w:sz="4" w:space="0" w:color="auto"/>
              <w:bottom w:val="single" w:sz="4" w:space="0" w:color="auto"/>
              <w:right w:val="single" w:sz="4" w:space="0" w:color="auto"/>
            </w:tcBorders>
            <w:vAlign w:val="center"/>
          </w:tcPr>
          <w:p w14:paraId="3876711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消防安全管理</w:t>
            </w:r>
          </w:p>
          <w:p w14:paraId="32DE17A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（6分）</w:t>
            </w:r>
          </w:p>
        </w:tc>
        <w:tc>
          <w:tcPr>
            <w:tcW w:w="4721" w:type="dxa"/>
            <w:tcBorders>
              <w:top w:val="single" w:sz="4" w:space="0" w:color="auto"/>
              <w:left w:val="single" w:sz="4" w:space="0" w:color="auto"/>
              <w:bottom w:val="single" w:sz="4" w:space="0" w:color="auto"/>
              <w:right w:val="single" w:sz="4" w:space="0" w:color="auto"/>
            </w:tcBorders>
            <w:vAlign w:val="center"/>
          </w:tcPr>
          <w:p w14:paraId="0D3E9C1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遵守消防安全有关法律法规，配合消防救援机构履行以下职责：（1）管理、维护物业管理区域内的公共消防设施；（2）保障消防器材及消防安全标志完好有效。（3）保障公共疏散通道、安全出口、消防车道畅通，施划黄色禁止停车标线，清理消防车通道上可移动障碍物。（4）划设消防车通道标志标线和消防车登高操作场地，设置警示牌，并定期维护，确保鲜明醒目。（5）消防控制室应当按照规定实行24小时值班制度，每班不少于2人，值班人员应当持有消防控制室操作职业资格证书。（</w:t>
            </w:r>
            <w:proofErr w:type="gramStart"/>
            <w:r>
              <w:rPr>
                <w:rFonts w:ascii="仿宋" w:eastAsia="仿宋" w:hAnsi="仿宋" w:cs="仿宋_GB2312" w:hint="eastAsia"/>
                <w:sz w:val="21"/>
                <w:szCs w:val="21"/>
              </w:rPr>
              <w:t>缺现场</w:t>
            </w:r>
            <w:proofErr w:type="gramEnd"/>
            <w:r>
              <w:rPr>
                <w:rFonts w:ascii="仿宋" w:eastAsia="仿宋" w:hAnsi="仿宋" w:cs="仿宋_GB2312" w:hint="eastAsia"/>
                <w:sz w:val="21"/>
                <w:szCs w:val="21"/>
              </w:rPr>
              <w:t>整齐有序无杂物乱堆放）（6）物业服务企业与业主方应当在物业服务合同中明确共用消防设施、设备维护保养责任。(7)超高层公共建筑建设专职消防队、志愿消防队或者微型消防站，并为消防队员购买人身意外伤害保险。（8）是否定期对广告牌、灯箱开展检查，落实消防安全要求；（9）高层建筑是否</w:t>
            </w:r>
            <w:proofErr w:type="gramStart"/>
            <w:r>
              <w:rPr>
                <w:rFonts w:ascii="仿宋" w:eastAsia="仿宋" w:hAnsi="仿宋" w:cs="仿宋_GB2312" w:hint="eastAsia"/>
                <w:sz w:val="21"/>
                <w:szCs w:val="21"/>
              </w:rPr>
              <w:t>配备配备</w:t>
            </w:r>
            <w:proofErr w:type="gramEnd"/>
            <w:r>
              <w:rPr>
                <w:rFonts w:ascii="仿宋" w:eastAsia="仿宋" w:hAnsi="仿宋" w:cs="仿宋_GB2312" w:hint="eastAsia"/>
                <w:sz w:val="21"/>
                <w:szCs w:val="21"/>
              </w:rPr>
              <w:t>缓降器、软梯和防毒面具等避难救生设施。（缺少设备房门口无堵塞，设备房干净整洁无杂物；缺楼梯间、走道和安全出口等部位畅通无阻，无擅自封闭、堆放物品、存放自行车等现象，通往顶层安全出口无锁闭现象）</w:t>
            </w:r>
          </w:p>
        </w:tc>
        <w:tc>
          <w:tcPr>
            <w:tcW w:w="1075" w:type="dxa"/>
            <w:tcBorders>
              <w:top w:val="single" w:sz="4" w:space="0" w:color="auto"/>
              <w:left w:val="single" w:sz="4" w:space="0" w:color="auto"/>
              <w:bottom w:val="single" w:sz="4" w:space="0" w:color="auto"/>
              <w:right w:val="single" w:sz="4" w:space="0" w:color="auto"/>
            </w:tcBorders>
            <w:vAlign w:val="center"/>
          </w:tcPr>
          <w:p w14:paraId="35F6F53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现场检查</w:t>
            </w:r>
          </w:p>
        </w:tc>
        <w:tc>
          <w:tcPr>
            <w:tcW w:w="2924" w:type="dxa"/>
            <w:tcBorders>
              <w:top w:val="single" w:sz="4" w:space="0" w:color="auto"/>
              <w:left w:val="single" w:sz="4" w:space="0" w:color="auto"/>
              <w:bottom w:val="single" w:sz="4" w:space="0" w:color="auto"/>
              <w:right w:val="single" w:sz="4" w:space="0" w:color="auto"/>
            </w:tcBorders>
            <w:vAlign w:val="center"/>
          </w:tcPr>
          <w:p w14:paraId="5E296D0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高层民用建筑消防安全管理规定》第十五条、第十六条、第二十条、第二十二条、第二十五条、第二十六条、第二十七条、第二十八条、第二十九条、第三十条、第三十一条、第三十二条；《深圳经济特区消防条例》第十五条、《广东省消防工作若干规定》第十一条、 第十六条、第十七条、第二十三条、第二十五条、第三十三条、第三十四条、</w:t>
            </w:r>
          </w:p>
        </w:tc>
        <w:tc>
          <w:tcPr>
            <w:tcW w:w="3635" w:type="dxa"/>
            <w:tcBorders>
              <w:top w:val="single" w:sz="4" w:space="0" w:color="auto"/>
              <w:left w:val="single" w:sz="4" w:space="0" w:color="auto"/>
              <w:bottom w:val="single" w:sz="4" w:space="0" w:color="auto"/>
              <w:right w:val="single" w:sz="4" w:space="0" w:color="auto"/>
            </w:tcBorders>
            <w:vAlign w:val="center"/>
          </w:tcPr>
          <w:p w14:paraId="7647CA8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消防设施、消防标识、消防通道、疏散指示标识、应急灯、安全出口、消防车通道标志标线等不合规范要求，每发现一项隐患，扣0.5分，最多扣5分；未持证上岗，每少一个扣0.5分，最多扣1分。</w:t>
            </w:r>
          </w:p>
        </w:tc>
        <w:tc>
          <w:tcPr>
            <w:tcW w:w="457" w:type="dxa"/>
            <w:tcBorders>
              <w:top w:val="single" w:sz="4" w:space="0" w:color="auto"/>
              <w:left w:val="single" w:sz="4" w:space="0" w:color="auto"/>
              <w:bottom w:val="single" w:sz="4" w:space="0" w:color="auto"/>
              <w:right w:val="single" w:sz="4" w:space="0" w:color="auto"/>
            </w:tcBorders>
          </w:tcPr>
          <w:p w14:paraId="3B309C77"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52EF66C2" w14:textId="77777777" w:rsidR="00F805CB" w:rsidRDefault="00F805CB">
            <w:pPr>
              <w:widowControl/>
              <w:rPr>
                <w:rFonts w:ascii="仿宋" w:eastAsia="仿宋" w:hAnsi="仿宋" w:cs="仿宋_GB2312" w:hint="eastAsia"/>
              </w:rPr>
            </w:pPr>
          </w:p>
        </w:tc>
      </w:tr>
      <w:tr w:rsidR="00F805CB" w14:paraId="5430EEB2" w14:textId="77777777">
        <w:trPr>
          <w:trHeight w:val="1640"/>
          <w:jc w:val="center"/>
        </w:trPr>
        <w:tc>
          <w:tcPr>
            <w:tcW w:w="497" w:type="dxa"/>
            <w:tcBorders>
              <w:top w:val="single" w:sz="4" w:space="0" w:color="auto"/>
              <w:left w:val="single" w:sz="4" w:space="0" w:color="auto"/>
              <w:bottom w:val="single" w:sz="4" w:space="0" w:color="auto"/>
              <w:right w:val="single" w:sz="4" w:space="0" w:color="auto"/>
            </w:tcBorders>
            <w:vAlign w:val="center"/>
          </w:tcPr>
          <w:p w14:paraId="2955DEF4"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20</w:t>
            </w:r>
          </w:p>
        </w:tc>
        <w:tc>
          <w:tcPr>
            <w:tcW w:w="1428" w:type="dxa"/>
            <w:tcBorders>
              <w:top w:val="single" w:sz="4" w:space="0" w:color="auto"/>
              <w:left w:val="single" w:sz="4" w:space="0" w:color="auto"/>
              <w:bottom w:val="single" w:sz="4" w:space="0" w:color="auto"/>
              <w:right w:val="single" w:sz="4" w:space="0" w:color="auto"/>
            </w:tcBorders>
            <w:vAlign w:val="center"/>
          </w:tcPr>
          <w:p w14:paraId="5E56F29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电梯安全管理</w:t>
            </w:r>
          </w:p>
          <w:p w14:paraId="48A523F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（6分）</w:t>
            </w:r>
          </w:p>
        </w:tc>
        <w:tc>
          <w:tcPr>
            <w:tcW w:w="4721" w:type="dxa"/>
            <w:tcBorders>
              <w:top w:val="single" w:sz="4" w:space="0" w:color="auto"/>
              <w:left w:val="single" w:sz="4" w:space="0" w:color="auto"/>
              <w:bottom w:val="single" w:sz="4" w:space="0" w:color="auto"/>
              <w:right w:val="single" w:sz="4" w:space="0" w:color="auto"/>
            </w:tcBorders>
            <w:vAlign w:val="center"/>
          </w:tcPr>
          <w:p w14:paraId="0261421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遵守特种设备有关法律法规，配合市场监督部门履行以下职责：（1）建立并落实电梯的维护保养和定期自行检查制度；（2）委托依法取得许可的单位对电梯进行维护和保养；（3）指定电梯安全管理人员管理电梯，并由其管理和使用专用钥匙，相关操作人员持有特种设备作业人员证书；（4）将维护保养标志、安全提示、警示标志以及</w:t>
            </w:r>
            <w:r>
              <w:rPr>
                <w:rFonts w:ascii="仿宋" w:eastAsia="仿宋" w:hAnsi="仿宋" w:cs="仿宋_GB2312" w:hint="eastAsia"/>
                <w:sz w:val="21"/>
                <w:szCs w:val="21"/>
              </w:rPr>
              <w:lastRenderedPageBreak/>
              <w:t>服务、投诉电话公示于电梯显著位置;（5）安装电梯应急呼救系统并保障有效使用（缺少年检）。</w:t>
            </w:r>
          </w:p>
        </w:tc>
        <w:tc>
          <w:tcPr>
            <w:tcW w:w="1075" w:type="dxa"/>
            <w:tcBorders>
              <w:top w:val="single" w:sz="4" w:space="0" w:color="auto"/>
              <w:left w:val="single" w:sz="4" w:space="0" w:color="auto"/>
              <w:bottom w:val="single" w:sz="4" w:space="0" w:color="auto"/>
              <w:right w:val="single" w:sz="4" w:space="0" w:color="auto"/>
            </w:tcBorders>
            <w:vAlign w:val="center"/>
          </w:tcPr>
          <w:p w14:paraId="6830A51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lastRenderedPageBreak/>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2D3A93E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《深圳经济特区特种设备安全条例》第十九条、第二十条、第二十四条、第三十四条。</w:t>
            </w:r>
          </w:p>
        </w:tc>
        <w:tc>
          <w:tcPr>
            <w:tcW w:w="3635" w:type="dxa"/>
            <w:tcBorders>
              <w:top w:val="single" w:sz="4" w:space="0" w:color="auto"/>
              <w:left w:val="single" w:sz="4" w:space="0" w:color="auto"/>
              <w:bottom w:val="single" w:sz="4" w:space="0" w:color="auto"/>
              <w:right w:val="single" w:sz="4" w:space="0" w:color="auto"/>
            </w:tcBorders>
            <w:vAlign w:val="center"/>
          </w:tcPr>
          <w:p w14:paraId="3B485A3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电梯管理制度扣1分；未按规定委托取得许可单位进行维保，扣0.5分；未指定专人管理电梯扣0.5分；操作人员未持证扣1分；电梯相关标识不清晰、不完整，每发现一处扣0.5分，最多扣1分；电梯应急呼救系统故障或电梯其他故障未及时处理，发现一处扣0.5分，最多扣2分。</w:t>
            </w:r>
          </w:p>
        </w:tc>
        <w:tc>
          <w:tcPr>
            <w:tcW w:w="457" w:type="dxa"/>
            <w:tcBorders>
              <w:top w:val="single" w:sz="4" w:space="0" w:color="auto"/>
              <w:left w:val="single" w:sz="4" w:space="0" w:color="auto"/>
              <w:bottom w:val="single" w:sz="4" w:space="0" w:color="auto"/>
              <w:right w:val="single" w:sz="4" w:space="0" w:color="auto"/>
            </w:tcBorders>
          </w:tcPr>
          <w:p w14:paraId="61B98EED"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6ACF49D" w14:textId="77777777" w:rsidR="00F805CB" w:rsidRDefault="00F805CB">
            <w:pPr>
              <w:widowControl/>
              <w:rPr>
                <w:rFonts w:ascii="仿宋" w:eastAsia="仿宋" w:hAnsi="仿宋" w:cs="仿宋_GB2312" w:hint="eastAsia"/>
              </w:rPr>
            </w:pPr>
          </w:p>
        </w:tc>
      </w:tr>
      <w:tr w:rsidR="00F805CB" w14:paraId="4C4038D6" w14:textId="77777777">
        <w:trPr>
          <w:trHeight w:val="318"/>
          <w:jc w:val="center"/>
        </w:trPr>
        <w:tc>
          <w:tcPr>
            <w:tcW w:w="497" w:type="dxa"/>
            <w:tcBorders>
              <w:top w:val="single" w:sz="4" w:space="0" w:color="auto"/>
              <w:left w:val="single" w:sz="4" w:space="0" w:color="auto"/>
              <w:bottom w:val="single" w:sz="4" w:space="0" w:color="auto"/>
              <w:right w:val="single" w:sz="4" w:space="0" w:color="auto"/>
            </w:tcBorders>
            <w:vAlign w:val="center"/>
          </w:tcPr>
          <w:p w14:paraId="7441FD53"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21</w:t>
            </w:r>
          </w:p>
        </w:tc>
        <w:tc>
          <w:tcPr>
            <w:tcW w:w="1428" w:type="dxa"/>
            <w:tcBorders>
              <w:top w:val="single" w:sz="4" w:space="0" w:color="auto"/>
              <w:left w:val="single" w:sz="4" w:space="0" w:color="auto"/>
              <w:bottom w:val="single" w:sz="4" w:space="0" w:color="auto"/>
              <w:right w:val="single" w:sz="4" w:space="0" w:color="auto"/>
            </w:tcBorders>
            <w:vAlign w:val="center"/>
          </w:tcPr>
          <w:p w14:paraId="22A0511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特种作业安全管理（3分）</w:t>
            </w:r>
          </w:p>
        </w:tc>
        <w:tc>
          <w:tcPr>
            <w:tcW w:w="4721" w:type="dxa"/>
            <w:tcBorders>
              <w:top w:val="single" w:sz="4" w:space="0" w:color="auto"/>
              <w:left w:val="single" w:sz="4" w:space="0" w:color="auto"/>
              <w:bottom w:val="single" w:sz="4" w:space="0" w:color="auto"/>
              <w:right w:val="single" w:sz="4" w:space="0" w:color="auto"/>
            </w:tcBorders>
            <w:vAlign w:val="center"/>
          </w:tcPr>
          <w:p w14:paraId="7B54980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遵守特种作业有关规定，配合应急部门履行以下职责：（1）特种作业人员经专门的安全作业培训，取得相应资格；（2）制定特种作业安全操作规程和安全管理制度；（3）为作业人员提供符合标准的劳动防护用品和安全作业条件；（4）建立本单位特种作业人员档案，做好特种作业人员培训教育工作。</w:t>
            </w:r>
          </w:p>
          <w:p w14:paraId="77594438" w14:textId="77777777" w:rsidR="00F805CB" w:rsidRDefault="00F805CB">
            <w:pPr>
              <w:pStyle w:val="a9"/>
              <w:rPr>
                <w:rFonts w:ascii="仿宋" w:eastAsia="仿宋" w:hAnsi="仿宋" w:cs="仿宋_GB2312" w:hint="eastAsia"/>
                <w:sz w:val="21"/>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369B05F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7440A4A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《安全生产法》(2021年修正）第三十条、第九十七条；《特种作业人员安全技术培训考核管理规定》第三十四条、第三十六条、第四十条、第四十一条；《生产经营单位安全培训规定》第三十条。</w:t>
            </w:r>
          </w:p>
        </w:tc>
        <w:tc>
          <w:tcPr>
            <w:tcW w:w="3635" w:type="dxa"/>
            <w:tcBorders>
              <w:top w:val="single" w:sz="4" w:space="0" w:color="auto"/>
              <w:left w:val="single" w:sz="4" w:space="0" w:color="auto"/>
              <w:bottom w:val="single" w:sz="4" w:space="0" w:color="auto"/>
              <w:right w:val="single" w:sz="4" w:space="0" w:color="auto"/>
            </w:tcBorders>
            <w:vAlign w:val="center"/>
          </w:tcPr>
          <w:p w14:paraId="6EFA79C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特种作业人员无上岗证，扣1分；无特种作业管理制度及操作规程扣1分；特种作业人员培训教育记录不</w:t>
            </w:r>
            <w:proofErr w:type="gramStart"/>
            <w:r>
              <w:rPr>
                <w:rFonts w:ascii="仿宋" w:eastAsia="仿宋" w:hAnsi="仿宋" w:cs="仿宋_GB2312" w:hint="eastAsia"/>
                <w:sz w:val="21"/>
                <w:szCs w:val="21"/>
              </w:rPr>
              <w:t>完善扣</w:t>
            </w:r>
            <w:proofErr w:type="gramEnd"/>
            <w:r>
              <w:rPr>
                <w:rFonts w:ascii="仿宋" w:eastAsia="仿宋" w:hAnsi="仿宋" w:cs="仿宋_GB2312" w:hint="eastAsia"/>
                <w:sz w:val="21"/>
                <w:szCs w:val="21"/>
              </w:rPr>
              <w:t>1分。</w:t>
            </w:r>
          </w:p>
        </w:tc>
        <w:tc>
          <w:tcPr>
            <w:tcW w:w="457" w:type="dxa"/>
            <w:tcBorders>
              <w:top w:val="single" w:sz="4" w:space="0" w:color="auto"/>
              <w:left w:val="single" w:sz="4" w:space="0" w:color="auto"/>
              <w:bottom w:val="single" w:sz="4" w:space="0" w:color="auto"/>
              <w:right w:val="single" w:sz="4" w:space="0" w:color="auto"/>
            </w:tcBorders>
          </w:tcPr>
          <w:p w14:paraId="1A1ECE17"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AD51981" w14:textId="77777777" w:rsidR="00F805CB" w:rsidRDefault="00F805CB">
            <w:pPr>
              <w:widowControl/>
              <w:rPr>
                <w:rFonts w:ascii="仿宋" w:eastAsia="仿宋" w:hAnsi="仿宋" w:cs="仿宋_GB2312" w:hint="eastAsia"/>
              </w:rPr>
            </w:pPr>
          </w:p>
        </w:tc>
      </w:tr>
      <w:tr w:rsidR="00F805CB" w14:paraId="05EF72A3" w14:textId="77777777">
        <w:trPr>
          <w:trHeight w:val="2374"/>
          <w:jc w:val="center"/>
        </w:trPr>
        <w:tc>
          <w:tcPr>
            <w:tcW w:w="497" w:type="dxa"/>
            <w:tcBorders>
              <w:top w:val="single" w:sz="4" w:space="0" w:color="auto"/>
              <w:left w:val="single" w:sz="4" w:space="0" w:color="auto"/>
              <w:bottom w:val="single" w:sz="4" w:space="0" w:color="auto"/>
              <w:right w:val="single" w:sz="4" w:space="0" w:color="auto"/>
            </w:tcBorders>
            <w:vAlign w:val="center"/>
          </w:tcPr>
          <w:p w14:paraId="56D154D0"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22</w:t>
            </w:r>
          </w:p>
        </w:tc>
        <w:tc>
          <w:tcPr>
            <w:tcW w:w="1428" w:type="dxa"/>
            <w:tcBorders>
              <w:top w:val="single" w:sz="4" w:space="0" w:color="auto"/>
              <w:left w:val="single" w:sz="4" w:space="0" w:color="auto"/>
              <w:bottom w:val="single" w:sz="4" w:space="0" w:color="auto"/>
              <w:right w:val="single" w:sz="4" w:space="0" w:color="auto"/>
            </w:tcBorders>
            <w:vAlign w:val="center"/>
          </w:tcPr>
          <w:p w14:paraId="37AF9F0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有限空间作业安全管理(5分)</w:t>
            </w:r>
          </w:p>
        </w:tc>
        <w:tc>
          <w:tcPr>
            <w:tcW w:w="4721" w:type="dxa"/>
            <w:tcBorders>
              <w:top w:val="single" w:sz="4" w:space="0" w:color="auto"/>
              <w:left w:val="single" w:sz="4" w:space="0" w:color="auto"/>
              <w:bottom w:val="single" w:sz="4" w:space="0" w:color="auto"/>
              <w:right w:val="single" w:sz="4" w:space="0" w:color="auto"/>
            </w:tcBorders>
            <w:vAlign w:val="center"/>
          </w:tcPr>
          <w:p w14:paraId="6775C0B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遵守有限空间作业有关规定，配合应急部门履行以下职责：（1）建立有限空间管理台账；（2）对作业人员培训教育、为作业人员提供符合国家标准或者行业标准的劳动防护用品，教育监督作业人员正确佩戴与使用；（3）制定有限空间作业方案；（4）制定有限空间作业应急预案；（5）（缺有限空间入口处封堵）设置明显的安全警示标志和警示说明（</w:t>
            </w:r>
            <w:proofErr w:type="gramStart"/>
            <w:r>
              <w:rPr>
                <w:rFonts w:ascii="仿宋" w:eastAsia="仿宋" w:hAnsi="仿宋" w:cs="仿宋_GB2312" w:hint="eastAsia"/>
                <w:sz w:val="21"/>
                <w:szCs w:val="21"/>
              </w:rPr>
              <w:t>缺并落实</w:t>
            </w:r>
            <w:proofErr w:type="gramEnd"/>
            <w:r>
              <w:rPr>
                <w:rFonts w:ascii="仿宋" w:eastAsia="仿宋" w:hAnsi="仿宋" w:cs="仿宋_GB2312" w:hint="eastAsia"/>
                <w:sz w:val="21"/>
                <w:szCs w:val="21"/>
              </w:rPr>
              <w:t>安全责任人）。</w:t>
            </w:r>
          </w:p>
        </w:tc>
        <w:tc>
          <w:tcPr>
            <w:tcW w:w="1075" w:type="dxa"/>
            <w:tcBorders>
              <w:top w:val="single" w:sz="4" w:space="0" w:color="auto"/>
              <w:left w:val="single" w:sz="4" w:space="0" w:color="auto"/>
              <w:bottom w:val="single" w:sz="4" w:space="0" w:color="auto"/>
              <w:right w:val="single" w:sz="4" w:space="0" w:color="auto"/>
            </w:tcBorders>
            <w:vAlign w:val="center"/>
          </w:tcPr>
          <w:p w14:paraId="2B6F042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检查台账/现场查看</w:t>
            </w:r>
          </w:p>
        </w:tc>
        <w:tc>
          <w:tcPr>
            <w:tcW w:w="2924" w:type="dxa"/>
            <w:tcBorders>
              <w:top w:val="single" w:sz="4" w:space="0" w:color="auto"/>
              <w:left w:val="single" w:sz="4" w:space="0" w:color="auto"/>
              <w:bottom w:val="single" w:sz="4" w:space="0" w:color="auto"/>
              <w:right w:val="single" w:sz="4" w:space="0" w:color="auto"/>
            </w:tcBorders>
            <w:vAlign w:val="center"/>
          </w:tcPr>
          <w:p w14:paraId="5CFEED3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《工贸企业有限空间作业安全规定》第八条、第九条、第十条、第十一条、第十四条、第十九条、第二十、第二十一条。</w:t>
            </w:r>
          </w:p>
        </w:tc>
        <w:tc>
          <w:tcPr>
            <w:tcW w:w="3635" w:type="dxa"/>
            <w:tcBorders>
              <w:top w:val="single" w:sz="4" w:space="0" w:color="auto"/>
              <w:left w:val="single" w:sz="4" w:space="0" w:color="auto"/>
              <w:bottom w:val="single" w:sz="4" w:space="0" w:color="auto"/>
              <w:right w:val="single" w:sz="4" w:space="0" w:color="auto"/>
            </w:tcBorders>
            <w:vAlign w:val="center"/>
          </w:tcPr>
          <w:p w14:paraId="3ADF0E6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未对管理区域有限空间进行辨识并建立台账，扣1分；无相关制度扣1分；未对人员进行培训扣1分；现场无警示标识，每发现一处扣0.5分，最多扣1分；未制定应急预案扣1分。</w:t>
            </w:r>
          </w:p>
        </w:tc>
        <w:tc>
          <w:tcPr>
            <w:tcW w:w="457" w:type="dxa"/>
            <w:tcBorders>
              <w:top w:val="single" w:sz="4" w:space="0" w:color="auto"/>
              <w:left w:val="single" w:sz="4" w:space="0" w:color="auto"/>
              <w:bottom w:val="single" w:sz="4" w:space="0" w:color="auto"/>
              <w:right w:val="single" w:sz="4" w:space="0" w:color="auto"/>
            </w:tcBorders>
          </w:tcPr>
          <w:p w14:paraId="1A395553"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48B0FF2" w14:textId="77777777" w:rsidR="00F805CB" w:rsidRDefault="00F805CB">
            <w:pPr>
              <w:widowControl/>
              <w:rPr>
                <w:rFonts w:ascii="仿宋" w:eastAsia="仿宋" w:hAnsi="仿宋" w:cs="仿宋_GB2312" w:hint="eastAsia"/>
              </w:rPr>
            </w:pPr>
          </w:p>
        </w:tc>
      </w:tr>
      <w:tr w:rsidR="00F805CB" w14:paraId="44045360" w14:textId="77777777">
        <w:trPr>
          <w:jc w:val="center"/>
        </w:trPr>
        <w:tc>
          <w:tcPr>
            <w:tcW w:w="497" w:type="dxa"/>
            <w:tcBorders>
              <w:top w:val="single" w:sz="4" w:space="0" w:color="auto"/>
              <w:left w:val="single" w:sz="4" w:space="0" w:color="auto"/>
              <w:bottom w:val="single" w:sz="4" w:space="0" w:color="auto"/>
              <w:right w:val="single" w:sz="4" w:space="0" w:color="auto"/>
            </w:tcBorders>
            <w:vAlign w:val="center"/>
          </w:tcPr>
          <w:p w14:paraId="4E0D81C6"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23</w:t>
            </w:r>
          </w:p>
        </w:tc>
        <w:tc>
          <w:tcPr>
            <w:tcW w:w="1428" w:type="dxa"/>
            <w:tcBorders>
              <w:top w:val="single" w:sz="4" w:space="0" w:color="auto"/>
              <w:left w:val="single" w:sz="4" w:space="0" w:color="auto"/>
              <w:bottom w:val="single" w:sz="4" w:space="0" w:color="auto"/>
              <w:right w:val="single" w:sz="4" w:space="0" w:color="auto"/>
            </w:tcBorders>
            <w:vAlign w:val="center"/>
          </w:tcPr>
          <w:p w14:paraId="7738695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color w:val="FF0000"/>
                <w:sz w:val="21"/>
                <w:szCs w:val="21"/>
              </w:rPr>
              <w:t>停车场安全管理（1分）</w:t>
            </w:r>
          </w:p>
        </w:tc>
        <w:tc>
          <w:tcPr>
            <w:tcW w:w="4721" w:type="dxa"/>
            <w:tcBorders>
              <w:top w:val="single" w:sz="4" w:space="0" w:color="auto"/>
              <w:left w:val="single" w:sz="4" w:space="0" w:color="auto"/>
              <w:bottom w:val="single" w:sz="4" w:space="0" w:color="auto"/>
              <w:right w:val="single" w:sz="4" w:space="0" w:color="auto"/>
            </w:tcBorders>
            <w:vAlign w:val="center"/>
          </w:tcPr>
          <w:p w14:paraId="4A2EE5D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（1）是否定期对停车场的设备设施、标志进行检查，及时消除安全隐患；（2）设置完善的停车场设施和标志及相应的辅助标志；（3）维护停车场内机动车停放秩序和行驶秩序。</w:t>
            </w:r>
          </w:p>
        </w:tc>
        <w:tc>
          <w:tcPr>
            <w:tcW w:w="1075" w:type="dxa"/>
            <w:tcBorders>
              <w:top w:val="single" w:sz="4" w:space="0" w:color="auto"/>
              <w:left w:val="single" w:sz="4" w:space="0" w:color="auto"/>
              <w:bottom w:val="single" w:sz="4" w:space="0" w:color="auto"/>
              <w:right w:val="single" w:sz="4" w:space="0" w:color="auto"/>
            </w:tcBorders>
            <w:vAlign w:val="center"/>
          </w:tcPr>
          <w:p w14:paraId="0434F11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检查台账/现场查看</w:t>
            </w:r>
          </w:p>
        </w:tc>
        <w:tc>
          <w:tcPr>
            <w:tcW w:w="2924" w:type="dxa"/>
            <w:tcBorders>
              <w:top w:val="single" w:sz="4" w:space="0" w:color="auto"/>
              <w:left w:val="single" w:sz="4" w:space="0" w:color="auto"/>
              <w:bottom w:val="single" w:sz="4" w:space="0" w:color="auto"/>
              <w:right w:val="single" w:sz="4" w:space="0" w:color="auto"/>
            </w:tcBorders>
            <w:vAlign w:val="center"/>
          </w:tcPr>
          <w:p w14:paraId="7E11630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《深圳市停车场规划建设和机动车停放管理条例》第二十一条</w:t>
            </w:r>
          </w:p>
        </w:tc>
        <w:tc>
          <w:tcPr>
            <w:tcW w:w="3635" w:type="dxa"/>
            <w:tcBorders>
              <w:top w:val="single" w:sz="4" w:space="0" w:color="auto"/>
              <w:left w:val="single" w:sz="4" w:space="0" w:color="auto"/>
              <w:bottom w:val="single" w:sz="4" w:space="0" w:color="auto"/>
              <w:right w:val="single" w:sz="4" w:space="0" w:color="auto"/>
            </w:tcBorders>
            <w:vAlign w:val="center"/>
          </w:tcPr>
          <w:p w14:paraId="7C1110C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现场标志标识不清晰、不完善，每发现一处扣0.5分，最多1分</w:t>
            </w:r>
          </w:p>
        </w:tc>
        <w:tc>
          <w:tcPr>
            <w:tcW w:w="457" w:type="dxa"/>
            <w:tcBorders>
              <w:top w:val="single" w:sz="4" w:space="0" w:color="auto"/>
              <w:left w:val="single" w:sz="4" w:space="0" w:color="auto"/>
              <w:bottom w:val="single" w:sz="4" w:space="0" w:color="auto"/>
              <w:right w:val="single" w:sz="4" w:space="0" w:color="auto"/>
            </w:tcBorders>
          </w:tcPr>
          <w:p w14:paraId="35BDB1A2"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95459C2" w14:textId="77777777" w:rsidR="00F805CB" w:rsidRDefault="00F805CB">
            <w:pPr>
              <w:widowControl/>
              <w:rPr>
                <w:rFonts w:ascii="仿宋" w:eastAsia="仿宋" w:hAnsi="仿宋" w:cs="仿宋_GB2312" w:hint="eastAsia"/>
              </w:rPr>
            </w:pPr>
          </w:p>
        </w:tc>
      </w:tr>
      <w:tr w:rsidR="00F805CB" w14:paraId="58730048" w14:textId="77777777">
        <w:trPr>
          <w:jc w:val="center"/>
        </w:trPr>
        <w:tc>
          <w:tcPr>
            <w:tcW w:w="497" w:type="dxa"/>
            <w:tcBorders>
              <w:top w:val="single" w:sz="4" w:space="0" w:color="auto"/>
              <w:left w:val="single" w:sz="4" w:space="0" w:color="auto"/>
              <w:bottom w:val="single" w:sz="4" w:space="0" w:color="auto"/>
              <w:right w:val="single" w:sz="4" w:space="0" w:color="auto"/>
            </w:tcBorders>
            <w:vAlign w:val="center"/>
          </w:tcPr>
          <w:p w14:paraId="74FF52ED"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24</w:t>
            </w:r>
          </w:p>
        </w:tc>
        <w:tc>
          <w:tcPr>
            <w:tcW w:w="1428" w:type="dxa"/>
            <w:tcBorders>
              <w:top w:val="single" w:sz="4" w:space="0" w:color="auto"/>
              <w:left w:val="single" w:sz="4" w:space="0" w:color="auto"/>
              <w:bottom w:val="single" w:sz="4" w:space="0" w:color="auto"/>
              <w:right w:val="single" w:sz="4" w:space="0" w:color="auto"/>
            </w:tcBorders>
            <w:vAlign w:val="center"/>
          </w:tcPr>
          <w:p w14:paraId="021D522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新能源汽车充电设施安全管理（2分）</w:t>
            </w:r>
          </w:p>
        </w:tc>
        <w:tc>
          <w:tcPr>
            <w:tcW w:w="4721" w:type="dxa"/>
            <w:tcBorders>
              <w:top w:val="single" w:sz="4" w:space="0" w:color="auto"/>
              <w:left w:val="single" w:sz="4" w:space="0" w:color="auto"/>
              <w:bottom w:val="single" w:sz="4" w:space="0" w:color="auto"/>
              <w:right w:val="single" w:sz="4" w:space="0" w:color="auto"/>
            </w:tcBorders>
            <w:vAlign w:val="center"/>
          </w:tcPr>
          <w:p w14:paraId="39E44B33" w14:textId="77777777" w:rsidR="00F805CB" w:rsidRDefault="00000000">
            <w:pPr>
              <w:pStyle w:val="a9"/>
              <w:rPr>
                <w:rFonts w:cs="仿宋_GB2312" w:hint="eastAsia"/>
                <w:sz w:val="21"/>
                <w:szCs w:val="21"/>
              </w:rPr>
            </w:pPr>
            <w:r>
              <w:rPr>
                <w:rFonts w:ascii="仿宋" w:eastAsia="仿宋" w:hAnsi="仿宋" w:cs="仿宋_GB2312" w:hint="eastAsia"/>
                <w:sz w:val="21"/>
                <w:szCs w:val="21"/>
              </w:rPr>
              <w:t>（1）是否配合运营单位开展日常安全防范工作并签订《安全管理协议》；（2）发现隐患或者发生危及物业安全的紧急情况，是否及时告知并协助采取应急处置措施。（3）充电设施配建比例达到停车位的20%；（4）充电设施在市物业管理信息平台上进行了信息登记；（5）集中充电场所配备有效灭火器材和监控系统；（6）充电场所中各类提醒</w:t>
            </w:r>
            <w:r>
              <w:rPr>
                <w:rFonts w:ascii="仿宋" w:eastAsia="仿宋" w:hAnsi="仿宋" w:cs="仿宋_GB2312" w:hint="eastAsia"/>
                <w:sz w:val="21"/>
                <w:szCs w:val="21"/>
                <w:lang w:val="en"/>
              </w:rPr>
              <w:t>、</w:t>
            </w:r>
            <w:r>
              <w:rPr>
                <w:rFonts w:ascii="仿宋" w:eastAsia="仿宋" w:hAnsi="仿宋" w:cs="仿宋_GB2312" w:hint="eastAsia"/>
                <w:sz w:val="21"/>
                <w:szCs w:val="21"/>
              </w:rPr>
              <w:t>标识</w:t>
            </w:r>
            <w:r>
              <w:rPr>
                <w:rFonts w:ascii="仿宋" w:eastAsia="仿宋" w:hAnsi="仿宋" w:cs="仿宋_GB2312" w:hint="eastAsia"/>
                <w:sz w:val="21"/>
                <w:szCs w:val="21"/>
                <w:lang w:val="en"/>
              </w:rPr>
              <w:t>、</w:t>
            </w:r>
            <w:r>
              <w:rPr>
                <w:rFonts w:ascii="仿宋" w:eastAsia="仿宋" w:hAnsi="仿宋" w:cs="仿宋_GB2312" w:hint="eastAsia"/>
                <w:sz w:val="21"/>
                <w:szCs w:val="21"/>
              </w:rPr>
              <w:t>联系电话完整；（7）现场线路及其他</w:t>
            </w:r>
            <w:r>
              <w:rPr>
                <w:rFonts w:ascii="仿宋" w:eastAsia="仿宋" w:hAnsi="仿宋" w:cs="仿宋_GB2312" w:hint="eastAsia"/>
                <w:sz w:val="21"/>
                <w:szCs w:val="21"/>
              </w:rPr>
              <w:lastRenderedPageBreak/>
              <w:t>设备整齐，用后归位；（8）运营单位开展定期检查、年度检测，设施管理台帐明晰。</w:t>
            </w:r>
          </w:p>
        </w:tc>
        <w:tc>
          <w:tcPr>
            <w:tcW w:w="1075" w:type="dxa"/>
            <w:tcBorders>
              <w:top w:val="single" w:sz="4" w:space="0" w:color="auto"/>
              <w:left w:val="single" w:sz="4" w:space="0" w:color="auto"/>
              <w:bottom w:val="single" w:sz="4" w:space="0" w:color="auto"/>
              <w:right w:val="single" w:sz="4" w:space="0" w:color="auto"/>
            </w:tcBorders>
            <w:vAlign w:val="center"/>
          </w:tcPr>
          <w:p w14:paraId="0625B88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lastRenderedPageBreak/>
              <w:t>检查台账/现场查看</w:t>
            </w:r>
          </w:p>
        </w:tc>
        <w:tc>
          <w:tcPr>
            <w:tcW w:w="2924" w:type="dxa"/>
            <w:tcBorders>
              <w:top w:val="single" w:sz="4" w:space="0" w:color="auto"/>
              <w:left w:val="single" w:sz="4" w:space="0" w:color="auto"/>
              <w:bottom w:val="single" w:sz="4" w:space="0" w:color="auto"/>
              <w:right w:val="single" w:sz="4" w:space="0" w:color="auto"/>
            </w:tcBorders>
            <w:vAlign w:val="center"/>
          </w:tcPr>
          <w:p w14:paraId="7023D03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《深圳市新能源汽车充电设施管理暂行办法》第十一条</w:t>
            </w:r>
          </w:p>
        </w:tc>
        <w:tc>
          <w:tcPr>
            <w:tcW w:w="3635" w:type="dxa"/>
            <w:tcBorders>
              <w:top w:val="single" w:sz="4" w:space="0" w:color="auto"/>
              <w:left w:val="single" w:sz="4" w:space="0" w:color="auto"/>
              <w:bottom w:val="single" w:sz="4" w:space="0" w:color="auto"/>
              <w:right w:val="single" w:sz="4" w:space="0" w:color="auto"/>
            </w:tcBorders>
            <w:vAlign w:val="center"/>
          </w:tcPr>
          <w:p w14:paraId="28F8371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发现一项不符合要求，扣0.5分；扣完为止</w:t>
            </w:r>
          </w:p>
        </w:tc>
        <w:tc>
          <w:tcPr>
            <w:tcW w:w="457" w:type="dxa"/>
            <w:tcBorders>
              <w:top w:val="single" w:sz="4" w:space="0" w:color="auto"/>
              <w:left w:val="single" w:sz="4" w:space="0" w:color="auto"/>
              <w:bottom w:val="single" w:sz="4" w:space="0" w:color="auto"/>
              <w:right w:val="single" w:sz="4" w:space="0" w:color="auto"/>
            </w:tcBorders>
          </w:tcPr>
          <w:p w14:paraId="5565FDC4"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4C51993" w14:textId="77777777" w:rsidR="00F805CB" w:rsidRDefault="00F805CB">
            <w:pPr>
              <w:widowControl/>
              <w:rPr>
                <w:rFonts w:ascii="仿宋" w:eastAsia="仿宋" w:hAnsi="仿宋" w:cs="仿宋_GB2312" w:hint="eastAsia"/>
              </w:rPr>
            </w:pPr>
          </w:p>
        </w:tc>
      </w:tr>
      <w:tr w:rsidR="00F805CB" w14:paraId="05E4680A" w14:textId="77777777">
        <w:trPr>
          <w:trHeight w:val="1295"/>
          <w:jc w:val="center"/>
        </w:trPr>
        <w:tc>
          <w:tcPr>
            <w:tcW w:w="497" w:type="dxa"/>
            <w:tcBorders>
              <w:top w:val="single" w:sz="4" w:space="0" w:color="auto"/>
              <w:left w:val="single" w:sz="4" w:space="0" w:color="auto"/>
              <w:bottom w:val="single" w:sz="4" w:space="0" w:color="auto"/>
              <w:right w:val="single" w:sz="4" w:space="0" w:color="auto"/>
            </w:tcBorders>
            <w:vAlign w:val="center"/>
          </w:tcPr>
          <w:p w14:paraId="4EDEA8DD"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25</w:t>
            </w:r>
          </w:p>
        </w:tc>
        <w:tc>
          <w:tcPr>
            <w:tcW w:w="1428" w:type="dxa"/>
            <w:tcBorders>
              <w:top w:val="single" w:sz="4" w:space="0" w:color="auto"/>
              <w:left w:val="single" w:sz="4" w:space="0" w:color="auto"/>
              <w:bottom w:val="single" w:sz="4" w:space="0" w:color="auto"/>
              <w:right w:val="single" w:sz="4" w:space="0" w:color="auto"/>
            </w:tcBorders>
            <w:vAlign w:val="center"/>
          </w:tcPr>
          <w:p w14:paraId="4F0116E7"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游泳池安全管理（1分）</w:t>
            </w:r>
          </w:p>
        </w:tc>
        <w:tc>
          <w:tcPr>
            <w:tcW w:w="4721" w:type="dxa"/>
            <w:tcBorders>
              <w:top w:val="single" w:sz="4" w:space="0" w:color="auto"/>
              <w:left w:val="single" w:sz="4" w:space="0" w:color="auto"/>
              <w:bottom w:val="single" w:sz="4" w:space="0" w:color="auto"/>
              <w:right w:val="single" w:sz="4" w:space="0" w:color="auto"/>
            </w:tcBorders>
            <w:vAlign w:val="center"/>
          </w:tcPr>
          <w:p w14:paraId="77D875F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监督配合经营单位依据《广东省高危险性体育项目经营活动管理规定》履行游泳池安全管理职责。（2）发现隐患是否及时告知经营单位。（缺游泳池（物业经营）按主管部门要求有经营许可证，水池等危险场所设置警示标志，泳池设置水位标志线，救生员持证上岗）</w:t>
            </w:r>
          </w:p>
        </w:tc>
        <w:tc>
          <w:tcPr>
            <w:tcW w:w="1075" w:type="dxa"/>
            <w:tcBorders>
              <w:top w:val="single" w:sz="4" w:space="0" w:color="auto"/>
              <w:left w:val="single" w:sz="4" w:space="0" w:color="auto"/>
              <w:bottom w:val="single" w:sz="4" w:space="0" w:color="auto"/>
              <w:right w:val="single" w:sz="4" w:space="0" w:color="auto"/>
            </w:tcBorders>
            <w:vAlign w:val="center"/>
          </w:tcPr>
          <w:p w14:paraId="463304C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2E4A79F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《物业服务行业安全管理检查评价规范》第七点</w:t>
            </w:r>
          </w:p>
        </w:tc>
        <w:tc>
          <w:tcPr>
            <w:tcW w:w="3635" w:type="dxa"/>
            <w:tcBorders>
              <w:top w:val="single" w:sz="4" w:space="0" w:color="auto"/>
              <w:left w:val="single" w:sz="4" w:space="0" w:color="auto"/>
              <w:bottom w:val="single" w:sz="4" w:space="0" w:color="auto"/>
              <w:right w:val="single" w:sz="4" w:space="0" w:color="auto"/>
            </w:tcBorders>
            <w:vAlign w:val="center"/>
          </w:tcPr>
          <w:p w14:paraId="7A34E8D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未对经营单位进行相关安全管理扣1分。</w:t>
            </w:r>
          </w:p>
          <w:p w14:paraId="5AD67014" w14:textId="77777777" w:rsidR="00F805CB" w:rsidRDefault="00F805CB">
            <w:pPr>
              <w:pStyle w:val="a9"/>
              <w:rPr>
                <w:rFonts w:ascii="仿宋" w:eastAsia="仿宋" w:hAnsi="仿宋" w:cs="仿宋_GB2312" w:hint="eastAsia"/>
                <w:sz w:val="21"/>
                <w:szCs w:val="21"/>
              </w:rPr>
            </w:pPr>
          </w:p>
        </w:tc>
        <w:tc>
          <w:tcPr>
            <w:tcW w:w="457" w:type="dxa"/>
            <w:tcBorders>
              <w:top w:val="single" w:sz="4" w:space="0" w:color="auto"/>
              <w:left w:val="single" w:sz="4" w:space="0" w:color="auto"/>
              <w:bottom w:val="single" w:sz="4" w:space="0" w:color="auto"/>
              <w:right w:val="single" w:sz="4" w:space="0" w:color="auto"/>
            </w:tcBorders>
          </w:tcPr>
          <w:p w14:paraId="6F968A9A"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D501FE4" w14:textId="77777777" w:rsidR="00F805CB" w:rsidRDefault="00F805CB">
            <w:pPr>
              <w:widowControl/>
              <w:rPr>
                <w:rFonts w:ascii="仿宋" w:eastAsia="仿宋" w:hAnsi="仿宋" w:cs="仿宋_GB2312" w:hint="eastAsia"/>
              </w:rPr>
            </w:pPr>
          </w:p>
        </w:tc>
      </w:tr>
      <w:tr w:rsidR="00F805CB" w14:paraId="1C01CE59" w14:textId="77777777">
        <w:trPr>
          <w:trHeight w:val="946"/>
          <w:jc w:val="center"/>
        </w:trPr>
        <w:tc>
          <w:tcPr>
            <w:tcW w:w="497" w:type="dxa"/>
            <w:tcBorders>
              <w:top w:val="single" w:sz="4" w:space="0" w:color="auto"/>
              <w:left w:val="single" w:sz="4" w:space="0" w:color="auto"/>
              <w:bottom w:val="single" w:sz="4" w:space="0" w:color="auto"/>
              <w:right w:val="single" w:sz="4" w:space="0" w:color="auto"/>
            </w:tcBorders>
            <w:vAlign w:val="center"/>
          </w:tcPr>
          <w:p w14:paraId="26780500"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26</w:t>
            </w:r>
          </w:p>
        </w:tc>
        <w:tc>
          <w:tcPr>
            <w:tcW w:w="1428" w:type="dxa"/>
            <w:tcBorders>
              <w:top w:val="single" w:sz="4" w:space="0" w:color="auto"/>
              <w:left w:val="single" w:sz="4" w:space="0" w:color="auto"/>
              <w:bottom w:val="single" w:sz="4" w:space="0" w:color="auto"/>
              <w:right w:val="single" w:sz="4" w:space="0" w:color="auto"/>
            </w:tcBorders>
            <w:vAlign w:val="center"/>
          </w:tcPr>
          <w:p w14:paraId="6564A1C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小散工程和零星作业安全管理（3分）</w:t>
            </w:r>
          </w:p>
        </w:tc>
        <w:tc>
          <w:tcPr>
            <w:tcW w:w="4721" w:type="dxa"/>
            <w:tcBorders>
              <w:top w:val="single" w:sz="4" w:space="0" w:color="auto"/>
              <w:left w:val="single" w:sz="4" w:space="0" w:color="auto"/>
              <w:bottom w:val="single" w:sz="4" w:space="0" w:color="auto"/>
              <w:right w:val="single" w:sz="4" w:space="0" w:color="auto"/>
            </w:tcBorders>
            <w:vAlign w:val="center"/>
          </w:tcPr>
          <w:p w14:paraId="609EFB6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建立日常安全巡查制度，组织巡查小散工程施工和零星作业现场活动；（2）是否将小散工程或零星作业的有关注意事项、禁止行为、安全生产指引等内容提前告知建设单位或业主；（3）是否配合监管部门对小散工程和零星作业的监督；（4）是否对存在安全隐患或安全生产违法违规行为的，进行制止。</w:t>
            </w:r>
          </w:p>
        </w:tc>
        <w:tc>
          <w:tcPr>
            <w:tcW w:w="1075" w:type="dxa"/>
            <w:tcBorders>
              <w:top w:val="single" w:sz="4" w:space="0" w:color="auto"/>
              <w:left w:val="single" w:sz="4" w:space="0" w:color="auto"/>
              <w:bottom w:val="single" w:sz="4" w:space="0" w:color="auto"/>
              <w:right w:val="single" w:sz="4" w:space="0" w:color="auto"/>
            </w:tcBorders>
            <w:vAlign w:val="center"/>
          </w:tcPr>
          <w:p w14:paraId="4E205DE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w:t>
            </w:r>
          </w:p>
        </w:tc>
        <w:tc>
          <w:tcPr>
            <w:tcW w:w="2924" w:type="dxa"/>
            <w:tcBorders>
              <w:top w:val="single" w:sz="4" w:space="0" w:color="auto"/>
              <w:left w:val="single" w:sz="4" w:space="0" w:color="auto"/>
              <w:bottom w:val="single" w:sz="4" w:space="0" w:color="auto"/>
              <w:right w:val="single" w:sz="4" w:space="0" w:color="auto"/>
            </w:tcBorders>
            <w:vAlign w:val="center"/>
          </w:tcPr>
          <w:p w14:paraId="4ABFA14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《深圳市小散工程和零星作业安全生产纳管暂行办法》第九条、第十八条、第二十九条</w:t>
            </w:r>
          </w:p>
        </w:tc>
        <w:tc>
          <w:tcPr>
            <w:tcW w:w="3635" w:type="dxa"/>
            <w:tcBorders>
              <w:top w:val="single" w:sz="4" w:space="0" w:color="auto"/>
              <w:left w:val="single" w:sz="4" w:space="0" w:color="auto"/>
              <w:bottom w:val="single" w:sz="4" w:space="0" w:color="auto"/>
              <w:right w:val="single" w:sz="4" w:space="0" w:color="auto"/>
            </w:tcBorders>
            <w:vAlign w:val="center"/>
          </w:tcPr>
          <w:p w14:paraId="349A7D94" w14:textId="77777777" w:rsidR="00F805CB" w:rsidRDefault="00000000">
            <w:pPr>
              <w:pStyle w:val="a9"/>
              <w:rPr>
                <w:rFonts w:ascii="仿宋" w:eastAsia="仿宋" w:hAnsi="仿宋" w:cs="仿宋_GB2312" w:hint="eastAsia"/>
                <w:sz w:val="21"/>
                <w:szCs w:val="21"/>
              </w:rPr>
            </w:pPr>
            <w:proofErr w:type="gramStart"/>
            <w:r>
              <w:rPr>
                <w:rFonts w:ascii="仿宋" w:eastAsia="仿宋" w:hAnsi="仿宋" w:cs="仿宋_GB2312" w:hint="eastAsia"/>
                <w:sz w:val="21"/>
                <w:szCs w:val="21"/>
              </w:rPr>
              <w:t>未监督</w:t>
            </w:r>
            <w:proofErr w:type="gramEnd"/>
            <w:r>
              <w:rPr>
                <w:rFonts w:ascii="仿宋" w:eastAsia="仿宋" w:hAnsi="仿宋" w:cs="仿宋_GB2312" w:hint="eastAsia"/>
                <w:sz w:val="21"/>
                <w:szCs w:val="21"/>
              </w:rPr>
              <w:t>相关工程进行备案，扣1分；未安排日常巡查，无相关检查记录扣1分；未提前告知相关管理规定扣1分。</w:t>
            </w:r>
          </w:p>
        </w:tc>
        <w:tc>
          <w:tcPr>
            <w:tcW w:w="457" w:type="dxa"/>
            <w:tcBorders>
              <w:top w:val="single" w:sz="4" w:space="0" w:color="auto"/>
              <w:left w:val="single" w:sz="4" w:space="0" w:color="auto"/>
              <w:bottom w:val="single" w:sz="4" w:space="0" w:color="auto"/>
              <w:right w:val="single" w:sz="4" w:space="0" w:color="auto"/>
            </w:tcBorders>
          </w:tcPr>
          <w:p w14:paraId="25D0625F"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65A948D" w14:textId="77777777" w:rsidR="00F805CB" w:rsidRDefault="00F805CB">
            <w:pPr>
              <w:widowControl/>
              <w:rPr>
                <w:rFonts w:ascii="仿宋" w:eastAsia="仿宋" w:hAnsi="仿宋" w:cs="仿宋_GB2312" w:hint="eastAsia"/>
              </w:rPr>
            </w:pPr>
          </w:p>
        </w:tc>
      </w:tr>
      <w:tr w:rsidR="00F805CB" w14:paraId="3A794103" w14:textId="77777777">
        <w:trPr>
          <w:trHeight w:val="873"/>
          <w:jc w:val="center"/>
        </w:trPr>
        <w:tc>
          <w:tcPr>
            <w:tcW w:w="497" w:type="dxa"/>
            <w:tcBorders>
              <w:top w:val="single" w:sz="4" w:space="0" w:color="auto"/>
              <w:left w:val="single" w:sz="4" w:space="0" w:color="auto"/>
              <w:bottom w:val="single" w:sz="4" w:space="0" w:color="auto"/>
              <w:right w:val="single" w:sz="4" w:space="0" w:color="auto"/>
            </w:tcBorders>
            <w:vAlign w:val="center"/>
          </w:tcPr>
          <w:p w14:paraId="0C56001B"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27</w:t>
            </w:r>
          </w:p>
        </w:tc>
        <w:tc>
          <w:tcPr>
            <w:tcW w:w="1428" w:type="dxa"/>
            <w:tcBorders>
              <w:top w:val="single" w:sz="4" w:space="0" w:color="auto"/>
              <w:left w:val="single" w:sz="4" w:space="0" w:color="auto"/>
              <w:bottom w:val="single" w:sz="4" w:space="0" w:color="auto"/>
              <w:right w:val="single" w:sz="4" w:space="0" w:color="auto"/>
            </w:tcBorders>
            <w:vAlign w:val="center"/>
          </w:tcPr>
          <w:p w14:paraId="5A4EC22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“三防”安全管理（3分）</w:t>
            </w:r>
          </w:p>
        </w:tc>
        <w:tc>
          <w:tcPr>
            <w:tcW w:w="4721" w:type="dxa"/>
            <w:tcBorders>
              <w:top w:val="single" w:sz="4" w:space="0" w:color="auto"/>
              <w:left w:val="single" w:sz="4" w:space="0" w:color="auto"/>
              <w:bottom w:val="single" w:sz="4" w:space="0" w:color="auto"/>
              <w:right w:val="single" w:sz="4" w:space="0" w:color="auto"/>
            </w:tcBorders>
            <w:vAlign w:val="center"/>
          </w:tcPr>
          <w:p w14:paraId="1A7A604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（1）在台风、暴雨等特殊天气时，是否开展事前预警检查、事中应急响应、事后总结分析；是否开展防雷装置的日常维护及定期检测；是否做好物业管理区域内边坡、挡土墙的日常检查和应急处置；</w:t>
            </w:r>
          </w:p>
          <w:p w14:paraId="63CC5A0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（2）三防物资储备、抢险工具、应急设备是否满足需求；</w:t>
            </w:r>
          </w:p>
          <w:p w14:paraId="31A6E7BB"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（3）排水系统、排水泵等设施是否能正常工作。</w:t>
            </w:r>
          </w:p>
          <w:p w14:paraId="6B14D051" w14:textId="77777777" w:rsidR="00F805CB" w:rsidRDefault="00F805CB">
            <w:pPr>
              <w:pStyle w:val="a9"/>
              <w:rPr>
                <w:rFonts w:ascii="仿宋" w:eastAsia="仿宋" w:hAnsi="仿宋" w:cs="仿宋_GB2312" w:hint="eastAsia"/>
                <w:sz w:val="21"/>
                <w:szCs w:val="21"/>
              </w:rPr>
            </w:pPr>
          </w:p>
        </w:tc>
        <w:tc>
          <w:tcPr>
            <w:tcW w:w="1075" w:type="dxa"/>
            <w:tcBorders>
              <w:top w:val="single" w:sz="4" w:space="0" w:color="auto"/>
              <w:left w:val="single" w:sz="4" w:space="0" w:color="auto"/>
              <w:bottom w:val="single" w:sz="4" w:space="0" w:color="auto"/>
              <w:right w:val="single" w:sz="4" w:space="0" w:color="auto"/>
            </w:tcBorders>
            <w:vAlign w:val="center"/>
          </w:tcPr>
          <w:p w14:paraId="1888960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检查台账/现场查看</w:t>
            </w:r>
          </w:p>
        </w:tc>
        <w:tc>
          <w:tcPr>
            <w:tcW w:w="2924" w:type="dxa"/>
            <w:tcBorders>
              <w:top w:val="single" w:sz="4" w:space="0" w:color="auto"/>
              <w:left w:val="single" w:sz="4" w:space="0" w:color="auto"/>
              <w:bottom w:val="single" w:sz="4" w:space="0" w:color="auto"/>
              <w:right w:val="single" w:sz="4" w:space="0" w:color="auto"/>
            </w:tcBorders>
            <w:vAlign w:val="center"/>
          </w:tcPr>
          <w:p w14:paraId="4AF08C3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《深圳市住房和建设局关于印发〈2022年度物业管理安全生产工作要点〉的通知》《深圳市住房和建设局关于进一步配合做好物业管理区域内防雷减灾工作的通知》《物业管理区域防汛防灾工作要点（第二版）》 《物业管理区域汛期边坡、挡土墙巡查及应急处置要点》</w:t>
            </w:r>
          </w:p>
        </w:tc>
        <w:tc>
          <w:tcPr>
            <w:tcW w:w="3635" w:type="dxa"/>
            <w:tcBorders>
              <w:top w:val="single" w:sz="4" w:space="0" w:color="auto"/>
              <w:left w:val="single" w:sz="4" w:space="0" w:color="auto"/>
              <w:bottom w:val="single" w:sz="4" w:space="0" w:color="auto"/>
              <w:right w:val="single" w:sz="4" w:space="0" w:color="auto"/>
            </w:tcBorders>
            <w:vAlign w:val="center"/>
          </w:tcPr>
          <w:p w14:paraId="0941107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未建立防汛</w:t>
            </w:r>
            <w:proofErr w:type="gramStart"/>
            <w:r>
              <w:rPr>
                <w:rFonts w:ascii="仿宋" w:eastAsia="仿宋" w:hAnsi="仿宋" w:cs="仿宋_GB2312" w:hint="eastAsia"/>
                <w:sz w:val="21"/>
                <w:szCs w:val="21"/>
              </w:rPr>
              <w:t>备汛相关</w:t>
            </w:r>
            <w:proofErr w:type="gramEnd"/>
            <w:r>
              <w:rPr>
                <w:rFonts w:ascii="仿宋" w:eastAsia="仿宋" w:hAnsi="仿宋" w:cs="仿宋_GB2312" w:hint="eastAsia"/>
                <w:sz w:val="21"/>
                <w:szCs w:val="21"/>
              </w:rPr>
              <w:t>工作台账，每缺少一项扣0.5分，最多扣1分；现场督导每发现一处隐患扣0.5分，最多扣2分；</w:t>
            </w:r>
          </w:p>
        </w:tc>
        <w:tc>
          <w:tcPr>
            <w:tcW w:w="457" w:type="dxa"/>
            <w:tcBorders>
              <w:top w:val="single" w:sz="4" w:space="0" w:color="auto"/>
              <w:left w:val="single" w:sz="4" w:space="0" w:color="auto"/>
              <w:bottom w:val="single" w:sz="4" w:space="0" w:color="auto"/>
              <w:right w:val="single" w:sz="4" w:space="0" w:color="auto"/>
            </w:tcBorders>
          </w:tcPr>
          <w:p w14:paraId="2021C5A7"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AA86D63" w14:textId="77777777" w:rsidR="00F805CB" w:rsidRDefault="00F805CB">
            <w:pPr>
              <w:widowControl/>
              <w:rPr>
                <w:rFonts w:ascii="仿宋" w:eastAsia="仿宋" w:hAnsi="仿宋" w:cs="仿宋_GB2312" w:hint="eastAsia"/>
              </w:rPr>
            </w:pPr>
          </w:p>
        </w:tc>
      </w:tr>
      <w:tr w:rsidR="00F805CB" w14:paraId="5EB6917F" w14:textId="77777777">
        <w:trPr>
          <w:trHeight w:val="1754"/>
          <w:jc w:val="center"/>
        </w:trPr>
        <w:tc>
          <w:tcPr>
            <w:tcW w:w="497" w:type="dxa"/>
            <w:tcBorders>
              <w:top w:val="single" w:sz="4" w:space="0" w:color="auto"/>
              <w:left w:val="single" w:sz="4" w:space="0" w:color="auto"/>
              <w:bottom w:val="single" w:sz="4" w:space="0" w:color="auto"/>
              <w:right w:val="single" w:sz="4" w:space="0" w:color="auto"/>
            </w:tcBorders>
            <w:vAlign w:val="center"/>
          </w:tcPr>
          <w:p w14:paraId="58BFE5F5"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28</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tcPr>
          <w:p w14:paraId="54E5C7F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电动自行车安全管理（</w:t>
            </w:r>
            <w:r>
              <w:rPr>
                <w:rFonts w:ascii="仿宋" w:eastAsia="仿宋" w:hAnsi="仿宋" w:cs="仿宋_GB2312"/>
                <w:sz w:val="21"/>
                <w:szCs w:val="21"/>
              </w:rPr>
              <w:t>6</w:t>
            </w:r>
            <w:r>
              <w:rPr>
                <w:rFonts w:ascii="仿宋" w:eastAsia="仿宋" w:hAnsi="仿宋" w:cs="仿宋_GB2312" w:hint="eastAsia"/>
                <w:sz w:val="21"/>
                <w:szCs w:val="21"/>
              </w:rPr>
              <w:t>分）</w:t>
            </w:r>
          </w:p>
        </w:tc>
        <w:tc>
          <w:tcPr>
            <w:tcW w:w="4721" w:type="dxa"/>
            <w:tcBorders>
              <w:top w:val="single" w:sz="4" w:space="0" w:color="auto"/>
              <w:left w:val="single" w:sz="4" w:space="0" w:color="auto"/>
              <w:bottom w:val="single" w:sz="4" w:space="0" w:color="auto"/>
              <w:right w:val="single" w:sz="4" w:space="0" w:color="auto"/>
            </w:tcBorders>
            <w:shd w:val="clear" w:color="auto" w:fill="FFFFFF"/>
            <w:vAlign w:val="center"/>
          </w:tcPr>
          <w:p w14:paraId="0E36028A"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1.是否明确物业管理区域按照消防技术标准，设置电动自行车集中管理、集中停放区域；</w:t>
            </w:r>
            <w:r>
              <w:rPr>
                <w:rFonts w:ascii="仿宋" w:eastAsia="仿宋" w:hAnsi="仿宋" w:cs="仿宋_GB2312" w:hint="eastAsia"/>
                <w:sz w:val="21"/>
                <w:szCs w:val="21"/>
              </w:rPr>
              <w:br/>
              <w:t>2.电动自行车是否停放在楼梯间、楼道、疏散通道、安全出口等影响安全区域的；是否在电动自行车、电动摩托车集中充电场所存放易燃、可燃物品。</w:t>
            </w:r>
          </w:p>
          <w:p w14:paraId="490C228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3.电动自行车是否违规进楼入户充电及“飞线充电”。</w:t>
            </w:r>
          </w:p>
          <w:p w14:paraId="7194757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lastRenderedPageBreak/>
              <w:t>4.开展日常安全巡查，发现违规停放、充电行为履行发现劝阻报告职责。</w:t>
            </w:r>
          </w:p>
        </w:tc>
        <w:tc>
          <w:tcPr>
            <w:tcW w:w="1075" w:type="dxa"/>
            <w:tcBorders>
              <w:top w:val="single" w:sz="4" w:space="0" w:color="auto"/>
              <w:left w:val="single" w:sz="4" w:space="0" w:color="auto"/>
              <w:bottom w:val="single" w:sz="4" w:space="0" w:color="auto"/>
              <w:right w:val="single" w:sz="4" w:space="0" w:color="auto"/>
            </w:tcBorders>
            <w:vAlign w:val="center"/>
          </w:tcPr>
          <w:p w14:paraId="676A744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lastRenderedPageBreak/>
              <w:t>检查台账/现场查看</w:t>
            </w:r>
          </w:p>
        </w:tc>
        <w:tc>
          <w:tcPr>
            <w:tcW w:w="2924" w:type="dxa"/>
            <w:tcBorders>
              <w:top w:val="single" w:sz="4" w:space="0" w:color="auto"/>
              <w:left w:val="single" w:sz="4" w:space="0" w:color="auto"/>
              <w:bottom w:val="single" w:sz="4" w:space="0" w:color="auto"/>
              <w:right w:val="single" w:sz="4" w:space="0" w:color="auto"/>
            </w:tcBorders>
            <w:vAlign w:val="center"/>
          </w:tcPr>
          <w:p w14:paraId="79FC786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《高层民用建筑消防安全管理规定》第三十七条；《广东省消防工作若干规定》第三十条</w:t>
            </w:r>
          </w:p>
        </w:tc>
        <w:tc>
          <w:tcPr>
            <w:tcW w:w="3635" w:type="dxa"/>
            <w:tcBorders>
              <w:top w:val="single" w:sz="4" w:space="0" w:color="auto"/>
              <w:left w:val="single" w:sz="4" w:space="0" w:color="auto"/>
              <w:bottom w:val="single" w:sz="4" w:space="0" w:color="auto"/>
              <w:right w:val="single" w:sz="4" w:space="0" w:color="auto"/>
            </w:tcBorders>
            <w:vAlign w:val="center"/>
          </w:tcPr>
          <w:p w14:paraId="65A2E2E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未按消防技术标准设置集中停放、充电区域的扣1分；停放在楼梯间、楼道、疏散通道、安全出口等影响安全区域的，每处扣0.5分，最多扣</w:t>
            </w:r>
            <w:r>
              <w:rPr>
                <w:rFonts w:ascii="仿宋" w:eastAsia="仿宋" w:hAnsi="仿宋" w:cs="仿宋_GB2312" w:hint="eastAsia"/>
                <w:color w:val="FF0000"/>
                <w:sz w:val="21"/>
                <w:szCs w:val="21"/>
              </w:rPr>
              <w:t>1</w:t>
            </w:r>
            <w:r>
              <w:rPr>
                <w:rFonts w:ascii="仿宋" w:eastAsia="仿宋" w:hAnsi="仿宋" w:cs="仿宋_GB2312" w:hint="eastAsia"/>
                <w:sz w:val="21"/>
                <w:szCs w:val="21"/>
              </w:rPr>
              <w:t>分；违规进楼入户充电，“飞线充电”的，每处扣0.5分，最多扣</w:t>
            </w:r>
            <w:r>
              <w:rPr>
                <w:rFonts w:ascii="仿宋" w:eastAsia="仿宋" w:hAnsi="仿宋" w:cs="仿宋_GB2312" w:hint="eastAsia"/>
                <w:color w:val="FF0000"/>
                <w:sz w:val="21"/>
                <w:szCs w:val="21"/>
              </w:rPr>
              <w:t>1</w:t>
            </w:r>
            <w:r>
              <w:rPr>
                <w:rFonts w:ascii="仿宋" w:eastAsia="仿宋" w:hAnsi="仿宋" w:cs="仿宋_GB2312" w:hint="eastAsia"/>
                <w:sz w:val="21"/>
                <w:szCs w:val="21"/>
              </w:rPr>
              <w:t>分；未开展日常安全巡查的，扣1分；未履行发现劝阻报告职责的，一次口1分，最多扣</w:t>
            </w:r>
            <w:r>
              <w:rPr>
                <w:rFonts w:ascii="仿宋" w:eastAsia="仿宋" w:hAnsi="仿宋" w:cs="仿宋_GB2312" w:hint="eastAsia"/>
                <w:color w:val="FF0000"/>
                <w:sz w:val="21"/>
                <w:szCs w:val="21"/>
              </w:rPr>
              <w:t>2</w:t>
            </w:r>
            <w:r>
              <w:rPr>
                <w:rFonts w:ascii="仿宋" w:eastAsia="仿宋" w:hAnsi="仿宋" w:cs="仿宋_GB2312" w:hint="eastAsia"/>
                <w:sz w:val="21"/>
                <w:szCs w:val="21"/>
              </w:rPr>
              <w:t>分。</w:t>
            </w:r>
          </w:p>
        </w:tc>
        <w:tc>
          <w:tcPr>
            <w:tcW w:w="457" w:type="dxa"/>
            <w:tcBorders>
              <w:top w:val="single" w:sz="4" w:space="0" w:color="auto"/>
              <w:left w:val="single" w:sz="4" w:space="0" w:color="auto"/>
              <w:bottom w:val="single" w:sz="4" w:space="0" w:color="auto"/>
              <w:right w:val="single" w:sz="4" w:space="0" w:color="auto"/>
            </w:tcBorders>
          </w:tcPr>
          <w:p w14:paraId="34E689B6"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B3DD8E5" w14:textId="77777777" w:rsidR="00F805CB" w:rsidRDefault="00F805CB">
            <w:pPr>
              <w:widowControl/>
              <w:rPr>
                <w:rFonts w:ascii="仿宋" w:eastAsia="仿宋" w:hAnsi="仿宋" w:cs="仿宋_GB2312" w:hint="eastAsia"/>
              </w:rPr>
            </w:pPr>
          </w:p>
        </w:tc>
      </w:tr>
      <w:tr w:rsidR="00F805CB" w14:paraId="7CD2A743" w14:textId="77777777">
        <w:trPr>
          <w:trHeight w:val="1975"/>
          <w:jc w:val="center"/>
        </w:trPr>
        <w:tc>
          <w:tcPr>
            <w:tcW w:w="497" w:type="dxa"/>
            <w:tcBorders>
              <w:top w:val="single" w:sz="4" w:space="0" w:color="auto"/>
              <w:left w:val="single" w:sz="4" w:space="0" w:color="auto"/>
              <w:bottom w:val="single" w:sz="4" w:space="0" w:color="auto"/>
              <w:right w:val="single" w:sz="4" w:space="0" w:color="auto"/>
            </w:tcBorders>
            <w:vAlign w:val="center"/>
          </w:tcPr>
          <w:p w14:paraId="1CF899D8"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29</w:t>
            </w:r>
          </w:p>
        </w:tc>
        <w:tc>
          <w:tcPr>
            <w:tcW w:w="1428" w:type="dxa"/>
            <w:tcBorders>
              <w:top w:val="single" w:sz="4" w:space="0" w:color="auto"/>
              <w:left w:val="single" w:sz="4" w:space="0" w:color="auto"/>
              <w:bottom w:val="single" w:sz="4" w:space="0" w:color="auto"/>
              <w:right w:val="single" w:sz="4" w:space="0" w:color="auto"/>
            </w:tcBorders>
            <w:vAlign w:val="center"/>
          </w:tcPr>
          <w:p w14:paraId="0832ABB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电气火灾安全管理（2分）</w:t>
            </w:r>
          </w:p>
        </w:tc>
        <w:tc>
          <w:tcPr>
            <w:tcW w:w="4721" w:type="dxa"/>
            <w:tcBorders>
              <w:top w:val="single" w:sz="4" w:space="0" w:color="auto"/>
              <w:left w:val="single" w:sz="4" w:space="0" w:color="auto"/>
              <w:bottom w:val="single" w:sz="4" w:space="0" w:color="auto"/>
              <w:right w:val="single" w:sz="4" w:space="0" w:color="auto"/>
            </w:tcBorders>
            <w:vAlign w:val="center"/>
          </w:tcPr>
          <w:p w14:paraId="1AF35B5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1.公共区域电气线路的铺设方式是否规范、保护措施欠缺，导线绝缘层破损、老化现象的；</w:t>
            </w:r>
          </w:p>
          <w:p w14:paraId="0502C3E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2.配电柜、电缆井等部分防火封堵是否规范的；</w:t>
            </w:r>
          </w:p>
          <w:p w14:paraId="56219B4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3.公共区域电气设施设备是否设置安全警示标标识的。</w:t>
            </w:r>
          </w:p>
        </w:tc>
        <w:tc>
          <w:tcPr>
            <w:tcW w:w="1075" w:type="dxa"/>
            <w:tcBorders>
              <w:top w:val="single" w:sz="4" w:space="0" w:color="auto"/>
              <w:left w:val="single" w:sz="4" w:space="0" w:color="auto"/>
              <w:bottom w:val="single" w:sz="4" w:space="0" w:color="auto"/>
              <w:right w:val="single" w:sz="4" w:space="0" w:color="auto"/>
            </w:tcBorders>
            <w:vAlign w:val="center"/>
          </w:tcPr>
          <w:p w14:paraId="624FCFE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现场查看</w:t>
            </w:r>
          </w:p>
        </w:tc>
        <w:tc>
          <w:tcPr>
            <w:tcW w:w="2924" w:type="dxa"/>
            <w:tcBorders>
              <w:top w:val="single" w:sz="4" w:space="0" w:color="auto"/>
              <w:left w:val="single" w:sz="4" w:space="0" w:color="auto"/>
              <w:bottom w:val="single" w:sz="4" w:space="0" w:color="auto"/>
              <w:right w:val="single" w:sz="4" w:space="0" w:color="auto"/>
            </w:tcBorders>
            <w:vAlign w:val="center"/>
          </w:tcPr>
          <w:p w14:paraId="2AE6F50F"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《高层民用建筑消防安全管理规定》第二十条；</w:t>
            </w:r>
          </w:p>
        </w:tc>
        <w:tc>
          <w:tcPr>
            <w:tcW w:w="3635" w:type="dxa"/>
            <w:tcBorders>
              <w:top w:val="single" w:sz="4" w:space="0" w:color="auto"/>
              <w:left w:val="single" w:sz="4" w:space="0" w:color="auto"/>
              <w:bottom w:val="single" w:sz="4" w:space="0" w:color="auto"/>
              <w:right w:val="single" w:sz="4" w:space="0" w:color="auto"/>
            </w:tcBorders>
            <w:vAlign w:val="center"/>
          </w:tcPr>
          <w:p w14:paraId="7953FFC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电气线路的铺设方式不规范、保护措施欠缺，导线绝缘层破损、老化现象，配电柜、电缆井等部分防火封堵不规范的，每处扣0.5分，最多扣1分；未设置安全警示标志的，每处扣0.5分，最多扣1分。</w:t>
            </w:r>
          </w:p>
        </w:tc>
        <w:tc>
          <w:tcPr>
            <w:tcW w:w="457" w:type="dxa"/>
            <w:tcBorders>
              <w:top w:val="single" w:sz="4" w:space="0" w:color="auto"/>
              <w:left w:val="single" w:sz="4" w:space="0" w:color="auto"/>
              <w:bottom w:val="single" w:sz="4" w:space="0" w:color="auto"/>
              <w:right w:val="single" w:sz="4" w:space="0" w:color="auto"/>
            </w:tcBorders>
          </w:tcPr>
          <w:p w14:paraId="2687C856"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21D65AE" w14:textId="77777777" w:rsidR="00F805CB" w:rsidRDefault="00F805CB">
            <w:pPr>
              <w:widowControl/>
              <w:rPr>
                <w:rFonts w:ascii="仿宋" w:eastAsia="仿宋" w:hAnsi="仿宋" w:cs="仿宋_GB2312" w:hint="eastAsia"/>
              </w:rPr>
            </w:pPr>
          </w:p>
        </w:tc>
      </w:tr>
      <w:tr w:rsidR="00F805CB" w14:paraId="6DC7246B" w14:textId="77777777">
        <w:trPr>
          <w:trHeight w:val="2270"/>
          <w:jc w:val="center"/>
        </w:trPr>
        <w:tc>
          <w:tcPr>
            <w:tcW w:w="497" w:type="dxa"/>
            <w:tcBorders>
              <w:top w:val="single" w:sz="4" w:space="0" w:color="auto"/>
              <w:left w:val="single" w:sz="4" w:space="0" w:color="auto"/>
              <w:bottom w:val="single" w:sz="4" w:space="0" w:color="auto"/>
              <w:right w:val="single" w:sz="4" w:space="0" w:color="auto"/>
            </w:tcBorders>
            <w:vAlign w:val="center"/>
          </w:tcPr>
          <w:p w14:paraId="3867BA7D"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3</w:t>
            </w:r>
            <w:r>
              <w:rPr>
                <w:rFonts w:ascii="仿宋" w:eastAsia="仿宋" w:hAnsi="仿宋" w:cs="仿宋_GB2312"/>
                <w:sz w:val="21"/>
                <w:szCs w:val="21"/>
              </w:rPr>
              <w:t>0</w:t>
            </w:r>
          </w:p>
        </w:tc>
        <w:tc>
          <w:tcPr>
            <w:tcW w:w="1428" w:type="dxa"/>
            <w:tcBorders>
              <w:top w:val="single" w:sz="4" w:space="0" w:color="auto"/>
              <w:left w:val="single" w:sz="4" w:space="0" w:color="auto"/>
              <w:bottom w:val="single" w:sz="4" w:space="0" w:color="auto"/>
              <w:right w:val="single" w:sz="4" w:space="0" w:color="auto"/>
            </w:tcBorders>
            <w:vAlign w:val="center"/>
          </w:tcPr>
          <w:p w14:paraId="7E6A1EB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燃气安全管理（2分）</w:t>
            </w:r>
          </w:p>
        </w:tc>
        <w:tc>
          <w:tcPr>
            <w:tcW w:w="4721" w:type="dxa"/>
            <w:tcBorders>
              <w:top w:val="single" w:sz="4" w:space="0" w:color="auto"/>
              <w:left w:val="single" w:sz="4" w:space="0" w:color="auto"/>
              <w:bottom w:val="single" w:sz="4" w:space="0" w:color="auto"/>
              <w:right w:val="single" w:sz="4" w:space="0" w:color="auto"/>
            </w:tcBorders>
            <w:vAlign w:val="center"/>
          </w:tcPr>
          <w:p w14:paraId="4828E2AA" w14:textId="3B1538C5"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指定专人接受燃气安全知识培训并开展宣传活动；2、对共用燃气管道及设施进行日常巡查；3、协助燃气企业开展燃气管道及设施维护、抢修、安全检查（含入户安全检查）以及抄表工作；4、是否违规使用瓶装液化气；5、疑似</w:t>
            </w:r>
            <w:r w:rsidR="00E2157B" w:rsidRPr="00E2157B">
              <w:rPr>
                <w:rFonts w:ascii="仿宋" w:eastAsia="仿宋" w:hAnsi="仿宋" w:cs="仿宋_GB2312" w:hint="eastAsia"/>
                <w:sz w:val="21"/>
                <w:szCs w:val="21"/>
              </w:rPr>
              <w:t>燃气泄漏</w:t>
            </w:r>
            <w:r>
              <w:rPr>
                <w:rFonts w:ascii="仿宋" w:eastAsia="仿宋" w:hAnsi="仿宋" w:cs="仿宋_GB2312" w:hint="eastAsia"/>
                <w:sz w:val="21"/>
                <w:szCs w:val="21"/>
              </w:rPr>
              <w:t>隐患问题举报投诉是否得到有效解决；6、是否组织开展燃气应急演练；</w:t>
            </w:r>
          </w:p>
        </w:tc>
        <w:tc>
          <w:tcPr>
            <w:tcW w:w="1075" w:type="dxa"/>
            <w:tcBorders>
              <w:top w:val="single" w:sz="4" w:space="0" w:color="auto"/>
              <w:left w:val="single" w:sz="4" w:space="0" w:color="auto"/>
              <w:bottom w:val="single" w:sz="4" w:space="0" w:color="auto"/>
              <w:right w:val="single" w:sz="4" w:space="0" w:color="auto"/>
            </w:tcBorders>
            <w:vAlign w:val="center"/>
          </w:tcPr>
          <w:p w14:paraId="638C769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检查台账、现场检查</w:t>
            </w:r>
          </w:p>
        </w:tc>
        <w:tc>
          <w:tcPr>
            <w:tcW w:w="2924" w:type="dxa"/>
            <w:tcBorders>
              <w:top w:val="single" w:sz="4" w:space="0" w:color="auto"/>
              <w:left w:val="single" w:sz="4" w:space="0" w:color="auto"/>
              <w:bottom w:val="single" w:sz="4" w:space="0" w:color="auto"/>
              <w:right w:val="single" w:sz="4" w:space="0" w:color="auto"/>
            </w:tcBorders>
            <w:vAlign w:val="center"/>
          </w:tcPr>
          <w:p w14:paraId="1EAE48B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《深圳经济特区城市燃气管理条例》</w:t>
            </w:r>
          </w:p>
        </w:tc>
        <w:tc>
          <w:tcPr>
            <w:tcW w:w="3635" w:type="dxa"/>
            <w:tcBorders>
              <w:top w:val="single" w:sz="4" w:space="0" w:color="auto"/>
              <w:left w:val="single" w:sz="4" w:space="0" w:color="auto"/>
              <w:bottom w:val="single" w:sz="4" w:space="0" w:color="auto"/>
              <w:right w:val="single" w:sz="4" w:space="0" w:color="auto"/>
            </w:tcBorders>
            <w:vAlign w:val="center"/>
          </w:tcPr>
          <w:p w14:paraId="1F2931E2" w14:textId="3B37C14B"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未指定专人接受燃气安全知识培训并开展宣传活动扣1分；2、未对共用燃气管道及设施进行日常巡查的扣1分；3、未协助燃气企业开展燃气管道及设施维护、抢修、安全检查（含入户安全检查）以及抄表工作扣1分；4、违规使用瓶装液化气扣1分；5、疑似</w:t>
            </w:r>
            <w:r w:rsidR="00E2157B" w:rsidRPr="00E2157B">
              <w:rPr>
                <w:rFonts w:ascii="仿宋" w:eastAsia="仿宋" w:hAnsi="仿宋" w:cs="仿宋_GB2312" w:hint="eastAsia"/>
                <w:sz w:val="21"/>
                <w:szCs w:val="21"/>
              </w:rPr>
              <w:t>燃气泄漏</w:t>
            </w:r>
            <w:r>
              <w:rPr>
                <w:rFonts w:ascii="仿宋" w:eastAsia="仿宋" w:hAnsi="仿宋" w:cs="仿宋_GB2312" w:hint="eastAsia"/>
                <w:sz w:val="21"/>
                <w:szCs w:val="21"/>
              </w:rPr>
              <w:t>隐患问题举报投诉未得到有效解决扣1分；6、未组织开展燃气应急演练扣1分；最多扣2分。</w:t>
            </w:r>
          </w:p>
        </w:tc>
        <w:tc>
          <w:tcPr>
            <w:tcW w:w="457" w:type="dxa"/>
            <w:tcBorders>
              <w:top w:val="single" w:sz="4" w:space="0" w:color="auto"/>
              <w:left w:val="single" w:sz="4" w:space="0" w:color="auto"/>
              <w:bottom w:val="single" w:sz="4" w:space="0" w:color="auto"/>
              <w:right w:val="single" w:sz="4" w:space="0" w:color="auto"/>
            </w:tcBorders>
          </w:tcPr>
          <w:p w14:paraId="0A6B7FED"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59174BE3" w14:textId="77777777" w:rsidR="00F805CB" w:rsidRDefault="00F805CB">
            <w:pPr>
              <w:widowControl/>
              <w:rPr>
                <w:rFonts w:ascii="仿宋" w:eastAsia="仿宋" w:hAnsi="仿宋" w:cs="仿宋_GB2312" w:hint="eastAsia"/>
              </w:rPr>
            </w:pPr>
          </w:p>
        </w:tc>
      </w:tr>
      <w:tr w:rsidR="00F805CB" w14:paraId="30DA4736" w14:textId="77777777">
        <w:trPr>
          <w:trHeight w:val="1840"/>
          <w:jc w:val="center"/>
        </w:trPr>
        <w:tc>
          <w:tcPr>
            <w:tcW w:w="497" w:type="dxa"/>
            <w:tcBorders>
              <w:top w:val="single" w:sz="4" w:space="0" w:color="auto"/>
              <w:left w:val="single" w:sz="4" w:space="0" w:color="auto"/>
              <w:bottom w:val="single" w:sz="4" w:space="0" w:color="auto"/>
              <w:right w:val="single" w:sz="4" w:space="0" w:color="auto"/>
            </w:tcBorders>
            <w:vAlign w:val="center"/>
          </w:tcPr>
          <w:p w14:paraId="0BCD1EBA"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3</w:t>
            </w:r>
            <w:r>
              <w:rPr>
                <w:rFonts w:ascii="仿宋" w:eastAsia="仿宋" w:hAnsi="仿宋" w:cs="仿宋_GB2312"/>
                <w:sz w:val="21"/>
                <w:szCs w:val="21"/>
              </w:rPr>
              <w:t>1</w:t>
            </w:r>
          </w:p>
        </w:tc>
        <w:tc>
          <w:tcPr>
            <w:tcW w:w="1428" w:type="dxa"/>
            <w:tcBorders>
              <w:top w:val="single" w:sz="4" w:space="0" w:color="auto"/>
              <w:left w:val="single" w:sz="4" w:space="0" w:color="auto"/>
              <w:bottom w:val="single" w:sz="4" w:space="0" w:color="auto"/>
              <w:right w:val="single" w:sz="4" w:space="0" w:color="auto"/>
            </w:tcBorders>
            <w:vAlign w:val="center"/>
          </w:tcPr>
          <w:p w14:paraId="572070CE"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娱乐设施</w:t>
            </w:r>
          </w:p>
          <w:p w14:paraId="12946143"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（2分）</w:t>
            </w:r>
          </w:p>
        </w:tc>
        <w:tc>
          <w:tcPr>
            <w:tcW w:w="4721" w:type="dxa"/>
            <w:tcBorders>
              <w:top w:val="single" w:sz="4" w:space="0" w:color="auto"/>
              <w:left w:val="single" w:sz="4" w:space="0" w:color="auto"/>
              <w:bottom w:val="single" w:sz="4" w:space="0" w:color="auto"/>
              <w:right w:val="single" w:sz="4" w:space="0" w:color="auto"/>
            </w:tcBorders>
            <w:vAlign w:val="center"/>
          </w:tcPr>
          <w:p w14:paraId="6163F35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（1）建立定期对娱乐设施的巡查、养护、维修制度。（2）对于有安全隐患的设备设施，采取应急防范措施、设置警示标示。</w:t>
            </w:r>
          </w:p>
        </w:tc>
        <w:tc>
          <w:tcPr>
            <w:tcW w:w="1075" w:type="dxa"/>
            <w:tcBorders>
              <w:top w:val="single" w:sz="4" w:space="0" w:color="auto"/>
              <w:left w:val="single" w:sz="4" w:space="0" w:color="auto"/>
              <w:bottom w:val="single" w:sz="4" w:space="0" w:color="auto"/>
              <w:right w:val="single" w:sz="4" w:space="0" w:color="auto"/>
            </w:tcBorders>
            <w:vAlign w:val="center"/>
          </w:tcPr>
          <w:p w14:paraId="527A828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检查台账、现场抽查检查</w:t>
            </w:r>
          </w:p>
        </w:tc>
        <w:tc>
          <w:tcPr>
            <w:tcW w:w="2924" w:type="dxa"/>
            <w:tcBorders>
              <w:top w:val="single" w:sz="4" w:space="0" w:color="auto"/>
              <w:left w:val="single" w:sz="4" w:space="0" w:color="auto"/>
              <w:bottom w:val="single" w:sz="4" w:space="0" w:color="auto"/>
              <w:right w:val="single" w:sz="4" w:space="0" w:color="auto"/>
            </w:tcBorders>
            <w:vAlign w:val="center"/>
          </w:tcPr>
          <w:p w14:paraId="40EE6AE8"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《部分新业态新领域安全生产工作职责》的通知</w:t>
            </w:r>
          </w:p>
        </w:tc>
        <w:tc>
          <w:tcPr>
            <w:tcW w:w="3635" w:type="dxa"/>
            <w:tcBorders>
              <w:top w:val="single" w:sz="4" w:space="0" w:color="auto"/>
              <w:left w:val="single" w:sz="4" w:space="0" w:color="auto"/>
              <w:bottom w:val="single" w:sz="4" w:space="0" w:color="auto"/>
              <w:right w:val="single" w:sz="4" w:space="0" w:color="auto"/>
            </w:tcBorders>
            <w:vAlign w:val="center"/>
          </w:tcPr>
          <w:p w14:paraId="15881569"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未建立娱乐设施安全管理制度，扣1分；未对存在安全隐患的位置采取相关措施，每发现一处，扣0.5分，最多扣1分。</w:t>
            </w:r>
          </w:p>
        </w:tc>
        <w:tc>
          <w:tcPr>
            <w:tcW w:w="457" w:type="dxa"/>
            <w:tcBorders>
              <w:top w:val="single" w:sz="4" w:space="0" w:color="auto"/>
              <w:left w:val="single" w:sz="4" w:space="0" w:color="auto"/>
              <w:bottom w:val="single" w:sz="4" w:space="0" w:color="auto"/>
              <w:right w:val="single" w:sz="4" w:space="0" w:color="auto"/>
            </w:tcBorders>
          </w:tcPr>
          <w:p w14:paraId="20AA096E"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363881DA" w14:textId="77777777" w:rsidR="00F805CB" w:rsidRDefault="00F805CB">
            <w:pPr>
              <w:widowControl/>
              <w:rPr>
                <w:rFonts w:ascii="仿宋" w:eastAsia="仿宋" w:hAnsi="仿宋" w:cs="仿宋_GB2312" w:hint="eastAsia"/>
              </w:rPr>
            </w:pPr>
          </w:p>
        </w:tc>
      </w:tr>
      <w:tr w:rsidR="00F805CB" w14:paraId="03CD9355" w14:textId="77777777">
        <w:trPr>
          <w:trHeight w:val="1840"/>
          <w:jc w:val="center"/>
        </w:trPr>
        <w:tc>
          <w:tcPr>
            <w:tcW w:w="497" w:type="dxa"/>
            <w:tcBorders>
              <w:top w:val="single" w:sz="4" w:space="0" w:color="auto"/>
              <w:left w:val="single" w:sz="4" w:space="0" w:color="auto"/>
              <w:bottom w:val="single" w:sz="4" w:space="0" w:color="auto"/>
              <w:right w:val="single" w:sz="4" w:space="0" w:color="auto"/>
            </w:tcBorders>
            <w:vAlign w:val="center"/>
          </w:tcPr>
          <w:p w14:paraId="40EAB33E"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lastRenderedPageBreak/>
              <w:t>3</w:t>
            </w:r>
            <w:r>
              <w:rPr>
                <w:rFonts w:ascii="仿宋" w:eastAsia="仿宋" w:hAnsi="仿宋" w:cs="仿宋_GB2312"/>
                <w:sz w:val="21"/>
                <w:szCs w:val="21"/>
              </w:rPr>
              <w:t>2</w:t>
            </w:r>
          </w:p>
        </w:tc>
        <w:tc>
          <w:tcPr>
            <w:tcW w:w="1428" w:type="dxa"/>
            <w:tcBorders>
              <w:top w:val="single" w:sz="4" w:space="0" w:color="auto"/>
              <w:left w:val="single" w:sz="4" w:space="0" w:color="auto"/>
              <w:bottom w:val="single" w:sz="4" w:space="0" w:color="auto"/>
              <w:right w:val="single" w:sz="4" w:space="0" w:color="auto"/>
            </w:tcBorders>
            <w:vAlign w:val="center"/>
          </w:tcPr>
          <w:p w14:paraId="06EB1616"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上级文件执行</w:t>
            </w:r>
          </w:p>
          <w:p w14:paraId="03BB0531"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（2分）</w:t>
            </w:r>
          </w:p>
        </w:tc>
        <w:tc>
          <w:tcPr>
            <w:tcW w:w="4721" w:type="dxa"/>
            <w:tcBorders>
              <w:top w:val="single" w:sz="4" w:space="0" w:color="auto"/>
              <w:left w:val="single" w:sz="4" w:space="0" w:color="auto"/>
              <w:bottom w:val="single" w:sz="4" w:space="0" w:color="auto"/>
              <w:right w:val="single" w:sz="4" w:space="0" w:color="auto"/>
            </w:tcBorders>
            <w:vAlign w:val="center"/>
          </w:tcPr>
          <w:p w14:paraId="38C2C8F2"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是否对物业主管及相关上级部门文件进行落实。</w:t>
            </w:r>
          </w:p>
        </w:tc>
        <w:tc>
          <w:tcPr>
            <w:tcW w:w="1075" w:type="dxa"/>
            <w:tcBorders>
              <w:top w:val="single" w:sz="4" w:space="0" w:color="auto"/>
              <w:left w:val="single" w:sz="4" w:space="0" w:color="auto"/>
              <w:bottom w:val="single" w:sz="4" w:space="0" w:color="auto"/>
              <w:right w:val="single" w:sz="4" w:space="0" w:color="auto"/>
            </w:tcBorders>
            <w:vAlign w:val="center"/>
          </w:tcPr>
          <w:p w14:paraId="23A3C2D5"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查阅档案</w:t>
            </w:r>
          </w:p>
        </w:tc>
        <w:tc>
          <w:tcPr>
            <w:tcW w:w="2924" w:type="dxa"/>
            <w:tcBorders>
              <w:top w:val="single" w:sz="4" w:space="0" w:color="auto"/>
              <w:left w:val="single" w:sz="4" w:space="0" w:color="auto"/>
              <w:bottom w:val="single" w:sz="4" w:space="0" w:color="auto"/>
              <w:right w:val="single" w:sz="4" w:space="0" w:color="auto"/>
            </w:tcBorders>
            <w:vAlign w:val="center"/>
          </w:tcPr>
          <w:p w14:paraId="5C7633D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南山区住房和建设局和相关部门对物业服务企业下发的安全管理文件</w:t>
            </w:r>
          </w:p>
        </w:tc>
        <w:tc>
          <w:tcPr>
            <w:tcW w:w="3635" w:type="dxa"/>
            <w:tcBorders>
              <w:top w:val="single" w:sz="4" w:space="0" w:color="auto"/>
              <w:left w:val="single" w:sz="4" w:space="0" w:color="auto"/>
              <w:bottom w:val="single" w:sz="4" w:space="0" w:color="auto"/>
              <w:right w:val="single" w:sz="4" w:space="0" w:color="auto"/>
            </w:tcBorders>
            <w:vAlign w:val="center"/>
          </w:tcPr>
          <w:p w14:paraId="3DAF2CAC"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根据项目的风险特征，现场抽查上级下发文件的落实情况，少执行一项扣0.5分，最多扣2分。</w:t>
            </w:r>
          </w:p>
        </w:tc>
        <w:tc>
          <w:tcPr>
            <w:tcW w:w="457" w:type="dxa"/>
            <w:tcBorders>
              <w:top w:val="single" w:sz="4" w:space="0" w:color="auto"/>
              <w:left w:val="single" w:sz="4" w:space="0" w:color="auto"/>
              <w:bottom w:val="single" w:sz="4" w:space="0" w:color="auto"/>
              <w:right w:val="single" w:sz="4" w:space="0" w:color="auto"/>
            </w:tcBorders>
          </w:tcPr>
          <w:p w14:paraId="0451A877" w14:textId="77777777" w:rsidR="00F805CB" w:rsidRDefault="00F805CB">
            <w:pPr>
              <w:pStyle w:val="a9"/>
              <w:rPr>
                <w:rFonts w:ascii="仿宋" w:eastAsia="仿宋" w:hAnsi="仿宋" w:cs="仿宋_GB2312" w:hint="eastAsia"/>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BB898DF" w14:textId="77777777" w:rsidR="00F805CB" w:rsidRDefault="00F805CB">
            <w:pPr>
              <w:widowControl/>
              <w:rPr>
                <w:rFonts w:ascii="仿宋" w:eastAsia="仿宋" w:hAnsi="仿宋" w:cs="仿宋_GB2312" w:hint="eastAsia"/>
              </w:rPr>
            </w:pPr>
          </w:p>
        </w:tc>
      </w:tr>
      <w:tr w:rsidR="00F805CB" w14:paraId="0F4C9ACF" w14:textId="77777777">
        <w:trPr>
          <w:trHeight w:val="1840"/>
          <w:jc w:val="center"/>
        </w:trPr>
        <w:tc>
          <w:tcPr>
            <w:tcW w:w="497" w:type="dxa"/>
            <w:tcBorders>
              <w:top w:val="single" w:sz="4" w:space="0" w:color="auto"/>
              <w:left w:val="single" w:sz="4" w:space="0" w:color="auto"/>
              <w:bottom w:val="single" w:sz="4" w:space="0" w:color="auto"/>
              <w:right w:val="single" w:sz="4" w:space="0" w:color="auto"/>
            </w:tcBorders>
            <w:vAlign w:val="center"/>
          </w:tcPr>
          <w:p w14:paraId="0099E213" w14:textId="77777777" w:rsidR="00F805CB" w:rsidRDefault="00000000">
            <w:pPr>
              <w:pStyle w:val="a9"/>
              <w:spacing w:after="150"/>
              <w:jc w:val="center"/>
              <w:rPr>
                <w:rFonts w:ascii="仿宋" w:eastAsia="仿宋" w:hAnsi="仿宋" w:cs="仿宋_GB2312" w:hint="eastAsia"/>
                <w:sz w:val="21"/>
                <w:szCs w:val="21"/>
              </w:rPr>
            </w:pPr>
            <w:r>
              <w:rPr>
                <w:rFonts w:ascii="仿宋" w:eastAsia="仿宋" w:hAnsi="仿宋" w:cs="仿宋_GB2312" w:hint="eastAsia"/>
                <w:sz w:val="21"/>
                <w:szCs w:val="21"/>
              </w:rPr>
              <w:t>3</w:t>
            </w:r>
            <w:r>
              <w:rPr>
                <w:rFonts w:ascii="仿宋" w:eastAsia="仿宋" w:hAnsi="仿宋" w:cs="仿宋_GB2312"/>
                <w:sz w:val="21"/>
                <w:szCs w:val="21"/>
              </w:rPr>
              <w:t>3</w:t>
            </w:r>
          </w:p>
        </w:tc>
        <w:tc>
          <w:tcPr>
            <w:tcW w:w="1428" w:type="dxa"/>
            <w:tcBorders>
              <w:top w:val="single" w:sz="4" w:space="0" w:color="auto"/>
              <w:left w:val="single" w:sz="4" w:space="0" w:color="auto"/>
              <w:bottom w:val="single" w:sz="4" w:space="0" w:color="auto"/>
              <w:right w:val="single" w:sz="4" w:space="0" w:color="auto"/>
            </w:tcBorders>
            <w:vAlign w:val="center"/>
          </w:tcPr>
          <w:p w14:paraId="2A829D3D"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color w:val="FF0000"/>
                <w:sz w:val="21"/>
                <w:szCs w:val="21"/>
              </w:rPr>
              <w:t>安全职责履行（4分）</w:t>
            </w:r>
          </w:p>
        </w:tc>
        <w:tc>
          <w:tcPr>
            <w:tcW w:w="4721" w:type="dxa"/>
            <w:tcBorders>
              <w:top w:val="single" w:sz="4" w:space="0" w:color="auto"/>
              <w:left w:val="single" w:sz="4" w:space="0" w:color="auto"/>
              <w:bottom w:val="single" w:sz="4" w:space="0" w:color="auto"/>
              <w:right w:val="single" w:sz="4" w:space="0" w:color="auto"/>
            </w:tcBorders>
            <w:vAlign w:val="center"/>
          </w:tcPr>
          <w:p w14:paraId="6FD6F8B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是否履行物业安全生产管理职责，对于物业责任的问题落实整改，对于非物业责任的问题向相关部门及街道</w:t>
            </w:r>
            <w:proofErr w:type="gramStart"/>
            <w:r>
              <w:rPr>
                <w:rFonts w:ascii="仿宋" w:eastAsia="仿宋" w:hAnsi="仿宋" w:cs="仿宋_GB2312" w:hint="eastAsia"/>
                <w:sz w:val="21"/>
                <w:szCs w:val="21"/>
              </w:rPr>
              <w:t>办履行</w:t>
            </w:r>
            <w:proofErr w:type="gramEnd"/>
            <w:r>
              <w:rPr>
                <w:rFonts w:ascii="仿宋" w:eastAsia="仿宋" w:hAnsi="仿宋" w:cs="仿宋_GB2312" w:hint="eastAsia"/>
                <w:sz w:val="21"/>
                <w:szCs w:val="21"/>
              </w:rPr>
              <w:t>报告职责。</w:t>
            </w:r>
          </w:p>
        </w:tc>
        <w:tc>
          <w:tcPr>
            <w:tcW w:w="1075" w:type="dxa"/>
            <w:tcBorders>
              <w:top w:val="single" w:sz="4" w:space="0" w:color="auto"/>
              <w:left w:val="single" w:sz="4" w:space="0" w:color="auto"/>
              <w:bottom w:val="single" w:sz="4" w:space="0" w:color="auto"/>
              <w:right w:val="single" w:sz="4" w:space="0" w:color="auto"/>
            </w:tcBorders>
            <w:vAlign w:val="center"/>
          </w:tcPr>
          <w:p w14:paraId="250F60E0"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查阅资料</w:t>
            </w:r>
          </w:p>
        </w:tc>
        <w:tc>
          <w:tcPr>
            <w:tcW w:w="2924" w:type="dxa"/>
            <w:tcBorders>
              <w:top w:val="single" w:sz="4" w:space="0" w:color="auto"/>
              <w:left w:val="single" w:sz="4" w:space="0" w:color="auto"/>
              <w:bottom w:val="single" w:sz="4" w:space="0" w:color="auto"/>
              <w:right w:val="single" w:sz="4" w:space="0" w:color="auto"/>
            </w:tcBorders>
            <w:vAlign w:val="center"/>
          </w:tcPr>
          <w:p w14:paraId="5A04470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安全问题的处理情况</w:t>
            </w:r>
          </w:p>
        </w:tc>
        <w:tc>
          <w:tcPr>
            <w:tcW w:w="3635" w:type="dxa"/>
            <w:tcBorders>
              <w:top w:val="single" w:sz="4" w:space="0" w:color="auto"/>
              <w:left w:val="single" w:sz="4" w:space="0" w:color="auto"/>
              <w:bottom w:val="single" w:sz="4" w:space="0" w:color="auto"/>
              <w:right w:val="single" w:sz="4" w:space="0" w:color="auto"/>
            </w:tcBorders>
            <w:vAlign w:val="center"/>
          </w:tcPr>
          <w:p w14:paraId="712555E4" w14:textId="77777777" w:rsidR="00F805CB" w:rsidRDefault="00000000">
            <w:pPr>
              <w:pStyle w:val="a9"/>
              <w:rPr>
                <w:rFonts w:ascii="仿宋" w:eastAsia="仿宋" w:hAnsi="仿宋" w:cs="仿宋_GB2312" w:hint="eastAsia"/>
                <w:sz w:val="21"/>
                <w:szCs w:val="21"/>
              </w:rPr>
            </w:pPr>
            <w:r>
              <w:rPr>
                <w:rFonts w:ascii="仿宋" w:eastAsia="仿宋" w:hAnsi="仿宋" w:cs="仿宋_GB2312" w:hint="eastAsia"/>
                <w:sz w:val="21"/>
                <w:szCs w:val="21"/>
              </w:rPr>
              <w:t>根据项目发现的问题，物业责任造成的问题未落实整改的一次扣1分；非物业责任的问题未落实报告职责的一次扣1分；此项最多扣4分。</w:t>
            </w:r>
          </w:p>
        </w:tc>
        <w:tc>
          <w:tcPr>
            <w:tcW w:w="457" w:type="dxa"/>
            <w:tcBorders>
              <w:top w:val="single" w:sz="4" w:space="0" w:color="auto"/>
              <w:left w:val="single" w:sz="4" w:space="0" w:color="auto"/>
              <w:bottom w:val="single" w:sz="4" w:space="0" w:color="auto"/>
              <w:right w:val="single" w:sz="4" w:space="0" w:color="auto"/>
            </w:tcBorders>
          </w:tcPr>
          <w:p w14:paraId="405D0C2E" w14:textId="77777777" w:rsidR="00F805CB" w:rsidRDefault="00F805CB">
            <w:pPr>
              <w:pStyle w:val="a9"/>
              <w:rPr>
                <w:rFonts w:ascii="仿宋" w:eastAsia="仿宋" w:hAnsi="仿宋" w:cs="仿宋_GB2312" w:hint="eastAsia"/>
                <w:color w:val="FF0000"/>
                <w:sz w:val="21"/>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CA92065" w14:textId="77777777" w:rsidR="00F805CB" w:rsidRDefault="00F805CB">
            <w:pPr>
              <w:widowControl/>
              <w:rPr>
                <w:rFonts w:ascii="仿宋" w:eastAsia="仿宋" w:hAnsi="仿宋" w:cs="仿宋_GB2312" w:hint="eastAsia"/>
                <w:color w:val="FF0000"/>
              </w:rPr>
            </w:pPr>
          </w:p>
        </w:tc>
      </w:tr>
    </w:tbl>
    <w:p w14:paraId="08DBC20E" w14:textId="77777777" w:rsidR="00F805CB" w:rsidRDefault="00000000">
      <w:pPr>
        <w:pStyle w:val="a9"/>
        <w:rPr>
          <w:rFonts w:ascii="仿宋" w:eastAsia="仿宋" w:hAnsi="仿宋" w:cs="仿宋_GB2312" w:hint="eastAsia"/>
          <w:color w:val="000000"/>
          <w:sz w:val="21"/>
          <w:szCs w:val="21"/>
        </w:rPr>
      </w:pPr>
      <w:r>
        <w:rPr>
          <w:rFonts w:ascii="仿宋" w:eastAsia="仿宋" w:hAnsi="仿宋" w:cs="仿宋_GB2312" w:hint="eastAsia"/>
          <w:color w:val="000000"/>
          <w:sz w:val="21"/>
          <w:szCs w:val="21"/>
        </w:rPr>
        <w:t xml:space="preserve"> </w:t>
      </w:r>
    </w:p>
    <w:p w14:paraId="71B0582B" w14:textId="77777777" w:rsidR="00F805CB" w:rsidRDefault="00000000">
      <w:pPr>
        <w:spacing w:line="360" w:lineRule="auto"/>
        <w:rPr>
          <w:rFonts w:ascii="仿宋" w:eastAsia="仿宋" w:hAnsi="仿宋" w:hint="eastAsia"/>
          <w:sz w:val="24"/>
          <w:szCs w:val="24"/>
          <w:u w:val="single"/>
        </w:rPr>
      </w:pPr>
      <w:r>
        <w:rPr>
          <w:rFonts w:ascii="仿宋" w:eastAsia="仿宋" w:hAnsi="仿宋" w:hint="eastAsia"/>
          <w:sz w:val="24"/>
          <w:szCs w:val="24"/>
        </w:rPr>
        <w:t>管理处负责人签名：                                                                      检查人员签名：</w:t>
      </w:r>
    </w:p>
    <w:p w14:paraId="15335599" w14:textId="77777777" w:rsidR="00F805CB" w:rsidRDefault="00000000">
      <w:pPr>
        <w:spacing w:line="360" w:lineRule="auto"/>
        <w:rPr>
          <w:rFonts w:hint="eastAsia"/>
        </w:rPr>
      </w:pPr>
      <w:r>
        <w:rPr>
          <w:rFonts w:ascii="仿宋" w:eastAsia="仿宋" w:hAnsi="仿宋" w:hint="eastAsia"/>
          <w:sz w:val="24"/>
          <w:szCs w:val="24"/>
        </w:rPr>
        <w:t>检查日期：        年   月    日                                                         检查日期：     年     月    日</w:t>
      </w:r>
    </w:p>
    <w:sectPr w:rsidR="00F805CB">
      <w:footerReference w:type="default" r:id="rId7"/>
      <w:pgSz w:w="16838" w:h="11906" w:orient="landscape"/>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5CED" w14:textId="77777777" w:rsidR="004B6137" w:rsidRDefault="004B6137">
      <w:pPr>
        <w:rPr>
          <w:rFonts w:hint="eastAsia"/>
        </w:rPr>
      </w:pPr>
      <w:r>
        <w:separator/>
      </w:r>
    </w:p>
  </w:endnote>
  <w:endnote w:type="continuationSeparator" w:id="0">
    <w:p w14:paraId="17413060" w14:textId="77777777" w:rsidR="004B6137" w:rsidRDefault="004B61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0E6A" w14:textId="77777777" w:rsidR="00F805CB" w:rsidRDefault="00000000">
    <w:pPr>
      <w:pStyle w:val="a7"/>
      <w:rPr>
        <w:rFonts w:hint="eastAsia"/>
      </w:rPr>
    </w:pPr>
    <w:r>
      <w:rPr>
        <w:noProof/>
      </w:rPr>
      <mc:AlternateContent>
        <mc:Choice Requires="wps">
          <w:drawing>
            <wp:anchor distT="0" distB="0" distL="114300" distR="114300" simplePos="0" relativeHeight="251659264" behindDoc="0" locked="0" layoutInCell="1" allowOverlap="1" wp14:anchorId="0ADE0353" wp14:editId="02323A2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EC4EF" w14:textId="77777777" w:rsidR="00F805CB" w:rsidRDefault="00000000">
                          <w:pPr>
                            <w:pStyle w:val="a7"/>
                            <w:rPr>
                              <w:rFonts w:hint="eastAsia"/>
                            </w:rP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DE035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EEC4EF" w14:textId="77777777" w:rsidR="00F805CB" w:rsidRDefault="00000000">
                    <w:pPr>
                      <w:pStyle w:val="a7"/>
                      <w:rPr>
                        <w:rFonts w:hint="eastAsia"/>
                      </w:rP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4018" w14:textId="77777777" w:rsidR="004B6137" w:rsidRDefault="004B6137">
      <w:pPr>
        <w:rPr>
          <w:rFonts w:hint="eastAsia"/>
        </w:rPr>
      </w:pPr>
      <w:r>
        <w:separator/>
      </w:r>
    </w:p>
  </w:footnote>
  <w:footnote w:type="continuationSeparator" w:id="0">
    <w:p w14:paraId="1820F60A" w14:textId="77777777" w:rsidR="004B6137" w:rsidRDefault="004B613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xZmUzOTJhMmFjOWQ3ZTY3ODUxNmVmZGJhMzk2YzYifQ=="/>
  </w:docVars>
  <w:rsids>
    <w:rsidRoot w:val="0034386B"/>
    <w:rsid w:val="BEB43077"/>
    <w:rsid w:val="FFDF3447"/>
    <w:rsid w:val="00054E8D"/>
    <w:rsid w:val="000A37AC"/>
    <w:rsid w:val="0034386B"/>
    <w:rsid w:val="003E6FED"/>
    <w:rsid w:val="004B6137"/>
    <w:rsid w:val="004E7363"/>
    <w:rsid w:val="00522202"/>
    <w:rsid w:val="005B3419"/>
    <w:rsid w:val="005C72FA"/>
    <w:rsid w:val="008B777F"/>
    <w:rsid w:val="00951A0F"/>
    <w:rsid w:val="00B5200B"/>
    <w:rsid w:val="00B95A90"/>
    <w:rsid w:val="00C16E4E"/>
    <w:rsid w:val="00DF2D59"/>
    <w:rsid w:val="00E2157B"/>
    <w:rsid w:val="00E42B9D"/>
    <w:rsid w:val="00F805CB"/>
    <w:rsid w:val="335464B2"/>
    <w:rsid w:val="34263634"/>
    <w:rsid w:val="43D003D8"/>
    <w:rsid w:val="658DBE1E"/>
    <w:rsid w:val="6DF601E8"/>
    <w:rsid w:val="7D4D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C2ED"/>
  <w15:docId w15:val="{8329284E-82E8-43F8-82F7-16E8CD55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等线" w:eastAsia="等线" w:hAnsi="等线" w:cs="黑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jc w:val="left"/>
    </w:pPr>
    <w:rPr>
      <w:rFonts w:ascii="宋体" w:eastAsia="宋体" w:hAnsi="宋体" w:cs="宋体"/>
      <w:kern w:val="0"/>
      <w:sz w:val="24"/>
      <w:szCs w:val="24"/>
    </w:rPr>
  </w:style>
  <w:style w:type="character" w:customStyle="1" w:styleId="a4">
    <w:name w:val="正文文本 字符"/>
    <w:basedOn w:val="a1"/>
    <w:link w:val="a0"/>
    <w:uiPriority w:val="99"/>
    <w:semiHidden/>
    <w:qFormat/>
    <w:rPr>
      <w:rFonts w:ascii="等线" w:eastAsia="等线" w:hAnsi="等线" w:cs="黑体"/>
      <w:szCs w:val="21"/>
    </w:rPr>
  </w:style>
  <w:style w:type="character" w:customStyle="1" w:styleId="a6">
    <w:name w:val="批注框文本 字符"/>
    <w:basedOn w:val="a1"/>
    <w:link w:val="a5"/>
    <w:uiPriority w:val="99"/>
    <w:semiHidden/>
    <w:qFormat/>
    <w:rPr>
      <w:rFonts w:ascii="等线" w:eastAsia="等线" w:hAnsi="等线"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7</cp:revision>
  <cp:lastPrinted>2024-07-29T11:13:00Z</cp:lastPrinted>
  <dcterms:created xsi:type="dcterms:W3CDTF">2024-07-29T11:09:00Z</dcterms:created>
  <dcterms:modified xsi:type="dcterms:W3CDTF">2026-03-31T03:21:00Z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A8E4BE5B63BA4930AF54F8AA0DD4814A_12</vt:lpwstr>
  </property>
  <property fmtid="{D5CDD505-2E9C-101B-9397-08002B2CF9AE}" pid="4" name="KSOTemplateDocerSaveRecord">
    <vt:lpwstr>eyJoZGlkIjoiNGM4ZWM0NDMzYWVlMjIxYjIxZDJkNWQ5M2ExYTNhYzEiLCJ1c2VySWQiOiIzOTU5MTUyMDAifQ==</vt:lpwstr>
  </property>
</Properties>
</file>