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F0F6B">
      <w:pPr>
        <w:jc w:val="center"/>
        <w:rPr>
          <w:rFonts w:hint="eastAsia"/>
          <w:b/>
          <w:color w:val="auto"/>
          <w:sz w:val="48"/>
          <w:szCs w:val="48"/>
          <w:highlight w:val="none"/>
          <w:lang w:val="en-US" w:eastAsia="zh-CN"/>
        </w:rPr>
      </w:pPr>
    </w:p>
    <w:p w14:paraId="33D20418">
      <w:pPr>
        <w:jc w:val="center"/>
        <w:rPr>
          <w:rFonts w:hint="eastAsia" w:ascii="宋体"/>
          <w:b/>
          <w:color w:val="auto"/>
          <w:sz w:val="48"/>
          <w:szCs w:val="48"/>
          <w:highlight w:val="none"/>
        </w:rPr>
      </w:pPr>
      <w:r>
        <w:rPr>
          <w:rFonts w:hint="eastAsia"/>
          <w:b/>
          <w:color w:val="auto"/>
          <w:sz w:val="48"/>
          <w:szCs w:val="48"/>
          <w:highlight w:val="none"/>
          <w:lang w:val="en-US" w:eastAsia="zh-CN"/>
        </w:rPr>
        <w:t>深圳市南山区住房和建设局</w:t>
      </w:r>
      <w:r>
        <w:rPr>
          <w:rFonts w:hint="eastAsia" w:ascii="宋体"/>
          <w:b/>
          <w:color w:val="auto"/>
          <w:sz w:val="48"/>
          <w:szCs w:val="48"/>
          <w:highlight w:val="none"/>
        </w:rPr>
        <w:t>采购</w:t>
      </w:r>
    </w:p>
    <w:p w14:paraId="2FEB675E">
      <w:pPr>
        <w:jc w:val="center"/>
        <w:rPr>
          <w:rFonts w:hint="eastAsia"/>
          <w:b/>
          <w:color w:val="auto"/>
          <w:sz w:val="48"/>
          <w:szCs w:val="48"/>
          <w:highlight w:val="none"/>
          <w:lang w:val="en-US" w:eastAsia="zh-CN"/>
        </w:rPr>
      </w:pPr>
      <w:r>
        <w:rPr>
          <w:rFonts w:hint="eastAsia"/>
          <w:b/>
          <w:color w:val="auto"/>
          <w:sz w:val="48"/>
          <w:szCs w:val="48"/>
          <w:highlight w:val="none"/>
          <w:lang w:val="en-US" w:eastAsia="zh-CN"/>
        </w:rPr>
        <w:t>2026年度保障性住房专项规划咨询服务项目招标文件</w:t>
      </w:r>
    </w:p>
    <w:p w14:paraId="4A46001E">
      <w:pPr>
        <w:pStyle w:val="6"/>
        <w:jc w:val="center"/>
        <w:outlineLvl w:val="1"/>
        <w:rPr>
          <w:rFonts w:ascii="黑体" w:hAnsi="黑体" w:eastAsia="黑体"/>
          <w:color w:val="auto"/>
          <w:sz w:val="40"/>
          <w:szCs w:val="40"/>
          <w:highlight w:val="none"/>
        </w:rPr>
      </w:pPr>
    </w:p>
    <w:p w14:paraId="61002B4D">
      <w:pPr>
        <w:pStyle w:val="6"/>
        <w:jc w:val="center"/>
        <w:outlineLvl w:val="1"/>
        <w:rPr>
          <w:rFonts w:ascii="黑体" w:hAnsi="黑体" w:eastAsia="黑体"/>
          <w:color w:val="auto"/>
          <w:sz w:val="40"/>
          <w:szCs w:val="40"/>
          <w:highlight w:val="none"/>
        </w:rPr>
      </w:pPr>
    </w:p>
    <w:p w14:paraId="204832D1">
      <w:pPr>
        <w:pStyle w:val="6"/>
        <w:jc w:val="center"/>
        <w:outlineLvl w:val="1"/>
        <w:rPr>
          <w:rFonts w:ascii="黑体" w:hAnsi="黑体" w:eastAsia="黑体"/>
          <w:color w:val="auto"/>
          <w:sz w:val="40"/>
          <w:szCs w:val="40"/>
          <w:highlight w:val="none"/>
        </w:rPr>
      </w:pPr>
    </w:p>
    <w:tbl>
      <w:tblPr>
        <w:tblStyle w:val="9"/>
        <w:tblW w:w="8322" w:type="dxa"/>
        <w:jc w:val="center"/>
        <w:tblCellSpacing w:w="0" w:type="dxa"/>
        <w:tblLayout w:type="fixed"/>
        <w:tblCellMar>
          <w:top w:w="36" w:type="dxa"/>
          <w:left w:w="36" w:type="dxa"/>
          <w:bottom w:w="36" w:type="dxa"/>
          <w:right w:w="36" w:type="dxa"/>
        </w:tblCellMar>
      </w:tblPr>
      <w:tblGrid>
        <w:gridCol w:w="1682"/>
        <w:gridCol w:w="6640"/>
      </w:tblGrid>
      <w:tr w14:paraId="0C954293">
        <w:tblPrEx>
          <w:tblCellMar>
            <w:top w:w="36" w:type="dxa"/>
            <w:left w:w="36" w:type="dxa"/>
            <w:bottom w:w="36" w:type="dxa"/>
            <w:right w:w="36" w:type="dxa"/>
          </w:tblCellMar>
        </w:tblPrEx>
        <w:trPr>
          <w:trHeight w:val="737" w:hRule="atLeast"/>
          <w:tblCellSpacing w:w="0" w:type="dxa"/>
          <w:jc w:val="center"/>
        </w:trPr>
        <w:tc>
          <w:tcPr>
            <w:tcW w:w="1682" w:type="dxa"/>
            <w:noWrap w:val="0"/>
            <w:vAlign w:val="center"/>
          </w:tcPr>
          <w:p w14:paraId="643D64EA">
            <w:pPr>
              <w:jc w:val="right"/>
              <w:rPr>
                <w:color w:val="auto"/>
                <w:sz w:val="30"/>
                <w:szCs w:val="30"/>
                <w:highlight w:val="none"/>
              </w:rPr>
            </w:pPr>
            <w:r>
              <w:rPr>
                <w:color w:val="auto"/>
                <w:sz w:val="30"/>
                <w:szCs w:val="30"/>
                <w:highlight w:val="none"/>
              </w:rPr>
              <w:t>项目名称：</w:t>
            </w:r>
          </w:p>
        </w:tc>
        <w:tc>
          <w:tcPr>
            <w:tcW w:w="6640" w:type="dxa"/>
            <w:noWrap w:val="0"/>
            <w:vAlign w:val="center"/>
          </w:tcPr>
          <w:p w14:paraId="0B61D9F5">
            <w:pPr>
              <w:rPr>
                <w:rFonts w:hint="default" w:eastAsia="宋体"/>
                <w:color w:val="auto"/>
                <w:sz w:val="30"/>
                <w:szCs w:val="30"/>
                <w:highlight w:val="none"/>
                <w:u w:val="single"/>
                <w:lang w:val="en-US" w:eastAsia="zh-CN"/>
              </w:rPr>
            </w:pPr>
            <w:r>
              <w:rPr>
                <w:rFonts w:hint="eastAsia"/>
                <w:color w:val="auto"/>
                <w:sz w:val="30"/>
                <w:szCs w:val="30"/>
                <w:highlight w:val="none"/>
                <w:lang w:eastAsia="zh-CN"/>
              </w:rPr>
              <w:t>深圳市南山区住房和建设局202</w:t>
            </w:r>
            <w:r>
              <w:rPr>
                <w:rFonts w:hint="eastAsia"/>
                <w:color w:val="auto"/>
                <w:sz w:val="30"/>
                <w:szCs w:val="30"/>
                <w:highlight w:val="none"/>
                <w:lang w:val="en-US" w:eastAsia="zh-CN"/>
              </w:rPr>
              <w:t>6</w:t>
            </w:r>
            <w:r>
              <w:rPr>
                <w:rFonts w:hint="eastAsia"/>
                <w:color w:val="auto"/>
                <w:sz w:val="30"/>
                <w:szCs w:val="30"/>
                <w:highlight w:val="none"/>
                <w:lang w:eastAsia="zh-CN"/>
              </w:rPr>
              <w:t>年度</w:t>
            </w:r>
            <w:r>
              <w:rPr>
                <w:rFonts w:hint="eastAsia"/>
                <w:color w:val="auto"/>
                <w:sz w:val="30"/>
                <w:szCs w:val="30"/>
                <w:highlight w:val="none"/>
                <w:u w:val="none"/>
                <w:lang w:eastAsia="zh-CN"/>
              </w:rPr>
              <w:t>保障性住房</w:t>
            </w:r>
            <w:r>
              <w:rPr>
                <w:rFonts w:hint="eastAsia"/>
                <w:color w:val="auto"/>
                <w:sz w:val="30"/>
                <w:szCs w:val="30"/>
                <w:highlight w:val="none"/>
                <w:u w:val="none"/>
                <w:lang w:val="en-US" w:eastAsia="zh-CN"/>
              </w:rPr>
              <w:t>专项规划</w:t>
            </w:r>
            <w:r>
              <w:rPr>
                <w:rFonts w:hint="eastAsia"/>
                <w:color w:val="auto"/>
                <w:sz w:val="30"/>
                <w:szCs w:val="30"/>
                <w:highlight w:val="none"/>
                <w:u w:val="none"/>
                <w:lang w:eastAsia="zh-CN"/>
              </w:rPr>
              <w:t>咨询</w:t>
            </w:r>
            <w:r>
              <w:rPr>
                <w:rFonts w:hint="eastAsia"/>
                <w:color w:val="auto"/>
                <w:sz w:val="30"/>
                <w:szCs w:val="30"/>
                <w:highlight w:val="none"/>
                <w:u w:val="none"/>
              </w:rPr>
              <w:t>服务</w:t>
            </w:r>
          </w:p>
        </w:tc>
      </w:tr>
      <w:tr w14:paraId="0F2B943B">
        <w:tblPrEx>
          <w:tblCellMar>
            <w:top w:w="36" w:type="dxa"/>
            <w:left w:w="36" w:type="dxa"/>
            <w:bottom w:w="36" w:type="dxa"/>
            <w:right w:w="36" w:type="dxa"/>
          </w:tblCellMar>
        </w:tblPrEx>
        <w:trPr>
          <w:trHeight w:val="737" w:hRule="atLeast"/>
          <w:tblCellSpacing w:w="0" w:type="dxa"/>
          <w:jc w:val="center"/>
        </w:trPr>
        <w:tc>
          <w:tcPr>
            <w:tcW w:w="1682" w:type="dxa"/>
            <w:noWrap w:val="0"/>
            <w:vAlign w:val="center"/>
          </w:tcPr>
          <w:p w14:paraId="40C0F75C">
            <w:pPr>
              <w:jc w:val="right"/>
              <w:rPr>
                <w:color w:val="auto"/>
                <w:sz w:val="30"/>
                <w:szCs w:val="30"/>
                <w:highlight w:val="none"/>
              </w:rPr>
            </w:pPr>
            <w:r>
              <w:rPr>
                <w:color w:val="auto"/>
                <w:sz w:val="30"/>
                <w:szCs w:val="30"/>
                <w:highlight w:val="none"/>
              </w:rPr>
              <w:t>项目类型：</w:t>
            </w:r>
          </w:p>
        </w:tc>
        <w:tc>
          <w:tcPr>
            <w:tcW w:w="6640" w:type="dxa"/>
            <w:noWrap w:val="0"/>
            <w:vAlign w:val="center"/>
          </w:tcPr>
          <w:p w14:paraId="40E50C59">
            <w:pPr>
              <w:rPr>
                <w:color w:val="auto"/>
                <w:sz w:val="30"/>
                <w:szCs w:val="30"/>
                <w:highlight w:val="none"/>
              </w:rPr>
            </w:pPr>
            <w:r>
              <w:rPr>
                <w:color w:val="auto"/>
                <w:sz w:val="30"/>
                <w:szCs w:val="30"/>
                <w:highlight w:val="none"/>
              </w:rPr>
              <w:t>服务类</w:t>
            </w:r>
          </w:p>
        </w:tc>
      </w:tr>
      <w:tr w14:paraId="7CB55CA2">
        <w:tblPrEx>
          <w:tblCellMar>
            <w:top w:w="36" w:type="dxa"/>
            <w:left w:w="36" w:type="dxa"/>
            <w:bottom w:w="36" w:type="dxa"/>
            <w:right w:w="36" w:type="dxa"/>
          </w:tblCellMar>
        </w:tblPrEx>
        <w:trPr>
          <w:trHeight w:val="737" w:hRule="atLeast"/>
          <w:tblCellSpacing w:w="0" w:type="dxa"/>
          <w:jc w:val="center"/>
        </w:trPr>
        <w:tc>
          <w:tcPr>
            <w:tcW w:w="1682" w:type="dxa"/>
            <w:noWrap w:val="0"/>
            <w:vAlign w:val="center"/>
          </w:tcPr>
          <w:p w14:paraId="05C09A9B">
            <w:pPr>
              <w:jc w:val="right"/>
              <w:rPr>
                <w:color w:val="auto"/>
                <w:sz w:val="30"/>
                <w:szCs w:val="30"/>
                <w:highlight w:val="none"/>
              </w:rPr>
            </w:pPr>
            <w:r>
              <w:rPr>
                <w:color w:val="auto"/>
                <w:sz w:val="30"/>
                <w:szCs w:val="30"/>
                <w:highlight w:val="none"/>
              </w:rPr>
              <w:t>项目</w:t>
            </w:r>
            <w:r>
              <w:rPr>
                <w:rFonts w:hint="eastAsia"/>
                <w:color w:val="auto"/>
                <w:sz w:val="30"/>
                <w:szCs w:val="30"/>
                <w:highlight w:val="none"/>
                <w:lang w:val="en-US" w:eastAsia="zh-CN"/>
              </w:rPr>
              <w:t>编号</w:t>
            </w:r>
            <w:r>
              <w:rPr>
                <w:color w:val="auto"/>
                <w:sz w:val="30"/>
                <w:szCs w:val="30"/>
                <w:highlight w:val="none"/>
              </w:rPr>
              <w:t>：</w:t>
            </w:r>
          </w:p>
        </w:tc>
        <w:tc>
          <w:tcPr>
            <w:tcW w:w="6640" w:type="dxa"/>
            <w:noWrap w:val="0"/>
            <w:vAlign w:val="center"/>
          </w:tcPr>
          <w:p w14:paraId="6C5734B4">
            <w:pPr>
              <w:rPr>
                <w:color w:val="auto"/>
                <w:sz w:val="30"/>
                <w:szCs w:val="30"/>
                <w:highlight w:val="none"/>
              </w:rPr>
            </w:pPr>
          </w:p>
        </w:tc>
      </w:tr>
      <w:tr w14:paraId="2C2F76FB">
        <w:tblPrEx>
          <w:tblCellMar>
            <w:top w:w="36" w:type="dxa"/>
            <w:left w:w="36" w:type="dxa"/>
            <w:bottom w:w="36" w:type="dxa"/>
            <w:right w:w="36" w:type="dxa"/>
          </w:tblCellMar>
        </w:tblPrEx>
        <w:trPr>
          <w:trHeight w:val="737" w:hRule="atLeast"/>
          <w:tblCellSpacing w:w="0" w:type="dxa"/>
          <w:jc w:val="center"/>
        </w:trPr>
        <w:tc>
          <w:tcPr>
            <w:tcW w:w="1682" w:type="dxa"/>
            <w:noWrap w:val="0"/>
            <w:vAlign w:val="center"/>
          </w:tcPr>
          <w:p w14:paraId="661CB5E6">
            <w:pPr>
              <w:jc w:val="right"/>
              <w:rPr>
                <w:color w:val="auto"/>
                <w:sz w:val="30"/>
                <w:szCs w:val="30"/>
                <w:highlight w:val="none"/>
              </w:rPr>
            </w:pPr>
            <w:r>
              <w:rPr>
                <w:rFonts w:hint="eastAsia"/>
                <w:color w:val="auto"/>
                <w:sz w:val="30"/>
                <w:szCs w:val="30"/>
                <w:highlight w:val="none"/>
                <w:lang w:val="en-US" w:eastAsia="zh-CN"/>
              </w:rPr>
              <w:t>定</w:t>
            </w:r>
            <w:r>
              <w:rPr>
                <w:color w:val="auto"/>
                <w:sz w:val="30"/>
                <w:szCs w:val="30"/>
                <w:highlight w:val="none"/>
              </w:rPr>
              <w:t>标方法：</w:t>
            </w:r>
          </w:p>
        </w:tc>
        <w:tc>
          <w:tcPr>
            <w:tcW w:w="6640" w:type="dxa"/>
            <w:noWrap w:val="0"/>
            <w:vAlign w:val="center"/>
          </w:tcPr>
          <w:p w14:paraId="2FE017A2">
            <w:pPr>
              <w:rPr>
                <w:color w:val="auto"/>
                <w:sz w:val="30"/>
                <w:szCs w:val="30"/>
                <w:highlight w:val="none"/>
              </w:rPr>
            </w:pPr>
            <w:r>
              <w:rPr>
                <w:color w:val="auto"/>
                <w:sz w:val="30"/>
                <w:szCs w:val="30"/>
                <w:highlight w:val="none"/>
              </w:rPr>
              <w:t>综合评分法</w:t>
            </w:r>
          </w:p>
        </w:tc>
      </w:tr>
    </w:tbl>
    <w:p w14:paraId="395AF3C5">
      <w:pPr>
        <w:keepNext w:val="0"/>
        <w:keepLines w:val="0"/>
        <w:pageBreakBefore w:val="0"/>
        <w:widowControl w:val="0"/>
        <w:kinsoku/>
        <w:wordWrap/>
        <w:overflowPunct/>
        <w:topLinePunct w:val="0"/>
        <w:autoSpaceDE/>
        <w:autoSpaceDN/>
        <w:bidi w:val="0"/>
        <w:adjustRightInd/>
        <w:snapToGrid/>
        <w:spacing w:beforeLines="50" w:afterLines="50" w:line="240" w:lineRule="auto"/>
        <w:jc w:val="both"/>
        <w:textAlignment w:val="auto"/>
        <w:rPr>
          <w:rFonts w:hint="eastAsia" w:ascii="楷体" w:hAnsi="楷体" w:eastAsia="楷体" w:cs="Times New Roman"/>
          <w:b w:val="0"/>
          <w:bCs/>
          <w:color w:val="auto"/>
          <w:kern w:val="2"/>
          <w:sz w:val="24"/>
          <w:highlight w:val="none"/>
          <w:lang w:val="en-US" w:eastAsia="zh-CN"/>
        </w:rPr>
      </w:pPr>
    </w:p>
    <w:p w14:paraId="25F515FB">
      <w:pPr>
        <w:pStyle w:val="2"/>
        <w:rPr>
          <w:rFonts w:hint="eastAsia" w:ascii="楷体" w:hAnsi="楷体" w:eastAsia="楷体" w:cs="Times New Roman"/>
          <w:b w:val="0"/>
          <w:bCs/>
          <w:color w:val="auto"/>
          <w:kern w:val="2"/>
          <w:sz w:val="24"/>
          <w:highlight w:val="none"/>
          <w:lang w:val="en-US" w:eastAsia="zh-CN"/>
        </w:rPr>
      </w:pPr>
    </w:p>
    <w:p w14:paraId="05A5F919">
      <w:pPr>
        <w:pStyle w:val="2"/>
        <w:rPr>
          <w:rFonts w:hint="eastAsia" w:ascii="楷体" w:hAnsi="楷体" w:eastAsia="楷体" w:cs="Times New Roman"/>
          <w:b w:val="0"/>
          <w:bCs/>
          <w:color w:val="auto"/>
          <w:kern w:val="2"/>
          <w:sz w:val="24"/>
          <w:highlight w:val="none"/>
          <w:lang w:val="en-US" w:eastAsia="zh-CN"/>
        </w:rPr>
      </w:pPr>
    </w:p>
    <w:p w14:paraId="7BD80392">
      <w:pPr>
        <w:pStyle w:val="2"/>
        <w:rPr>
          <w:rFonts w:hint="eastAsia" w:ascii="楷体" w:hAnsi="楷体" w:eastAsia="楷体" w:cs="Times New Roman"/>
          <w:b w:val="0"/>
          <w:bCs/>
          <w:color w:val="auto"/>
          <w:kern w:val="2"/>
          <w:sz w:val="24"/>
          <w:highlight w:val="none"/>
          <w:lang w:val="en-US" w:eastAsia="zh-CN"/>
        </w:rPr>
      </w:pPr>
    </w:p>
    <w:p w14:paraId="5DE477A8">
      <w:pPr>
        <w:pStyle w:val="2"/>
        <w:rPr>
          <w:rFonts w:hint="eastAsia" w:ascii="楷体" w:hAnsi="楷体" w:eastAsia="楷体" w:cs="Times New Roman"/>
          <w:b w:val="0"/>
          <w:bCs/>
          <w:color w:val="auto"/>
          <w:kern w:val="2"/>
          <w:sz w:val="24"/>
          <w:highlight w:val="none"/>
          <w:lang w:val="en-US" w:eastAsia="zh-CN"/>
        </w:rPr>
      </w:pPr>
    </w:p>
    <w:p w14:paraId="6B57E4BA">
      <w:pPr>
        <w:pStyle w:val="2"/>
        <w:rPr>
          <w:rFonts w:hint="eastAsia" w:ascii="楷体" w:hAnsi="楷体" w:eastAsia="楷体" w:cs="Times New Roman"/>
          <w:b w:val="0"/>
          <w:bCs/>
          <w:color w:val="auto"/>
          <w:kern w:val="2"/>
          <w:sz w:val="24"/>
          <w:highlight w:val="none"/>
          <w:lang w:val="en-US" w:eastAsia="zh-CN"/>
        </w:rPr>
      </w:pPr>
    </w:p>
    <w:p w14:paraId="6F7FA0E1">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楷体" w:hAnsi="楷体" w:eastAsia="楷体" w:cs="Times New Roman"/>
          <w:b w:val="0"/>
          <w:bCs/>
          <w:color w:val="auto"/>
          <w:kern w:val="2"/>
          <w:sz w:val="24"/>
          <w:highlight w:val="none"/>
          <w:lang w:val="en-US" w:eastAsia="zh-CN"/>
        </w:rPr>
      </w:pPr>
      <w:r>
        <w:rPr>
          <w:rFonts w:hint="eastAsia" w:ascii="楷体" w:hAnsi="楷体" w:eastAsia="楷体" w:cs="Times New Roman"/>
          <w:b w:val="0"/>
          <w:bCs/>
          <w:color w:val="auto"/>
          <w:kern w:val="2"/>
          <w:sz w:val="24"/>
          <w:highlight w:val="none"/>
          <w:lang w:val="en-US" w:eastAsia="zh-CN"/>
        </w:rPr>
        <w:t>南山区住房和建设局 制定</w:t>
      </w:r>
    </w:p>
    <w:p w14:paraId="49654B5A">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b/>
          <w:bCs/>
          <w:color w:val="auto"/>
          <w:sz w:val="28"/>
          <w:szCs w:val="20"/>
          <w:highlight w:val="none"/>
        </w:rPr>
      </w:pPr>
      <w:r>
        <w:rPr>
          <w:rFonts w:hint="eastAsia" w:ascii="楷体" w:hAnsi="楷体" w:eastAsia="楷体" w:cs="Times New Roman"/>
          <w:b w:val="0"/>
          <w:bCs/>
          <w:color w:val="auto"/>
          <w:kern w:val="2"/>
          <w:sz w:val="24"/>
          <w:highlight w:val="none"/>
          <w:lang w:val="en-US" w:eastAsia="zh-CN"/>
        </w:rPr>
        <w:t>二〇二五年</w:t>
      </w:r>
      <w:r>
        <w:rPr>
          <w:rFonts w:hint="eastAsia" w:ascii="楷体" w:hAnsi="楷体" w:eastAsia="楷体" w:cs="Times New Roman"/>
          <w:b w:val="0"/>
          <w:bCs/>
          <w:color w:val="auto"/>
          <w:kern w:val="2"/>
          <w:sz w:val="24"/>
          <w:highlight w:val="none"/>
          <w:u w:val="single"/>
          <w:lang w:val="en-US" w:eastAsia="zh-CN"/>
        </w:rPr>
        <w:t>十二</w:t>
      </w:r>
      <w:r>
        <w:rPr>
          <w:rFonts w:hint="eastAsia" w:ascii="楷体" w:hAnsi="楷体" w:eastAsia="楷体" w:cs="Times New Roman"/>
          <w:b w:val="0"/>
          <w:bCs/>
          <w:color w:val="auto"/>
          <w:kern w:val="2"/>
          <w:sz w:val="24"/>
          <w:highlight w:val="none"/>
          <w:lang w:val="en-US" w:eastAsia="zh-CN"/>
        </w:rPr>
        <w:t>月</w:t>
      </w:r>
    </w:p>
    <w:p w14:paraId="5E33B07A">
      <w:pPr>
        <w:pStyle w:val="6"/>
        <w:jc w:val="both"/>
        <w:outlineLvl w:val="1"/>
        <w:rPr>
          <w:rFonts w:hint="eastAsia" w:ascii="Times New Roman" w:hAnsi="Times New Roman" w:eastAsia="宋体" w:cs="Times New Roman"/>
          <w:b/>
          <w:bCs/>
          <w:color w:val="auto"/>
          <w:kern w:val="44"/>
          <w:sz w:val="32"/>
          <w:szCs w:val="52"/>
          <w:highlight w:val="none"/>
          <w:lang w:val="en-US" w:eastAsia="zh-CN" w:bidi="ar-SA"/>
        </w:rPr>
      </w:pPr>
    </w:p>
    <w:p w14:paraId="73BA625C">
      <w:pPr>
        <w:pStyle w:val="6"/>
        <w:jc w:val="center"/>
        <w:outlineLvl w:val="1"/>
        <w:rPr>
          <w:color w:val="auto"/>
          <w:highlight w:val="none"/>
        </w:rPr>
      </w:pPr>
      <w:r>
        <w:rPr>
          <w:rFonts w:hint="eastAsia" w:ascii="Times New Roman" w:hAnsi="Times New Roman" w:eastAsia="宋体" w:cs="Times New Roman"/>
          <w:b/>
          <w:bCs/>
          <w:color w:val="auto"/>
          <w:kern w:val="44"/>
          <w:sz w:val="32"/>
          <w:szCs w:val="52"/>
          <w:highlight w:val="none"/>
          <w:lang w:val="en-US" w:eastAsia="zh-CN" w:bidi="ar-SA"/>
        </w:rPr>
        <w:t>第一章  投标单位的资格要求</w:t>
      </w:r>
    </w:p>
    <w:p w14:paraId="2A43161D">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eastAsia="宋体" w:cs="宋体"/>
          <w:color w:val="auto"/>
          <w:sz w:val="24"/>
          <w:szCs w:val="24"/>
          <w:highlight w:val="none"/>
          <w:lang w:val="en-US" w:eastAsia="zh-CN"/>
        </w:rPr>
        <w:t>一、符合</w:t>
      </w:r>
      <w:r>
        <w:rPr>
          <w:rFonts w:hint="eastAsia" w:ascii="宋体" w:hAnsi="宋体" w:eastAsia="宋体" w:cs="宋体"/>
          <w:color w:val="auto"/>
          <w:sz w:val="24"/>
          <w:szCs w:val="24"/>
          <w:highlight w:val="none"/>
        </w:rPr>
        <w:t>《中华人民共和国政府采购法》第二十二条规定</w:t>
      </w:r>
      <w:r>
        <w:rPr>
          <w:rFonts w:hint="eastAsia" w:eastAsia="宋体" w:cs="宋体"/>
          <w:color w:val="auto"/>
          <w:sz w:val="24"/>
          <w:szCs w:val="24"/>
          <w:highlight w:val="none"/>
          <w:lang w:eastAsia="zh-CN"/>
        </w:rPr>
        <w:t>。</w:t>
      </w:r>
    </w:p>
    <w:p w14:paraId="222CF664">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14:paraId="2A77BB5C">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lang w:val="en-US" w:eastAsia="zh-CN"/>
        </w:rPr>
        <w:t>具有深圳市政府采购网投标资格或具有深圳市政府采购供应商资格（提供证明文件）；</w:t>
      </w:r>
    </w:p>
    <w:p w14:paraId="71313B33">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投标单位</w:t>
      </w:r>
      <w:r>
        <w:rPr>
          <w:rFonts w:hint="eastAsia" w:ascii="宋体" w:hAnsi="宋体" w:eastAsia="宋体" w:cs="宋体"/>
          <w:color w:val="auto"/>
          <w:sz w:val="24"/>
          <w:szCs w:val="24"/>
          <w:highlight w:val="none"/>
          <w:u w:val="none"/>
          <w:lang w:val="en-US" w:eastAsia="zh-CN"/>
        </w:rPr>
        <w:t>须承诺近</w:t>
      </w:r>
      <w:r>
        <w:rPr>
          <w:rFonts w:hint="eastAsia"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lang w:val="en-US" w:eastAsia="zh-CN"/>
        </w:rPr>
        <w:t>年无违法违规行为，无行为处罚、惩戒等不良执业记录及不良反映，业内拥有良好的声誉；</w:t>
      </w:r>
    </w:p>
    <w:p w14:paraId="53D6599B">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3、具有规划</w:t>
      </w:r>
      <w:r>
        <w:rPr>
          <w:rFonts w:hint="eastAsia"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val="en-US" w:eastAsia="zh-CN"/>
        </w:rPr>
        <w:t>级以上资质；</w:t>
      </w:r>
    </w:p>
    <w:p w14:paraId="359C6AD3">
      <w:pPr>
        <w:pageBreakBefore w:val="0"/>
        <w:kinsoku/>
        <w:wordWrap/>
        <w:overflowPunct/>
        <w:topLinePunct w:val="0"/>
        <w:bidi w:val="0"/>
        <w:spacing w:line="560" w:lineRule="exact"/>
        <w:ind w:firstLine="480" w:firstLineChars="200"/>
        <w:outlineLvl w:val="0"/>
        <w:rPr>
          <w:rFonts w:ascii="仿宋_GB2312" w:hAnsi="仿宋_GB2312" w:eastAsia="仿宋_GB2312" w:cs="仿宋_GB2312"/>
          <w:color w:val="auto"/>
          <w:sz w:val="32"/>
          <w:szCs w:val="32"/>
          <w:highlight w:val="none"/>
        </w:rPr>
      </w:pPr>
      <w:r>
        <w:rPr>
          <w:rFonts w:hint="eastAsia" w:cs="宋体"/>
          <w:color w:val="auto"/>
          <w:sz w:val="24"/>
          <w:szCs w:val="24"/>
          <w:highlight w:val="none"/>
          <w:lang w:val="en-US" w:eastAsia="zh-CN"/>
        </w:rPr>
        <w:t>4</w:t>
      </w:r>
      <w:r>
        <w:rPr>
          <w:rFonts w:hint="eastAsia" w:eastAsia="宋体" w:cs="宋体"/>
          <w:color w:val="auto"/>
          <w:sz w:val="24"/>
          <w:szCs w:val="24"/>
          <w:highlight w:val="none"/>
          <w:lang w:val="en-US" w:eastAsia="zh-CN"/>
        </w:rPr>
        <w:t>、同类业绩条件：具有担任政府规划顾问的工作经验（提供证明文件）；</w:t>
      </w:r>
    </w:p>
    <w:p w14:paraId="1B544E66">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eastAsia="宋体" w:cs="宋体"/>
          <w:color w:val="auto"/>
          <w:sz w:val="24"/>
          <w:szCs w:val="24"/>
          <w:highlight w:val="none"/>
          <w:lang w:val="en-US" w:eastAsia="zh-CN"/>
        </w:rPr>
        <w:t>、</w:t>
      </w:r>
      <w:r>
        <w:rPr>
          <w:rFonts w:hint="eastAsia" w:cs="宋体"/>
          <w:color w:val="auto"/>
          <w:sz w:val="24"/>
          <w:szCs w:val="24"/>
          <w:highlight w:val="none"/>
          <w:lang w:val="en-US" w:eastAsia="zh-CN"/>
        </w:rPr>
        <w:t>投标单位</w:t>
      </w:r>
      <w:r>
        <w:rPr>
          <w:rFonts w:hint="eastAsia" w:eastAsia="宋体" w:cs="宋体"/>
          <w:color w:val="auto"/>
          <w:sz w:val="24"/>
          <w:szCs w:val="24"/>
          <w:highlight w:val="none"/>
          <w:lang w:val="en-US" w:eastAsia="zh-CN"/>
        </w:rPr>
        <w:t>的授权代表应为单位法定代表人（负责人）或经法定代表人（负责人）授权的该单位员工。</w:t>
      </w:r>
    </w:p>
    <w:p w14:paraId="5BC387C9">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三</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落实政府采购政策需满足的资格要求：本项目不属于专门面向特定企业（单位）的采购项目</w:t>
      </w:r>
      <w:r>
        <w:rPr>
          <w:rFonts w:hint="eastAsia" w:eastAsia="宋体" w:cs="宋体"/>
          <w:color w:val="auto"/>
          <w:sz w:val="24"/>
          <w:szCs w:val="24"/>
          <w:highlight w:val="none"/>
          <w:lang w:eastAsia="zh-CN"/>
        </w:rPr>
        <w:t>。</w:t>
      </w:r>
    </w:p>
    <w:p w14:paraId="40510DA4">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四</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参与本项目政府采购活动时不存在被有关部门禁止参与政府采购活动且在有效期内的情况（由供应商在《政府采购投标及履约承诺函》中作出声明）。</w:t>
      </w:r>
    </w:p>
    <w:p w14:paraId="178C8034">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五</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单位负责人为同一人或者存在直接控股、管理关系的不同供应商，不得参加同一合同项下的政府采购活动（由供应商在《政府采购投标及履约承诺函》中作出声明）。</w:t>
      </w:r>
    </w:p>
    <w:p w14:paraId="576AC690">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六</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被列入失信被执行人、重大税收违法案件当事人名单、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p>
    <w:p w14:paraId="09CB474C">
      <w:pPr>
        <w:keepNext w:val="0"/>
        <w:keepLines w:val="0"/>
        <w:pageBreakBefore w:val="0"/>
        <w:widowControl/>
        <w:kinsoku/>
        <w:wordWrap/>
        <w:overflowPunct/>
        <w:topLinePunct w:val="0"/>
        <w:autoSpaceDE/>
        <w:autoSpaceDN/>
        <w:bidi w:val="0"/>
        <w:adjustRightInd/>
        <w:snapToGrid/>
        <w:spacing w:before="233" w:beforeLines="50" w:after="233" w:afterLines="50" w:line="48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七</w:t>
      </w:r>
      <w:r>
        <w:rPr>
          <w:rFonts w:hint="eastAsia"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14:paraId="3C6A080E">
      <w:pPr>
        <w:pStyle w:val="7"/>
        <w:rPr>
          <w:rFonts w:hint="eastAsia"/>
          <w:color w:val="auto"/>
          <w:highlight w:val="none"/>
        </w:rPr>
      </w:pPr>
    </w:p>
    <w:p w14:paraId="7306F01D">
      <w:pPr>
        <w:pStyle w:val="6"/>
        <w:spacing w:beforeAutospacing="0" w:afterAutospacing="0" w:line="480" w:lineRule="exact"/>
        <w:jc w:val="center"/>
        <w:outlineLvl w:val="1"/>
        <w:rPr>
          <w:rFonts w:hint="eastAsia"/>
          <w:color w:val="auto"/>
          <w:highlight w:val="none"/>
        </w:rPr>
      </w:pPr>
      <w:r>
        <w:rPr>
          <w:rFonts w:hint="eastAsia" w:ascii="Times New Roman" w:hAnsi="Times New Roman" w:eastAsia="宋体" w:cs="Times New Roman"/>
          <w:b/>
          <w:bCs/>
          <w:color w:val="auto"/>
          <w:kern w:val="44"/>
          <w:sz w:val="32"/>
          <w:szCs w:val="52"/>
          <w:highlight w:val="none"/>
          <w:lang w:val="en-US" w:eastAsia="zh-CN" w:bidi="ar-SA"/>
        </w:rPr>
        <w:t xml:space="preserve"> 第二章  招标项目概况</w:t>
      </w:r>
      <w:bookmarkStart w:id="0" w:name="_Toc73521547"/>
      <w:bookmarkStart w:id="1" w:name="_Toc73518117"/>
      <w:bookmarkStart w:id="2" w:name="_Toc73517639"/>
      <w:bookmarkStart w:id="3" w:name="_Toc101074876"/>
      <w:bookmarkStart w:id="4" w:name="_Toc73521635"/>
      <w:bookmarkStart w:id="5" w:name="_Toc60631620"/>
      <w:bookmarkStart w:id="6" w:name="_Toc100052364"/>
      <w:bookmarkStart w:id="7" w:name="_Toc60560625"/>
    </w:p>
    <w:p w14:paraId="0E812AE2">
      <w:pPr>
        <w:keepNext/>
        <w:keepLines/>
        <w:widowControl w:val="0"/>
        <w:spacing w:line="480" w:lineRule="exact"/>
        <w:jc w:val="left"/>
        <w:outlineLvl w:val="0"/>
        <w:rPr>
          <w:rFonts w:hint="default" w:ascii="Times New Roman" w:hAnsi="Times New Roman" w:eastAsia="宋体" w:cs="Times New Roman"/>
          <w:b/>
          <w:bCs/>
          <w:color w:val="auto"/>
          <w:kern w:val="44"/>
          <w:szCs w:val="44"/>
          <w:highlight w:val="none"/>
          <w:lang w:val="en-US" w:eastAsia="zh-CN"/>
        </w:rPr>
      </w:pPr>
      <w:r>
        <w:rPr>
          <w:rFonts w:hint="eastAsia" w:ascii="Times New Roman" w:hAnsi="Times New Roman" w:eastAsia="宋体" w:cs="Times New Roman"/>
          <w:b/>
          <w:bCs/>
          <w:color w:val="auto"/>
          <w:kern w:val="44"/>
          <w:szCs w:val="44"/>
          <w:highlight w:val="none"/>
        </w:rPr>
        <w:t>一、</w:t>
      </w:r>
      <w:r>
        <w:rPr>
          <w:rFonts w:hint="eastAsia" w:ascii="Times New Roman" w:hAnsi="Times New Roman" w:eastAsia="宋体" w:cs="Times New Roman"/>
          <w:b/>
          <w:bCs/>
          <w:color w:val="auto"/>
          <w:kern w:val="44"/>
          <w:szCs w:val="44"/>
          <w:highlight w:val="none"/>
          <w:lang w:val="en-US" w:eastAsia="zh-CN"/>
        </w:rPr>
        <w:t>招标信息</w:t>
      </w:r>
    </w:p>
    <w:bookmarkEnd w:id="0"/>
    <w:bookmarkEnd w:id="1"/>
    <w:bookmarkEnd w:id="2"/>
    <w:bookmarkEnd w:id="3"/>
    <w:bookmarkEnd w:id="4"/>
    <w:bookmarkEnd w:id="5"/>
    <w:bookmarkEnd w:id="6"/>
    <w:bookmarkEnd w:id="7"/>
    <w:tbl>
      <w:tblPr>
        <w:tblStyle w:val="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941"/>
        <w:gridCol w:w="5619"/>
      </w:tblGrid>
      <w:tr w14:paraId="5AB5D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noWrap w:val="0"/>
            <w:vAlign w:val="center"/>
          </w:tcPr>
          <w:p w14:paraId="0F9CB118">
            <w:pPr>
              <w:widowControl w:val="0"/>
              <w:spacing w:line="480" w:lineRule="exact"/>
              <w:jc w:val="center"/>
              <w:rPr>
                <w:rFonts w:ascii="Times New Roman" w:hAnsi="Times New Roman" w:cs="Times New Roman"/>
                <w:b/>
                <w:bCs/>
                <w:color w:val="auto"/>
                <w:kern w:val="2"/>
                <w:sz w:val="24"/>
                <w:szCs w:val="24"/>
                <w:highlight w:val="none"/>
              </w:rPr>
            </w:pPr>
            <w:r>
              <w:rPr>
                <w:rFonts w:ascii="Times New Roman" w:hAnsi="Times New Roman" w:cs="Times New Roman"/>
                <w:b/>
                <w:bCs/>
                <w:color w:val="auto"/>
                <w:kern w:val="2"/>
                <w:sz w:val="24"/>
                <w:szCs w:val="24"/>
                <w:highlight w:val="none"/>
              </w:rPr>
              <w:t>序号</w:t>
            </w:r>
          </w:p>
        </w:tc>
        <w:tc>
          <w:tcPr>
            <w:tcW w:w="1941" w:type="dxa"/>
            <w:noWrap w:val="0"/>
            <w:vAlign w:val="center"/>
          </w:tcPr>
          <w:p w14:paraId="2CA00618">
            <w:pPr>
              <w:widowControl w:val="0"/>
              <w:spacing w:line="480" w:lineRule="exact"/>
              <w:jc w:val="center"/>
              <w:rPr>
                <w:rFonts w:ascii="Times New Roman" w:hAnsi="Times New Roman" w:cs="Times New Roman"/>
                <w:b/>
                <w:bCs/>
                <w:color w:val="auto"/>
                <w:kern w:val="2"/>
                <w:sz w:val="24"/>
                <w:szCs w:val="24"/>
                <w:highlight w:val="none"/>
              </w:rPr>
            </w:pPr>
            <w:r>
              <w:rPr>
                <w:rFonts w:ascii="Times New Roman" w:hAnsi="Times New Roman" w:cs="Times New Roman"/>
                <w:b/>
                <w:bCs/>
                <w:color w:val="auto"/>
                <w:kern w:val="2"/>
                <w:sz w:val="24"/>
                <w:szCs w:val="24"/>
                <w:highlight w:val="none"/>
              </w:rPr>
              <w:t>内   容</w:t>
            </w:r>
          </w:p>
        </w:tc>
        <w:tc>
          <w:tcPr>
            <w:tcW w:w="5619" w:type="dxa"/>
            <w:noWrap w:val="0"/>
            <w:vAlign w:val="center"/>
          </w:tcPr>
          <w:p w14:paraId="6F36EF89">
            <w:pPr>
              <w:widowControl w:val="0"/>
              <w:spacing w:line="480" w:lineRule="exact"/>
              <w:jc w:val="center"/>
              <w:rPr>
                <w:rFonts w:ascii="Times New Roman" w:hAnsi="Times New Roman" w:cs="Times New Roman"/>
                <w:b/>
                <w:bCs/>
                <w:color w:val="auto"/>
                <w:kern w:val="2"/>
                <w:sz w:val="24"/>
                <w:szCs w:val="24"/>
                <w:highlight w:val="none"/>
              </w:rPr>
            </w:pPr>
            <w:r>
              <w:rPr>
                <w:rFonts w:ascii="Times New Roman" w:hAnsi="Times New Roman" w:cs="Times New Roman"/>
                <w:b/>
                <w:bCs/>
                <w:color w:val="auto"/>
                <w:kern w:val="2"/>
                <w:sz w:val="24"/>
                <w:szCs w:val="24"/>
                <w:highlight w:val="none"/>
              </w:rPr>
              <w:t>规      定</w:t>
            </w:r>
          </w:p>
        </w:tc>
      </w:tr>
      <w:tr w14:paraId="46D67E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noWrap w:val="0"/>
            <w:vAlign w:val="center"/>
          </w:tcPr>
          <w:p w14:paraId="0261EDFD">
            <w:pPr>
              <w:widowControl w:val="0"/>
              <w:spacing w:line="480" w:lineRule="exact"/>
              <w:jc w:val="center"/>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val="en-US" w:eastAsia="zh-CN"/>
              </w:rPr>
              <w:t>1</w:t>
            </w:r>
          </w:p>
        </w:tc>
        <w:tc>
          <w:tcPr>
            <w:tcW w:w="1941" w:type="dxa"/>
            <w:noWrap w:val="0"/>
            <w:vAlign w:val="center"/>
          </w:tcPr>
          <w:p w14:paraId="7A38E586">
            <w:pPr>
              <w:widowControl w:val="0"/>
              <w:spacing w:line="480" w:lineRule="exact"/>
              <w:jc w:val="center"/>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投标有效期</w:t>
            </w:r>
          </w:p>
        </w:tc>
        <w:tc>
          <w:tcPr>
            <w:tcW w:w="5619" w:type="dxa"/>
            <w:noWrap w:val="0"/>
            <w:vAlign w:val="center"/>
          </w:tcPr>
          <w:p w14:paraId="138ADBE9">
            <w:pPr>
              <w:widowControl w:val="0"/>
              <w:spacing w:line="480" w:lineRule="exact"/>
              <w:jc w:val="both"/>
              <w:rPr>
                <w:rFonts w:ascii="Times New Roman" w:hAnsi="Times New Roman" w:cs="Times New Roman"/>
                <w:color w:val="auto"/>
                <w:kern w:val="2"/>
                <w:sz w:val="24"/>
                <w:szCs w:val="24"/>
                <w:highlight w:val="none"/>
              </w:rPr>
            </w:pPr>
            <w:r>
              <w:rPr>
                <w:rFonts w:hint="eastAsia" w:ascii="Times New Roman" w:hAnsi="Times New Roman" w:cs="Times New Roman"/>
                <w:color w:val="auto"/>
                <w:kern w:val="2"/>
                <w:sz w:val="24"/>
                <w:szCs w:val="24"/>
                <w:highlight w:val="none"/>
                <w:u w:val="single"/>
                <w:lang w:val="en-US" w:eastAsia="zh-CN"/>
              </w:rPr>
              <w:t xml:space="preserve"> </w:t>
            </w:r>
            <w:r>
              <w:rPr>
                <w:rFonts w:hint="default" w:ascii="Times New Roman" w:hAnsi="Times New Roman" w:cs="Times New Roman"/>
                <w:color w:val="auto"/>
                <w:kern w:val="2"/>
                <w:sz w:val="24"/>
                <w:szCs w:val="24"/>
                <w:highlight w:val="none"/>
                <w:u w:val="single"/>
                <w:lang w:val="en-US" w:eastAsia="zh-CN"/>
              </w:rPr>
              <w:t>3</w:t>
            </w:r>
            <w:r>
              <w:rPr>
                <w:rFonts w:hint="eastAsia" w:ascii="Times New Roman" w:hAnsi="Times New Roman" w:cs="Times New Roman"/>
                <w:color w:val="auto"/>
                <w:kern w:val="2"/>
                <w:sz w:val="24"/>
                <w:szCs w:val="24"/>
                <w:highlight w:val="none"/>
                <w:u w:val="single"/>
                <w:lang w:val="en-US" w:eastAsia="zh-CN"/>
              </w:rPr>
              <w:t xml:space="preserve">0 </w:t>
            </w:r>
            <w:r>
              <w:rPr>
                <w:rFonts w:ascii="Times New Roman" w:hAnsi="Times New Roman" w:cs="Times New Roman"/>
                <w:color w:val="auto"/>
                <w:kern w:val="2"/>
                <w:sz w:val="24"/>
                <w:szCs w:val="24"/>
                <w:highlight w:val="none"/>
                <w:u w:val="none"/>
              </w:rPr>
              <w:t>日历天（</w:t>
            </w:r>
            <w:r>
              <w:rPr>
                <w:rFonts w:ascii="Times New Roman" w:hAnsi="Times New Roman" w:cs="Times New Roman"/>
                <w:color w:val="auto"/>
                <w:kern w:val="2"/>
                <w:sz w:val="24"/>
                <w:szCs w:val="24"/>
                <w:highlight w:val="none"/>
              </w:rPr>
              <w:t>从投标截止之日算起）</w:t>
            </w:r>
          </w:p>
        </w:tc>
      </w:tr>
      <w:tr w14:paraId="2631F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noWrap w:val="0"/>
            <w:vAlign w:val="center"/>
          </w:tcPr>
          <w:p w14:paraId="53F1F52A">
            <w:pPr>
              <w:widowControl w:val="0"/>
              <w:spacing w:line="480" w:lineRule="exact"/>
              <w:jc w:val="center"/>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val="en-US" w:eastAsia="zh-CN"/>
              </w:rPr>
              <w:t>2</w:t>
            </w:r>
          </w:p>
        </w:tc>
        <w:tc>
          <w:tcPr>
            <w:tcW w:w="1941" w:type="dxa"/>
            <w:noWrap w:val="0"/>
            <w:vAlign w:val="center"/>
          </w:tcPr>
          <w:p w14:paraId="1657BB05">
            <w:pPr>
              <w:widowControl w:val="0"/>
              <w:spacing w:line="480" w:lineRule="exact"/>
              <w:jc w:val="center"/>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投标文件的投递</w:t>
            </w:r>
          </w:p>
        </w:tc>
        <w:tc>
          <w:tcPr>
            <w:tcW w:w="5619" w:type="dxa"/>
            <w:noWrap w:val="0"/>
            <w:vAlign w:val="center"/>
          </w:tcPr>
          <w:p w14:paraId="3329AFF0">
            <w:pPr>
              <w:widowControl w:val="0"/>
              <w:spacing w:line="480" w:lineRule="exact"/>
              <w:jc w:val="both"/>
              <w:rPr>
                <w:rFonts w:hint="eastAsia" w:ascii="Times New Roman" w:hAnsi="Times New Roman" w:eastAsia="宋体" w:cs="Times New Roman"/>
                <w:color w:val="auto"/>
                <w:kern w:val="2"/>
                <w:sz w:val="24"/>
                <w:szCs w:val="24"/>
                <w:highlight w:val="none"/>
                <w:u w:val="none"/>
              </w:rPr>
            </w:pPr>
            <w:r>
              <w:rPr>
                <w:rFonts w:hint="eastAsia" w:ascii="Times New Roman" w:hAnsi="Times New Roman" w:eastAsia="宋体" w:cs="Times New Roman"/>
                <w:color w:val="auto"/>
                <w:kern w:val="2"/>
                <w:sz w:val="24"/>
                <w:szCs w:val="24"/>
                <w:highlight w:val="none"/>
                <w:u w:val="none"/>
              </w:rPr>
              <w:t>1.</w:t>
            </w:r>
            <w:r>
              <w:rPr>
                <w:rFonts w:hint="eastAsia" w:ascii="Times New Roman" w:hAnsi="Times New Roman" w:eastAsia="宋体" w:cs="Times New Roman"/>
                <w:color w:val="auto"/>
                <w:kern w:val="2"/>
                <w:sz w:val="24"/>
                <w:szCs w:val="24"/>
                <w:highlight w:val="none"/>
                <w:u w:val="none"/>
                <w:lang w:eastAsia="zh-CN"/>
              </w:rPr>
              <w:t>投标单位</w:t>
            </w:r>
            <w:r>
              <w:rPr>
                <w:rFonts w:hint="eastAsia" w:ascii="Times New Roman" w:hAnsi="Times New Roman" w:eastAsia="宋体" w:cs="Times New Roman"/>
                <w:color w:val="auto"/>
                <w:kern w:val="2"/>
                <w:sz w:val="24"/>
                <w:szCs w:val="24"/>
                <w:highlight w:val="none"/>
                <w:u w:val="none"/>
              </w:rPr>
              <w:t>将投标文件按规定密封和标记后，按以下注明的地址在投标截止时间之前送至招标单位。</w:t>
            </w:r>
          </w:p>
          <w:p w14:paraId="6953BBFD">
            <w:pPr>
              <w:widowControl w:val="0"/>
              <w:spacing w:line="480" w:lineRule="exact"/>
              <w:jc w:val="both"/>
              <w:rPr>
                <w:rFonts w:hint="eastAsia" w:ascii="Times New Roman" w:hAnsi="Times New Roman" w:eastAsia="宋体" w:cs="Times New Roman"/>
                <w:color w:val="auto"/>
                <w:kern w:val="2"/>
                <w:sz w:val="24"/>
                <w:szCs w:val="24"/>
                <w:highlight w:val="none"/>
                <w:u w:val="none"/>
                <w:lang w:eastAsia="zh-CN"/>
              </w:rPr>
            </w:pPr>
            <w:r>
              <w:rPr>
                <w:rFonts w:hint="eastAsia" w:ascii="Times New Roman" w:hAnsi="Times New Roman" w:eastAsia="宋体" w:cs="Times New Roman"/>
                <w:color w:val="auto"/>
                <w:kern w:val="2"/>
                <w:sz w:val="24"/>
                <w:szCs w:val="24"/>
                <w:highlight w:val="none"/>
                <w:u w:val="none"/>
              </w:rPr>
              <w:t>2.递交资料截止时间：20</w:t>
            </w:r>
            <w:r>
              <w:rPr>
                <w:rFonts w:hint="eastAsia" w:ascii="Times New Roman" w:hAnsi="Times New Roman" w:eastAsia="宋体" w:cs="Times New Roman"/>
                <w:color w:val="auto"/>
                <w:kern w:val="2"/>
                <w:sz w:val="24"/>
                <w:szCs w:val="24"/>
                <w:highlight w:val="none"/>
                <w:u w:val="none"/>
                <w:lang w:val="en-US" w:eastAsia="zh-CN"/>
              </w:rPr>
              <w:t>2</w:t>
            </w:r>
            <w:r>
              <w:rPr>
                <w:rFonts w:hint="eastAsia" w:ascii="Times New Roman" w:hAnsi="Times New Roman" w:cs="Times New Roman"/>
                <w:color w:val="auto"/>
                <w:kern w:val="2"/>
                <w:sz w:val="24"/>
                <w:szCs w:val="24"/>
                <w:highlight w:val="none"/>
                <w:u w:val="none"/>
                <w:lang w:val="en-US" w:eastAsia="zh-CN"/>
              </w:rPr>
              <w:t>5</w:t>
            </w:r>
            <w:r>
              <w:rPr>
                <w:rFonts w:hint="eastAsia" w:ascii="Times New Roman" w:hAnsi="Times New Roman" w:eastAsia="宋体" w:cs="Times New Roman"/>
                <w:color w:val="auto"/>
                <w:kern w:val="2"/>
                <w:sz w:val="24"/>
                <w:szCs w:val="24"/>
                <w:highlight w:val="none"/>
                <w:u w:val="none"/>
              </w:rPr>
              <w:t>年</w:t>
            </w:r>
            <w:r>
              <w:rPr>
                <w:rFonts w:hint="eastAsia" w:ascii="Times New Roman" w:hAnsi="Times New Roman" w:cs="Times New Roman"/>
                <w:color w:val="auto"/>
                <w:kern w:val="2"/>
                <w:sz w:val="24"/>
                <w:szCs w:val="24"/>
                <w:highlight w:val="none"/>
                <w:u w:val="single"/>
                <w:lang w:val="en-US" w:eastAsia="zh-CN"/>
              </w:rPr>
              <w:t>12</w:t>
            </w:r>
            <w:r>
              <w:rPr>
                <w:rFonts w:hint="eastAsia" w:ascii="Times New Roman" w:hAnsi="Times New Roman" w:eastAsia="宋体" w:cs="Times New Roman"/>
                <w:color w:val="auto"/>
                <w:kern w:val="2"/>
                <w:sz w:val="24"/>
                <w:szCs w:val="24"/>
                <w:highlight w:val="none"/>
                <w:u w:val="none"/>
              </w:rPr>
              <w:t>月</w:t>
            </w:r>
            <w:r>
              <w:rPr>
                <w:rFonts w:hint="eastAsia" w:ascii="Times New Roman" w:hAnsi="Times New Roman" w:cs="Times New Roman"/>
                <w:color w:val="auto"/>
                <w:kern w:val="2"/>
                <w:sz w:val="24"/>
                <w:szCs w:val="24"/>
                <w:highlight w:val="none"/>
                <w:u w:val="single"/>
                <w:lang w:val="en-US" w:eastAsia="zh-CN"/>
              </w:rPr>
              <w:t>17</w:t>
            </w:r>
            <w:r>
              <w:rPr>
                <w:rFonts w:hint="eastAsia" w:ascii="Times New Roman" w:hAnsi="Times New Roman" w:eastAsia="宋体" w:cs="Times New Roman"/>
                <w:color w:val="auto"/>
                <w:kern w:val="2"/>
                <w:sz w:val="24"/>
                <w:szCs w:val="24"/>
                <w:highlight w:val="none"/>
                <w:u w:val="none"/>
              </w:rPr>
              <w:t>日</w:t>
            </w:r>
            <w:r>
              <w:rPr>
                <w:rFonts w:hint="eastAsia" w:ascii="Times New Roman" w:hAnsi="Times New Roman" w:eastAsia="宋体" w:cs="Times New Roman"/>
                <w:color w:val="auto"/>
                <w:kern w:val="2"/>
                <w:sz w:val="24"/>
                <w:szCs w:val="24"/>
                <w:highlight w:val="none"/>
                <w:u w:val="none"/>
                <w:lang w:val="en-US" w:eastAsia="zh-CN"/>
              </w:rPr>
              <w:t>1</w:t>
            </w:r>
            <w:r>
              <w:rPr>
                <w:rFonts w:hint="eastAsia" w:ascii="Times New Roman" w:hAnsi="Times New Roman" w:cs="Times New Roman"/>
                <w:color w:val="auto"/>
                <w:kern w:val="2"/>
                <w:sz w:val="24"/>
                <w:szCs w:val="24"/>
                <w:highlight w:val="none"/>
                <w:u w:val="none"/>
                <w:lang w:val="en-US" w:eastAsia="zh-CN"/>
              </w:rPr>
              <w:t>6</w:t>
            </w:r>
            <w:r>
              <w:rPr>
                <w:rFonts w:hint="eastAsia" w:ascii="Times New Roman" w:hAnsi="Times New Roman" w:eastAsia="宋体" w:cs="Times New Roman"/>
                <w:color w:val="auto"/>
                <w:kern w:val="2"/>
                <w:sz w:val="24"/>
                <w:szCs w:val="24"/>
                <w:highlight w:val="none"/>
                <w:u w:val="none"/>
                <w:lang w:val="en-US" w:eastAsia="zh-CN"/>
              </w:rPr>
              <w:t>:</w:t>
            </w:r>
            <w:r>
              <w:rPr>
                <w:rFonts w:hint="eastAsia" w:ascii="Times New Roman" w:hAnsi="Times New Roman" w:eastAsia="宋体" w:cs="Times New Roman"/>
                <w:color w:val="auto"/>
                <w:kern w:val="2"/>
                <w:sz w:val="24"/>
                <w:szCs w:val="24"/>
                <w:highlight w:val="none"/>
                <w:u w:val="none"/>
              </w:rPr>
              <w:t>00</w:t>
            </w:r>
            <w:r>
              <w:rPr>
                <w:rFonts w:hint="eastAsia" w:ascii="Times New Roman" w:hAnsi="Times New Roman" w:eastAsia="宋体" w:cs="Times New Roman"/>
                <w:color w:val="auto"/>
                <w:kern w:val="2"/>
                <w:sz w:val="24"/>
                <w:szCs w:val="24"/>
                <w:highlight w:val="none"/>
                <w:u w:val="none"/>
                <w:lang w:eastAsia="zh-CN"/>
              </w:rPr>
              <w:t>；</w:t>
            </w:r>
          </w:p>
          <w:p w14:paraId="11E68D82">
            <w:pPr>
              <w:widowControl w:val="0"/>
              <w:spacing w:line="480" w:lineRule="exact"/>
              <w:jc w:val="both"/>
              <w:rPr>
                <w:rFonts w:hint="eastAsia" w:ascii="Times New Roman" w:hAnsi="Times New Roman" w:eastAsia="宋体" w:cs="Times New Roman"/>
                <w:color w:val="auto"/>
                <w:kern w:val="2"/>
                <w:sz w:val="24"/>
                <w:szCs w:val="24"/>
                <w:highlight w:val="none"/>
                <w:u w:val="single"/>
                <w:lang w:eastAsia="zh-CN"/>
              </w:rPr>
            </w:pPr>
            <w:r>
              <w:rPr>
                <w:rFonts w:hint="eastAsia" w:ascii="Times New Roman" w:hAnsi="Times New Roman" w:eastAsia="宋体" w:cs="Times New Roman"/>
                <w:color w:val="auto"/>
                <w:kern w:val="2"/>
                <w:sz w:val="24"/>
                <w:szCs w:val="24"/>
                <w:highlight w:val="none"/>
                <w:u w:val="none"/>
              </w:rPr>
              <w:t>地点：深圳市南山区桃园路</w:t>
            </w:r>
            <w:r>
              <w:rPr>
                <w:rFonts w:hint="eastAsia" w:ascii="Times New Roman" w:hAnsi="Times New Roman" w:eastAsia="宋体" w:cs="Times New Roman"/>
                <w:color w:val="auto"/>
                <w:kern w:val="2"/>
                <w:sz w:val="24"/>
                <w:szCs w:val="24"/>
                <w:highlight w:val="none"/>
                <w:u w:val="none"/>
                <w:lang w:val="en-US" w:eastAsia="zh-CN"/>
              </w:rPr>
              <w:t>2号</w:t>
            </w:r>
            <w:r>
              <w:rPr>
                <w:rFonts w:hint="eastAsia" w:ascii="Times New Roman" w:hAnsi="Times New Roman" w:eastAsia="宋体" w:cs="Times New Roman"/>
                <w:color w:val="auto"/>
                <w:kern w:val="2"/>
                <w:sz w:val="24"/>
                <w:szCs w:val="24"/>
                <w:highlight w:val="none"/>
                <w:u w:val="none"/>
              </w:rPr>
              <w:t>区委大楼</w:t>
            </w:r>
            <w:r>
              <w:rPr>
                <w:rFonts w:hint="eastAsia" w:ascii="Times New Roman" w:hAnsi="Times New Roman" w:cs="Times New Roman"/>
                <w:color w:val="auto"/>
                <w:kern w:val="2"/>
                <w:highlight w:val="none"/>
                <w:u w:val="single"/>
              </w:rPr>
              <w:t>A0</w:t>
            </w:r>
            <w:r>
              <w:rPr>
                <w:rFonts w:hint="eastAsia" w:ascii="Times New Roman" w:hAnsi="Times New Roman" w:cs="Times New Roman"/>
                <w:color w:val="auto"/>
                <w:kern w:val="2"/>
                <w:highlight w:val="none"/>
                <w:u w:val="single"/>
                <w:lang w:val="en-US" w:eastAsia="zh-CN"/>
              </w:rPr>
              <w:t>314</w:t>
            </w:r>
            <w:r>
              <w:rPr>
                <w:rFonts w:hint="eastAsia" w:ascii="Times New Roman" w:hAnsi="Times New Roman" w:eastAsia="宋体" w:cs="Times New Roman"/>
                <w:color w:val="auto"/>
                <w:kern w:val="2"/>
                <w:sz w:val="24"/>
                <w:szCs w:val="24"/>
                <w:highlight w:val="none"/>
                <w:u w:val="none"/>
              </w:rPr>
              <w:t>室</w:t>
            </w:r>
            <w:r>
              <w:rPr>
                <w:rFonts w:hint="eastAsia" w:ascii="Times New Roman" w:hAnsi="Times New Roman" w:eastAsia="宋体" w:cs="Times New Roman"/>
                <w:color w:val="auto"/>
                <w:kern w:val="2"/>
                <w:sz w:val="24"/>
                <w:szCs w:val="24"/>
                <w:highlight w:val="none"/>
                <w:u w:val="none"/>
                <w:lang w:eastAsia="zh-CN"/>
              </w:rPr>
              <w:t>；</w:t>
            </w:r>
          </w:p>
          <w:p w14:paraId="11258120">
            <w:pPr>
              <w:widowControl w:val="0"/>
              <w:spacing w:line="480" w:lineRule="exact"/>
              <w:jc w:val="both"/>
              <w:rPr>
                <w:rFonts w:hint="eastAsia" w:ascii="Times New Roman" w:hAnsi="Times New Roman" w:eastAsia="宋体" w:cs="Times New Roman"/>
                <w:color w:val="auto"/>
                <w:kern w:val="2"/>
                <w:sz w:val="24"/>
                <w:szCs w:val="24"/>
                <w:highlight w:val="none"/>
                <w:u w:val="single"/>
                <w:lang w:val="en-US" w:eastAsia="zh-CN"/>
              </w:rPr>
            </w:pPr>
            <w:r>
              <w:rPr>
                <w:rFonts w:hint="eastAsia" w:ascii="Times New Roman" w:hAnsi="Times New Roman" w:eastAsia="宋体" w:cs="Times New Roman"/>
                <w:i w:val="0"/>
                <w:iCs w:val="0"/>
                <w:color w:val="auto"/>
                <w:kern w:val="2"/>
                <w:sz w:val="24"/>
                <w:szCs w:val="24"/>
                <w:highlight w:val="none"/>
                <w:u w:val="none"/>
              </w:rPr>
              <w:t>联系人：</w:t>
            </w:r>
            <w:r>
              <w:rPr>
                <w:rFonts w:hint="eastAsia" w:ascii="Times New Roman" w:hAnsi="Times New Roman" w:cs="Times New Roman"/>
                <w:color w:val="auto"/>
                <w:kern w:val="2"/>
                <w:sz w:val="24"/>
                <w:szCs w:val="24"/>
                <w:highlight w:val="none"/>
                <w:u w:val="single"/>
                <w:lang w:val="en-US" w:eastAsia="zh-CN"/>
              </w:rPr>
              <w:t>李工</w:t>
            </w:r>
            <w:r>
              <w:rPr>
                <w:rFonts w:hint="eastAsia" w:ascii="Times New Roman" w:hAnsi="Times New Roman" w:eastAsia="宋体" w:cs="Times New Roman"/>
                <w:color w:val="auto"/>
                <w:kern w:val="2"/>
                <w:sz w:val="24"/>
                <w:szCs w:val="24"/>
                <w:highlight w:val="none"/>
                <w:u w:val="none"/>
                <w:lang w:eastAsia="zh-CN"/>
              </w:rPr>
              <w:t>；</w:t>
            </w:r>
            <w:r>
              <w:rPr>
                <w:rFonts w:hint="eastAsia" w:ascii="Times New Roman" w:hAnsi="Times New Roman" w:eastAsia="宋体" w:cs="Times New Roman"/>
                <w:i w:val="0"/>
                <w:iCs w:val="0"/>
                <w:color w:val="auto"/>
                <w:kern w:val="2"/>
                <w:sz w:val="24"/>
                <w:szCs w:val="24"/>
                <w:highlight w:val="none"/>
                <w:u w:val="none"/>
              </w:rPr>
              <w:t>电话</w:t>
            </w:r>
            <w:r>
              <w:rPr>
                <w:rFonts w:hint="eastAsia" w:ascii="Times New Roman" w:hAnsi="Times New Roman" w:eastAsia="宋体" w:cs="Times New Roman"/>
                <w:i w:val="0"/>
                <w:iCs w:val="0"/>
                <w:color w:val="auto"/>
                <w:kern w:val="2"/>
                <w:sz w:val="24"/>
                <w:szCs w:val="24"/>
                <w:highlight w:val="none"/>
                <w:u w:val="none"/>
                <w:lang w:eastAsia="zh-CN"/>
              </w:rPr>
              <w:t>：</w:t>
            </w:r>
            <w:r>
              <w:rPr>
                <w:rFonts w:hint="eastAsia" w:ascii="Times New Roman" w:hAnsi="Times New Roman" w:eastAsia="宋体" w:cs="Times New Roman"/>
                <w:color w:val="auto"/>
                <w:kern w:val="2"/>
                <w:sz w:val="24"/>
                <w:szCs w:val="24"/>
                <w:highlight w:val="none"/>
                <w:u w:val="single"/>
                <w:lang w:val="en-US" w:eastAsia="zh-CN"/>
              </w:rPr>
              <w:t xml:space="preserve"> 0755-</w:t>
            </w:r>
            <w:r>
              <w:rPr>
                <w:rFonts w:hint="eastAsia" w:ascii="Times New Roman" w:hAnsi="Times New Roman" w:cs="Times New Roman"/>
                <w:color w:val="auto"/>
                <w:kern w:val="2"/>
                <w:sz w:val="24"/>
                <w:szCs w:val="24"/>
                <w:highlight w:val="none"/>
                <w:u w:val="single"/>
                <w:lang w:val="en-US" w:eastAsia="zh-CN"/>
              </w:rPr>
              <w:t xml:space="preserve">88167612 </w:t>
            </w:r>
            <w:r>
              <w:rPr>
                <w:rFonts w:hint="eastAsia" w:ascii="Times New Roman" w:hAnsi="Times New Roman" w:eastAsia="宋体" w:cs="Times New Roman"/>
                <w:color w:val="auto"/>
                <w:kern w:val="2"/>
                <w:sz w:val="24"/>
                <w:szCs w:val="24"/>
                <w:highlight w:val="none"/>
                <w:u w:val="none"/>
                <w:lang w:eastAsia="zh-CN"/>
              </w:rPr>
              <w:t>；</w:t>
            </w:r>
          </w:p>
        </w:tc>
      </w:tr>
      <w:tr w14:paraId="30E20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noWrap w:val="0"/>
            <w:vAlign w:val="center"/>
          </w:tcPr>
          <w:p w14:paraId="7F868F4C">
            <w:pPr>
              <w:widowControl w:val="0"/>
              <w:spacing w:line="480" w:lineRule="exact"/>
              <w:jc w:val="center"/>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val="en-US" w:eastAsia="zh-CN"/>
              </w:rPr>
              <w:t>3</w:t>
            </w:r>
          </w:p>
        </w:tc>
        <w:tc>
          <w:tcPr>
            <w:tcW w:w="1941" w:type="dxa"/>
            <w:noWrap w:val="0"/>
            <w:vAlign w:val="center"/>
          </w:tcPr>
          <w:p w14:paraId="53F3B409">
            <w:pPr>
              <w:widowControl w:val="0"/>
              <w:spacing w:line="480" w:lineRule="exact"/>
              <w:jc w:val="center"/>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中标数量</w:t>
            </w:r>
          </w:p>
        </w:tc>
        <w:tc>
          <w:tcPr>
            <w:tcW w:w="5619" w:type="dxa"/>
            <w:noWrap w:val="0"/>
            <w:vAlign w:val="center"/>
          </w:tcPr>
          <w:p w14:paraId="42801E84">
            <w:pPr>
              <w:widowControl w:val="0"/>
              <w:spacing w:line="480" w:lineRule="exact"/>
              <w:jc w:val="both"/>
              <w:rPr>
                <w:rFonts w:ascii="Times New Roman" w:hAnsi="Times New Roman" w:cs="Times New Roman"/>
                <w:color w:val="auto"/>
                <w:kern w:val="2"/>
                <w:sz w:val="24"/>
                <w:szCs w:val="24"/>
                <w:highlight w:val="none"/>
              </w:rPr>
            </w:pPr>
            <w:r>
              <w:rPr>
                <w:rFonts w:hint="eastAsia" w:ascii="Times New Roman" w:hAnsi="Times New Roman" w:cs="Times New Roman"/>
                <w:color w:val="auto"/>
                <w:kern w:val="2"/>
                <w:sz w:val="24"/>
                <w:szCs w:val="24"/>
                <w:highlight w:val="none"/>
              </w:rPr>
              <w:t>该项目确定中标单位1名，若通过</w:t>
            </w:r>
            <w:r>
              <w:rPr>
                <w:rFonts w:hint="eastAsia" w:ascii="Times New Roman" w:hAnsi="Times New Roman" w:cs="Times New Roman"/>
                <w:color w:val="auto"/>
                <w:kern w:val="2"/>
                <w:sz w:val="24"/>
                <w:szCs w:val="24"/>
                <w:highlight w:val="none"/>
                <w:lang w:val="en-US" w:eastAsia="zh-CN"/>
              </w:rPr>
              <w:t>资格审查</w:t>
            </w:r>
            <w:r>
              <w:rPr>
                <w:rFonts w:hint="eastAsia" w:ascii="Times New Roman" w:hAnsi="Times New Roman" w:cs="Times New Roman"/>
                <w:color w:val="auto"/>
                <w:kern w:val="2"/>
                <w:sz w:val="24"/>
                <w:szCs w:val="24"/>
                <w:highlight w:val="none"/>
              </w:rPr>
              <w:t>的供应商不足3名的，则本项目</w:t>
            </w:r>
            <w:r>
              <w:rPr>
                <w:rFonts w:hint="eastAsia" w:ascii="Times New Roman" w:hAnsi="Times New Roman" w:cs="Times New Roman"/>
                <w:color w:val="auto"/>
                <w:kern w:val="2"/>
                <w:sz w:val="24"/>
                <w:szCs w:val="24"/>
                <w:highlight w:val="none"/>
                <w:lang w:eastAsia="zh-CN"/>
              </w:rPr>
              <w:t>第一轮</w:t>
            </w:r>
            <w:r>
              <w:rPr>
                <w:rFonts w:hint="eastAsia" w:ascii="Times New Roman" w:hAnsi="Times New Roman" w:cs="Times New Roman"/>
                <w:color w:val="auto"/>
                <w:kern w:val="2"/>
                <w:sz w:val="24"/>
                <w:szCs w:val="24"/>
                <w:highlight w:val="none"/>
              </w:rPr>
              <w:t>招标失败</w:t>
            </w:r>
            <w:r>
              <w:rPr>
                <w:rFonts w:hint="eastAsia" w:ascii="Times New Roman" w:hAnsi="Times New Roman" w:cs="Times New Roman"/>
                <w:color w:val="auto"/>
                <w:kern w:val="2"/>
                <w:sz w:val="24"/>
                <w:szCs w:val="24"/>
                <w:highlight w:val="none"/>
                <w:lang w:eastAsia="zh-CN"/>
              </w:rPr>
              <w:t>，须以体现充分竞争为目的，</w:t>
            </w:r>
            <w:r>
              <w:rPr>
                <w:rFonts w:hint="eastAsia" w:ascii="Times New Roman" w:hAnsi="Times New Roman" w:cs="Times New Roman"/>
                <w:color w:val="auto"/>
                <w:kern w:val="2"/>
                <w:sz w:val="24"/>
                <w:szCs w:val="24"/>
                <w:highlight w:val="none"/>
                <w:lang w:val="en-US" w:eastAsia="zh-CN"/>
              </w:rPr>
              <w:t>降低招标标准（评分因素）</w:t>
            </w:r>
            <w:r>
              <w:rPr>
                <w:rFonts w:hint="eastAsia" w:ascii="Times New Roman" w:hAnsi="Times New Roman" w:cs="Times New Roman"/>
                <w:color w:val="auto"/>
                <w:kern w:val="2"/>
                <w:sz w:val="24"/>
                <w:szCs w:val="24"/>
                <w:highlight w:val="none"/>
                <w:lang w:eastAsia="zh-CN"/>
              </w:rPr>
              <w:t>进行第二轮招标</w:t>
            </w:r>
            <w:r>
              <w:rPr>
                <w:rFonts w:hint="eastAsia" w:ascii="Times New Roman" w:hAnsi="Times New Roman" w:cs="Times New Roman"/>
                <w:color w:val="auto"/>
                <w:kern w:val="2"/>
                <w:sz w:val="24"/>
                <w:szCs w:val="24"/>
                <w:highlight w:val="none"/>
              </w:rPr>
              <w:t>。</w:t>
            </w:r>
          </w:p>
        </w:tc>
      </w:tr>
      <w:tr w14:paraId="00FFA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807" w:type="dxa"/>
            <w:noWrap w:val="0"/>
            <w:vAlign w:val="center"/>
          </w:tcPr>
          <w:p w14:paraId="1B201D30">
            <w:pPr>
              <w:widowControl w:val="0"/>
              <w:spacing w:line="480" w:lineRule="exact"/>
              <w:jc w:val="center"/>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cs="Times New Roman"/>
                <w:color w:val="auto"/>
                <w:kern w:val="2"/>
                <w:sz w:val="24"/>
                <w:szCs w:val="24"/>
                <w:highlight w:val="none"/>
                <w:lang w:val="en-US" w:eastAsia="zh-CN"/>
              </w:rPr>
              <w:t>4</w:t>
            </w:r>
          </w:p>
        </w:tc>
        <w:tc>
          <w:tcPr>
            <w:tcW w:w="1941" w:type="dxa"/>
            <w:noWrap w:val="0"/>
            <w:vAlign w:val="center"/>
          </w:tcPr>
          <w:p w14:paraId="144B6EE2">
            <w:pPr>
              <w:widowControl w:val="0"/>
              <w:spacing w:line="480" w:lineRule="exact"/>
              <w:jc w:val="center"/>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定标方法</w:t>
            </w:r>
          </w:p>
        </w:tc>
        <w:tc>
          <w:tcPr>
            <w:tcW w:w="5619" w:type="dxa"/>
            <w:noWrap w:val="0"/>
            <w:vAlign w:val="center"/>
          </w:tcPr>
          <w:p w14:paraId="59701028">
            <w:pPr>
              <w:widowControl w:val="0"/>
              <w:spacing w:line="480" w:lineRule="exact"/>
              <w:jc w:val="both"/>
              <w:rPr>
                <w:rFonts w:hint="default" w:ascii="Times New Roman" w:hAnsi="Times New Roman" w:eastAsia="宋体" w:cs="Times New Roman"/>
                <w:color w:val="auto"/>
                <w:kern w:val="2"/>
                <w:sz w:val="24"/>
                <w:szCs w:val="24"/>
                <w:highlight w:val="none"/>
                <w:lang w:val="en-US" w:eastAsia="zh-CN"/>
              </w:rPr>
            </w:pPr>
            <w:r>
              <w:rPr>
                <w:rFonts w:hint="eastAsia" w:ascii="Times New Roman" w:hAnsi="Times New Roman" w:cs="Times New Roman"/>
                <w:color w:val="auto"/>
                <w:kern w:val="2"/>
                <w:sz w:val="24"/>
                <w:szCs w:val="24"/>
                <w:highlight w:val="none"/>
                <w:lang w:val="en-US" w:eastAsia="zh-CN"/>
              </w:rPr>
              <w:t>综合评分法</w:t>
            </w:r>
          </w:p>
        </w:tc>
      </w:tr>
    </w:tbl>
    <w:p w14:paraId="3A750A11">
      <w:pPr>
        <w:keepNext/>
        <w:keepLines/>
        <w:widowControl w:val="0"/>
        <w:adjustRightInd/>
        <w:spacing w:before="231" w:beforeLines="50" w:after="231" w:afterLines="50" w:line="480" w:lineRule="exact"/>
        <w:textAlignment w:val="baseline"/>
        <w:outlineLvl w:val="1"/>
        <w:rPr>
          <w:rFonts w:hint="eastAsia" w:ascii="Times New Roman" w:hAnsi="Times New Roman" w:eastAsia="宋体" w:cs="Times New Roman"/>
          <w:b/>
          <w:bCs/>
          <w:color w:val="auto"/>
          <w:szCs w:val="20"/>
          <w:highlight w:val="none"/>
          <w:lang w:val="en-US" w:eastAsia="zh-CN"/>
        </w:rPr>
      </w:pPr>
      <w:bookmarkStart w:id="8" w:name="_Toc128884461"/>
      <w:r>
        <w:rPr>
          <w:rFonts w:hint="eastAsia" w:ascii="Times New Roman" w:hAnsi="Times New Roman" w:eastAsia="宋体" w:cs="Times New Roman"/>
          <w:b/>
          <w:bCs/>
          <w:color w:val="auto"/>
          <w:szCs w:val="20"/>
          <w:highlight w:val="none"/>
          <w:lang w:val="en-US" w:eastAsia="zh-CN"/>
        </w:rPr>
        <w:t>二、招标项目概况</w:t>
      </w:r>
      <w:bookmarkEnd w:id="8"/>
    </w:p>
    <w:p w14:paraId="3C73B5A0">
      <w:pPr>
        <w:spacing w:line="480" w:lineRule="exact"/>
        <w:ind w:firstLine="480" w:firstLineChars="200"/>
        <w:jc w:val="both"/>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招标单位</w:t>
      </w:r>
      <w:r>
        <w:rPr>
          <w:rFonts w:hint="eastAsia"/>
          <w:color w:val="auto"/>
          <w:sz w:val="24"/>
          <w:szCs w:val="24"/>
          <w:highlight w:val="none"/>
          <w:lang w:eastAsia="zh-CN"/>
        </w:rPr>
        <w:t>（</w:t>
      </w:r>
      <w:r>
        <w:rPr>
          <w:rFonts w:hint="eastAsia"/>
          <w:color w:val="auto"/>
          <w:sz w:val="24"/>
          <w:szCs w:val="24"/>
          <w:highlight w:val="none"/>
        </w:rPr>
        <w:t>采购单位</w:t>
      </w:r>
      <w:r>
        <w:rPr>
          <w:rFonts w:hint="eastAsia"/>
          <w:color w:val="auto"/>
          <w:sz w:val="24"/>
          <w:szCs w:val="24"/>
          <w:highlight w:val="none"/>
          <w:lang w:eastAsia="zh-CN"/>
        </w:rPr>
        <w:t>）</w:t>
      </w:r>
      <w:r>
        <w:rPr>
          <w:rFonts w:hint="eastAsia"/>
          <w:color w:val="auto"/>
          <w:sz w:val="24"/>
          <w:szCs w:val="24"/>
          <w:highlight w:val="none"/>
        </w:rPr>
        <w:t>：深圳市南山区住房和建设局。</w:t>
      </w:r>
    </w:p>
    <w:p w14:paraId="34099B11">
      <w:pPr>
        <w:spacing w:line="480" w:lineRule="exact"/>
        <w:ind w:firstLine="480" w:firstLineChars="200"/>
        <w:jc w:val="both"/>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、采购内容：</w:t>
      </w:r>
      <w:r>
        <w:rPr>
          <w:rFonts w:hint="eastAsia"/>
          <w:color w:val="auto"/>
          <w:sz w:val="24"/>
          <w:szCs w:val="24"/>
          <w:highlight w:val="none"/>
          <w:u w:val="single"/>
        </w:rPr>
        <w:t>深圳市南山区住房和建设局2026年度保障性住房专项规划咨询服务。</w:t>
      </w:r>
    </w:p>
    <w:p w14:paraId="63267873">
      <w:pPr>
        <w:spacing w:line="480" w:lineRule="exact"/>
        <w:ind w:firstLine="480" w:firstLineChars="200"/>
        <w:jc w:val="both"/>
        <w:rPr>
          <w:rFonts w:hint="eastAsia" w:eastAsia="宋体"/>
          <w:color w:val="auto"/>
          <w:sz w:val="24"/>
          <w:szCs w:val="24"/>
          <w:highlight w:val="none"/>
          <w:lang w:eastAsia="zh-CN"/>
        </w:rPr>
      </w:pPr>
      <w:r>
        <w:rPr>
          <w:rFonts w:hint="eastAsia"/>
          <w:color w:val="auto"/>
          <w:sz w:val="24"/>
          <w:szCs w:val="24"/>
          <w:highlight w:val="none"/>
          <w:lang w:val="en-US" w:eastAsia="zh-CN"/>
        </w:rPr>
        <w:t>3</w:t>
      </w:r>
      <w:r>
        <w:rPr>
          <w:rFonts w:hint="eastAsia"/>
          <w:color w:val="auto"/>
          <w:sz w:val="24"/>
          <w:szCs w:val="24"/>
          <w:highlight w:val="none"/>
        </w:rPr>
        <w:t>、</w:t>
      </w:r>
      <w:r>
        <w:rPr>
          <w:rFonts w:hint="eastAsia"/>
          <w:color w:val="auto"/>
          <w:sz w:val="24"/>
          <w:szCs w:val="24"/>
          <w:highlight w:val="none"/>
          <w:lang w:val="en-US" w:eastAsia="zh-CN"/>
        </w:rPr>
        <w:t>项目</w:t>
      </w:r>
      <w:r>
        <w:rPr>
          <w:rFonts w:hint="eastAsia" w:eastAsia="宋体"/>
          <w:color w:val="auto"/>
          <w:sz w:val="24"/>
          <w:szCs w:val="24"/>
          <w:highlight w:val="none"/>
        </w:rPr>
        <w:t>服务期：本项目</w:t>
      </w:r>
      <w:r>
        <w:rPr>
          <w:rFonts w:hint="eastAsia"/>
          <w:color w:val="auto"/>
          <w:sz w:val="24"/>
          <w:szCs w:val="24"/>
          <w:highlight w:val="none"/>
        </w:rPr>
        <w:t>合同服务期限自</w:t>
      </w:r>
      <w:r>
        <w:rPr>
          <w:rFonts w:hint="eastAsia" w:ascii="宋体" w:hAnsi="宋体" w:eastAsia="宋体" w:cs="宋体"/>
          <w:i w:val="0"/>
          <w:iCs w:val="0"/>
          <w:color w:val="auto"/>
          <w:sz w:val="24"/>
          <w:szCs w:val="24"/>
          <w:highlight w:val="none"/>
          <w:u w:val="none"/>
        </w:rPr>
        <w:t>合同</w:t>
      </w:r>
      <w:r>
        <w:rPr>
          <w:rFonts w:hint="eastAsia" w:ascii="宋体" w:hAnsi="宋体" w:eastAsia="宋体" w:cs="宋体"/>
          <w:i w:val="0"/>
          <w:iCs w:val="0"/>
          <w:color w:val="auto"/>
          <w:sz w:val="24"/>
          <w:szCs w:val="24"/>
          <w:highlight w:val="none"/>
          <w:u w:val="none"/>
          <w:lang w:val="en-US" w:eastAsia="zh-CN"/>
        </w:rPr>
        <w:t>生效</w:t>
      </w:r>
      <w:r>
        <w:rPr>
          <w:rFonts w:hint="eastAsia" w:ascii="宋体" w:hAnsi="宋体" w:eastAsia="宋体" w:cs="宋体"/>
          <w:i w:val="0"/>
          <w:iCs w:val="0"/>
          <w:color w:val="auto"/>
          <w:sz w:val="24"/>
          <w:szCs w:val="24"/>
          <w:highlight w:val="none"/>
          <w:u w:val="none"/>
        </w:rPr>
        <w:t>之日</w:t>
      </w:r>
      <w:r>
        <w:rPr>
          <w:rFonts w:hint="eastAsia"/>
          <w:color w:val="auto"/>
          <w:sz w:val="24"/>
          <w:szCs w:val="24"/>
          <w:highlight w:val="none"/>
        </w:rPr>
        <w:t>起</w:t>
      </w:r>
      <w:r>
        <w:rPr>
          <w:rFonts w:hint="eastAsia"/>
          <w:color w:val="auto"/>
          <w:sz w:val="24"/>
          <w:szCs w:val="24"/>
          <w:highlight w:val="none"/>
          <w:u w:val="single"/>
          <w:lang w:val="en-US" w:eastAsia="zh-CN"/>
        </w:rPr>
        <w:t>一年</w:t>
      </w:r>
      <w:r>
        <w:rPr>
          <w:rFonts w:hint="eastAsia"/>
          <w:color w:val="auto"/>
          <w:sz w:val="24"/>
          <w:szCs w:val="24"/>
          <w:highlight w:val="none"/>
        </w:rPr>
        <w:t>。采购单位可根据项目需要和中标</w:t>
      </w:r>
      <w:r>
        <w:rPr>
          <w:rFonts w:hint="eastAsia"/>
          <w:color w:val="auto"/>
          <w:sz w:val="24"/>
          <w:szCs w:val="24"/>
          <w:highlight w:val="none"/>
          <w:lang w:val="en-US" w:eastAsia="zh-CN"/>
        </w:rPr>
        <w:t>单位</w:t>
      </w:r>
      <w:r>
        <w:rPr>
          <w:rFonts w:hint="eastAsia"/>
          <w:color w:val="auto"/>
          <w:sz w:val="24"/>
          <w:szCs w:val="24"/>
          <w:highlight w:val="none"/>
        </w:rPr>
        <w:t>的履约情况确定合同期限是否</w:t>
      </w:r>
      <w:r>
        <w:rPr>
          <w:rFonts w:hint="eastAsia"/>
          <w:color w:val="auto"/>
          <w:sz w:val="24"/>
          <w:szCs w:val="24"/>
          <w:highlight w:val="none"/>
          <w:lang w:eastAsia="zh-CN"/>
        </w:rPr>
        <w:t>续签</w:t>
      </w:r>
      <w:r>
        <w:rPr>
          <w:rFonts w:hint="eastAsia"/>
          <w:color w:val="auto"/>
          <w:sz w:val="24"/>
          <w:szCs w:val="24"/>
          <w:highlight w:val="none"/>
        </w:rPr>
        <w:t>，但</w:t>
      </w:r>
      <w:r>
        <w:rPr>
          <w:rFonts w:hint="eastAsia"/>
          <w:color w:val="auto"/>
          <w:sz w:val="24"/>
          <w:szCs w:val="24"/>
          <w:highlight w:val="none"/>
          <w:lang w:eastAsia="zh-CN"/>
        </w:rPr>
        <w:t>续签不得超过两次，合同累计期限</w:t>
      </w:r>
      <w:r>
        <w:rPr>
          <w:rFonts w:hint="eastAsia"/>
          <w:color w:val="auto"/>
          <w:sz w:val="24"/>
          <w:szCs w:val="24"/>
          <w:highlight w:val="none"/>
        </w:rPr>
        <w:t>最长不超过三年。</w:t>
      </w:r>
    </w:p>
    <w:p w14:paraId="6BB148DE">
      <w:pPr>
        <w:spacing w:line="480" w:lineRule="exact"/>
        <w:ind w:firstLine="480" w:firstLineChars="200"/>
        <w:jc w:val="both"/>
        <w:rPr>
          <w:rFonts w:hint="eastAsia"/>
          <w:color w:val="auto"/>
          <w:sz w:val="24"/>
          <w:szCs w:val="24"/>
          <w:highlight w:val="none"/>
          <w:lang w:eastAsia="zh-CN"/>
        </w:rPr>
      </w:pPr>
      <w:r>
        <w:rPr>
          <w:rFonts w:hint="eastAsia"/>
          <w:color w:val="auto"/>
          <w:sz w:val="24"/>
          <w:szCs w:val="24"/>
          <w:highlight w:val="none"/>
          <w:lang w:val="en-US" w:eastAsia="zh-CN"/>
        </w:rPr>
        <w:t>4</w:t>
      </w:r>
      <w:r>
        <w:rPr>
          <w:rFonts w:hint="eastAsia"/>
          <w:color w:val="auto"/>
          <w:sz w:val="24"/>
          <w:szCs w:val="24"/>
          <w:highlight w:val="none"/>
        </w:rPr>
        <w:t>、合同方式：</w:t>
      </w:r>
      <w:r>
        <w:rPr>
          <w:rFonts w:hint="eastAsia"/>
          <w:color w:val="auto"/>
          <w:sz w:val="24"/>
          <w:szCs w:val="24"/>
          <w:highlight w:val="none"/>
          <w:lang w:val="en-US" w:eastAsia="zh-CN"/>
        </w:rPr>
        <w:t>固定</w:t>
      </w:r>
      <w:r>
        <w:rPr>
          <w:rFonts w:hint="eastAsia"/>
          <w:color w:val="auto"/>
          <w:sz w:val="24"/>
          <w:szCs w:val="24"/>
          <w:highlight w:val="none"/>
        </w:rPr>
        <w:t>总价合同</w:t>
      </w:r>
      <w:r>
        <w:rPr>
          <w:rFonts w:hint="eastAsia"/>
          <w:color w:val="auto"/>
          <w:sz w:val="24"/>
          <w:szCs w:val="24"/>
          <w:highlight w:val="none"/>
          <w:lang w:eastAsia="zh-CN"/>
        </w:rPr>
        <w:t>。</w:t>
      </w:r>
    </w:p>
    <w:p w14:paraId="317580F2">
      <w:pPr>
        <w:spacing w:line="480" w:lineRule="exact"/>
        <w:ind w:firstLine="480" w:firstLineChars="200"/>
        <w:jc w:val="both"/>
        <w:rPr>
          <w:rFonts w:hint="eastAsia"/>
          <w:color w:val="auto"/>
          <w:highlight w:val="none"/>
          <w:lang w:val="en-US" w:eastAsia="zh-CN"/>
        </w:rPr>
      </w:pPr>
      <w:r>
        <w:rPr>
          <w:rFonts w:hint="eastAsia"/>
          <w:color w:val="auto"/>
          <w:highlight w:val="none"/>
          <w:lang w:val="en-US" w:eastAsia="zh-CN"/>
        </w:rPr>
        <w:t>5、采购价格上限：本次采购控制金额为人民币</w:t>
      </w:r>
      <w:r>
        <w:rPr>
          <w:rFonts w:hint="eastAsia"/>
          <w:color w:val="auto"/>
          <w:highlight w:val="none"/>
          <w:u w:val="single"/>
          <w:lang w:val="en-US" w:eastAsia="zh-CN"/>
        </w:rPr>
        <w:t>43</w:t>
      </w:r>
      <w:r>
        <w:rPr>
          <w:rFonts w:hint="eastAsia"/>
          <w:color w:val="auto"/>
          <w:highlight w:val="none"/>
          <w:lang w:val="en-US" w:eastAsia="zh-CN"/>
        </w:rPr>
        <w:t>万元，投标单位的报价不可高于控制金额，否则投标文件视同无效。合同结束后，招标单位对中标单位工作进行履约评价，验收合格后，向中标单位支付全部费用，如不合格，招标单位视情况严重程度可以在合同总价中扣除合同价款20%以内的违约金。</w:t>
      </w:r>
    </w:p>
    <w:p w14:paraId="1912748E">
      <w:pPr>
        <w:spacing w:line="480" w:lineRule="exact"/>
        <w:ind w:firstLine="480" w:firstLineChars="200"/>
        <w:jc w:val="both"/>
        <w:rPr>
          <w:rFonts w:hint="eastAsia" w:eastAsia="宋体"/>
          <w:color w:val="auto"/>
          <w:sz w:val="24"/>
          <w:szCs w:val="24"/>
          <w:highlight w:val="none"/>
          <w:u w:val="none"/>
          <w:lang w:val="en-US" w:eastAsia="zh-CN"/>
        </w:rPr>
      </w:pPr>
      <w:r>
        <w:rPr>
          <w:rFonts w:hint="default"/>
          <w:color w:val="auto"/>
          <w:sz w:val="24"/>
          <w:szCs w:val="24"/>
          <w:highlight w:val="none"/>
          <w:lang w:val="en-US" w:eastAsia="zh-CN"/>
        </w:rPr>
        <w:t>6</w:t>
      </w:r>
      <w:r>
        <w:rPr>
          <w:rFonts w:hint="eastAsia"/>
          <w:color w:val="auto"/>
          <w:sz w:val="24"/>
          <w:szCs w:val="24"/>
          <w:highlight w:val="none"/>
        </w:rPr>
        <w:t>、项目</w:t>
      </w:r>
      <w:r>
        <w:rPr>
          <w:rFonts w:hint="eastAsia"/>
          <w:color w:val="auto"/>
          <w:sz w:val="24"/>
          <w:szCs w:val="24"/>
          <w:highlight w:val="none"/>
          <w:lang w:val="en-US" w:eastAsia="zh-CN"/>
        </w:rPr>
        <w:t>背景</w:t>
      </w:r>
      <w:r>
        <w:rPr>
          <w:rFonts w:hint="eastAsia"/>
          <w:color w:val="auto"/>
          <w:sz w:val="24"/>
          <w:szCs w:val="24"/>
          <w:highlight w:val="none"/>
        </w:rPr>
        <w:t>：为优化全区</w:t>
      </w:r>
      <w:r>
        <w:rPr>
          <w:rFonts w:hint="eastAsia"/>
          <w:color w:val="auto"/>
          <w:sz w:val="24"/>
          <w:szCs w:val="24"/>
          <w:highlight w:val="none"/>
          <w:lang w:val="en-US" w:eastAsia="zh-CN"/>
        </w:rPr>
        <w:t>保障性</w:t>
      </w:r>
      <w:r>
        <w:rPr>
          <w:rFonts w:hint="eastAsia"/>
          <w:color w:val="auto"/>
          <w:sz w:val="24"/>
          <w:szCs w:val="24"/>
          <w:highlight w:val="none"/>
        </w:rPr>
        <w:t>住房布局，有效衔接国土空间规划，科学确定设计方案，提升居住功能品质，结合实际需要，拟委托专业机构为我局</w:t>
      </w:r>
      <w:r>
        <w:rPr>
          <w:rFonts w:hint="eastAsia"/>
          <w:color w:val="auto"/>
          <w:sz w:val="24"/>
          <w:szCs w:val="24"/>
          <w:highlight w:val="none"/>
          <w:lang w:val="en-US" w:eastAsia="zh-CN"/>
        </w:rPr>
        <w:t>保障性住房</w:t>
      </w:r>
      <w:r>
        <w:rPr>
          <w:rFonts w:hint="eastAsia"/>
          <w:color w:val="auto"/>
          <w:sz w:val="24"/>
          <w:szCs w:val="24"/>
          <w:highlight w:val="none"/>
        </w:rPr>
        <w:t>项目提供规划咨询服务。主要服务内容包括协助对</w:t>
      </w:r>
      <w:r>
        <w:rPr>
          <w:rFonts w:hint="eastAsia"/>
          <w:color w:val="auto"/>
          <w:sz w:val="24"/>
          <w:szCs w:val="24"/>
          <w:highlight w:val="none"/>
          <w:lang w:val="en-US" w:eastAsia="zh-CN"/>
        </w:rPr>
        <w:t>保障性住房</w:t>
      </w:r>
      <w:r>
        <w:rPr>
          <w:rFonts w:hint="eastAsia"/>
          <w:color w:val="auto"/>
          <w:sz w:val="24"/>
          <w:szCs w:val="24"/>
          <w:highlight w:val="none"/>
        </w:rPr>
        <w:t>规划方案提供专业参考意见，提出</w:t>
      </w:r>
      <w:r>
        <w:rPr>
          <w:rFonts w:hint="eastAsia"/>
          <w:color w:val="auto"/>
          <w:sz w:val="24"/>
          <w:szCs w:val="24"/>
          <w:highlight w:val="none"/>
          <w:lang w:val="en-US" w:eastAsia="zh-CN"/>
        </w:rPr>
        <w:t>保障性</w:t>
      </w:r>
      <w:r>
        <w:rPr>
          <w:rFonts w:hint="eastAsia"/>
          <w:color w:val="auto"/>
          <w:sz w:val="24"/>
          <w:szCs w:val="24"/>
          <w:highlight w:val="none"/>
        </w:rPr>
        <w:t>住房规划设计的参考建议和对策等</w:t>
      </w:r>
      <w:r>
        <w:rPr>
          <w:rFonts w:hint="eastAsia"/>
          <w:color w:val="auto"/>
          <w:sz w:val="24"/>
          <w:szCs w:val="24"/>
          <w:highlight w:val="none"/>
          <w:u w:val="none"/>
          <w:lang w:val="en-US" w:eastAsia="zh-CN"/>
        </w:rPr>
        <w:t>。</w:t>
      </w:r>
    </w:p>
    <w:p w14:paraId="44583EB9">
      <w:pPr>
        <w:keepNext/>
        <w:keepLines/>
        <w:widowControl w:val="0"/>
        <w:adjustRightInd/>
        <w:spacing w:before="231" w:beforeLines="50" w:after="231" w:afterLines="50" w:line="480" w:lineRule="exact"/>
        <w:textAlignment w:val="baseline"/>
        <w:outlineLvl w:val="1"/>
        <w:rPr>
          <w:rFonts w:hint="eastAsia"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rPr>
        <w:t>三</w:t>
      </w:r>
      <w:r>
        <w:rPr>
          <w:rFonts w:ascii="Times New Roman" w:hAnsi="Times New Roman" w:cs="Times New Roman"/>
          <w:b/>
          <w:bCs/>
          <w:color w:val="auto"/>
          <w:szCs w:val="20"/>
          <w:highlight w:val="none"/>
        </w:rPr>
        <w:t>、</w:t>
      </w:r>
      <w:r>
        <w:rPr>
          <w:rFonts w:hint="eastAsia" w:ascii="Times New Roman" w:hAnsi="Times New Roman" w:cs="Times New Roman"/>
          <w:b/>
          <w:bCs/>
          <w:color w:val="auto"/>
          <w:szCs w:val="20"/>
          <w:highlight w:val="none"/>
        </w:rPr>
        <w:t>技术服务</w:t>
      </w:r>
      <w:r>
        <w:rPr>
          <w:rFonts w:hint="eastAsia" w:ascii="Times New Roman" w:hAnsi="Times New Roman" w:cs="Times New Roman"/>
          <w:b/>
          <w:bCs/>
          <w:color w:val="auto"/>
          <w:szCs w:val="20"/>
          <w:highlight w:val="none"/>
          <w:lang w:eastAsia="zh-CN"/>
        </w:rPr>
        <w:t>内容</w:t>
      </w:r>
    </w:p>
    <w:p w14:paraId="36CD0541">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包括但不限于：</w:t>
      </w:r>
    </w:p>
    <w:p w14:paraId="77527ECF">
      <w:pPr>
        <w:spacing w:line="480" w:lineRule="exact"/>
        <w:ind w:firstLine="480" w:firstLineChars="200"/>
        <w:jc w:val="both"/>
        <w:rPr>
          <w:rFonts w:hint="default"/>
          <w:color w:val="auto"/>
          <w:sz w:val="24"/>
          <w:szCs w:val="24"/>
          <w:highlight w:val="none"/>
          <w:lang w:val="en-US" w:eastAsia="zh-CN"/>
        </w:rPr>
      </w:pPr>
      <w:r>
        <w:rPr>
          <w:rFonts w:hint="eastAsia"/>
          <w:color w:val="auto"/>
          <w:sz w:val="24"/>
          <w:szCs w:val="24"/>
          <w:highlight w:val="none"/>
          <w:lang w:val="en-US" w:eastAsia="zh-CN"/>
        </w:rPr>
        <w:t>（一）</w:t>
      </w:r>
      <w:r>
        <w:rPr>
          <w:rFonts w:hint="eastAsia"/>
          <w:color w:val="auto"/>
          <w:sz w:val="24"/>
          <w:szCs w:val="24"/>
          <w:highlight w:val="none"/>
          <w:lang w:eastAsia="zh-CN"/>
        </w:rPr>
        <w:t>保障性住房专项规划咨询</w:t>
      </w:r>
      <w:r>
        <w:rPr>
          <w:rFonts w:hint="eastAsia"/>
          <w:color w:val="auto"/>
          <w:sz w:val="24"/>
          <w:szCs w:val="24"/>
          <w:highlight w:val="none"/>
          <w:lang w:val="en-US" w:eastAsia="zh-CN"/>
        </w:rPr>
        <w:t>服务</w:t>
      </w:r>
    </w:p>
    <w:p w14:paraId="022A320D">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1、针对土地整备、旧住宅区改造、城市更新等项目涉及保障性住房部分提出专业意见；</w:t>
      </w:r>
    </w:p>
    <w:p w14:paraId="057F9B77">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2、针对有意向新建或通过其他方式配建的保障性住房项目进行咨询研判；</w:t>
      </w:r>
    </w:p>
    <w:p w14:paraId="4F82236A">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3、针对保障性住房新增地块项目进行规划审核把关；</w:t>
      </w:r>
    </w:p>
    <w:p w14:paraId="4963E3FF">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4、审核把关涉及保障性住房的概念规划、片区规划及专项规划等相关规划；</w:t>
      </w:r>
    </w:p>
    <w:p w14:paraId="2B532812">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5、对征求我局意见的涉及保障性住房的政策、技术标准及规范等专业内容研提意见；</w:t>
      </w:r>
    </w:p>
    <w:p w14:paraId="75B7C4AC">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6、陪同实地查看项目，进行规划分析。</w:t>
      </w:r>
    </w:p>
    <w:p w14:paraId="55A00124">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以上工作只是预估，届时以实际发生的为准。</w:t>
      </w:r>
    </w:p>
    <w:p w14:paraId="17F98F74">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（二）专职工作服务</w:t>
      </w:r>
    </w:p>
    <w:p w14:paraId="1158224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安排一名项目服务人员，开展保障性住房规划技术相关咨询服务、政策标准宣传、甲方指派与保障性住房相关的其他咨询工作。</w:t>
      </w:r>
    </w:p>
    <w:p w14:paraId="433052AE">
      <w:pPr>
        <w:keepNext/>
        <w:keepLines/>
        <w:widowControl w:val="0"/>
        <w:adjustRightInd/>
        <w:spacing w:before="231" w:beforeLines="50" w:after="231" w:afterLines="50" w:line="480" w:lineRule="exact"/>
        <w:textAlignment w:val="baseline"/>
        <w:outlineLvl w:val="1"/>
        <w:rPr>
          <w:rFonts w:hint="eastAsia" w:ascii="Times New Roman" w:hAnsi="Times New Roman" w:eastAsia="宋体" w:cs="Times New Roman"/>
          <w:b/>
          <w:bCs/>
          <w:color w:val="auto"/>
          <w:kern w:val="44"/>
          <w:szCs w:val="44"/>
          <w:highlight w:val="none"/>
          <w:lang w:val="en-US" w:eastAsia="zh-CN"/>
        </w:rPr>
      </w:pPr>
      <w:r>
        <w:rPr>
          <w:rFonts w:hint="eastAsia" w:ascii="Times New Roman" w:hAnsi="Times New Roman" w:eastAsia="宋体" w:cs="Times New Roman"/>
          <w:b/>
          <w:bCs/>
          <w:color w:val="auto"/>
          <w:kern w:val="44"/>
          <w:szCs w:val="44"/>
          <w:highlight w:val="none"/>
          <w:lang w:val="en-US" w:eastAsia="zh-CN"/>
        </w:rPr>
        <w:t>四、人员配备及要求</w:t>
      </w:r>
    </w:p>
    <w:p w14:paraId="1F223DB4">
      <w:pPr>
        <w:spacing w:line="480" w:lineRule="exact"/>
        <w:ind w:firstLine="480" w:firstLineChars="200"/>
        <w:jc w:val="both"/>
        <w:rPr>
          <w:rFonts w:hint="eastAsia" w:eastAsia="宋体"/>
          <w:color w:val="auto"/>
          <w:sz w:val="24"/>
          <w:szCs w:val="24"/>
          <w:highlight w:val="none"/>
          <w:lang w:eastAsia="zh-CN"/>
        </w:rPr>
      </w:pPr>
      <w:r>
        <w:rPr>
          <w:rFonts w:hint="eastAsia" w:eastAsia="宋体"/>
          <w:color w:val="auto"/>
          <w:sz w:val="24"/>
          <w:szCs w:val="24"/>
          <w:highlight w:val="none"/>
          <w:lang w:val="en-US" w:eastAsia="zh-CN"/>
        </w:rPr>
        <w:t>1、</w:t>
      </w:r>
      <w:r>
        <w:rPr>
          <w:rFonts w:hint="eastAsia" w:eastAsia="宋体"/>
          <w:color w:val="auto"/>
          <w:sz w:val="24"/>
          <w:szCs w:val="24"/>
          <w:highlight w:val="none"/>
          <w:lang w:eastAsia="zh-CN"/>
        </w:rPr>
        <w:t>所提供的服务应符合国家和地方的有关法律、法规、</w:t>
      </w:r>
      <w:r>
        <w:rPr>
          <w:rFonts w:hint="eastAsia" w:eastAsia="宋体"/>
          <w:color w:val="auto"/>
          <w:sz w:val="24"/>
          <w:szCs w:val="24"/>
          <w:highlight w:val="none"/>
          <w:lang w:val="en-US" w:eastAsia="zh-CN"/>
        </w:rPr>
        <w:t>规章</w:t>
      </w:r>
      <w:r>
        <w:rPr>
          <w:rFonts w:hint="eastAsia" w:eastAsia="宋体"/>
          <w:color w:val="auto"/>
          <w:sz w:val="24"/>
          <w:szCs w:val="24"/>
          <w:highlight w:val="none"/>
          <w:lang w:eastAsia="zh-CN"/>
        </w:rPr>
        <w:t>和</w:t>
      </w:r>
      <w:r>
        <w:rPr>
          <w:rFonts w:hint="eastAsia" w:eastAsia="宋体"/>
          <w:color w:val="auto"/>
          <w:sz w:val="24"/>
          <w:szCs w:val="24"/>
          <w:highlight w:val="none"/>
          <w:lang w:val="en-US" w:eastAsia="zh-CN"/>
        </w:rPr>
        <w:t>国家、行业</w:t>
      </w:r>
      <w:r>
        <w:rPr>
          <w:rFonts w:hint="eastAsia" w:eastAsia="宋体"/>
          <w:color w:val="auto"/>
          <w:sz w:val="24"/>
          <w:szCs w:val="24"/>
          <w:highlight w:val="none"/>
          <w:lang w:eastAsia="zh-CN"/>
        </w:rPr>
        <w:t>标准的规定。</w:t>
      </w:r>
    </w:p>
    <w:p w14:paraId="4380703A">
      <w:pPr>
        <w:spacing w:line="480" w:lineRule="exact"/>
        <w:ind w:firstLine="480" w:firstLineChars="200"/>
        <w:jc w:val="both"/>
        <w:rPr>
          <w:rFonts w:hint="eastAsia"/>
          <w:color w:val="auto"/>
          <w:highlight w:val="none"/>
          <w:lang w:eastAsia="zh-CN"/>
        </w:rPr>
      </w:pPr>
      <w:r>
        <w:rPr>
          <w:rFonts w:hint="eastAsia"/>
          <w:color w:val="auto"/>
          <w:sz w:val="24"/>
          <w:szCs w:val="24"/>
          <w:highlight w:val="none"/>
          <w:lang w:val="en-US" w:eastAsia="zh-CN"/>
        </w:rPr>
        <w:t>2、</w:t>
      </w:r>
      <w:r>
        <w:rPr>
          <w:rFonts w:hint="eastAsia"/>
          <w:color w:val="auto"/>
          <w:highlight w:val="none"/>
        </w:rPr>
        <w:t>为确保本次采购项目管理规范、实施有力，中标单位应成立专门的项目服务小组，</w:t>
      </w:r>
      <w:r>
        <w:rPr>
          <w:rFonts w:hint="eastAsia"/>
          <w:color w:val="auto"/>
          <w:highlight w:val="none"/>
          <w:lang w:eastAsia="zh-CN"/>
        </w:rPr>
        <w:t>至少</w:t>
      </w:r>
      <w:r>
        <w:rPr>
          <w:rFonts w:hint="eastAsia"/>
          <w:color w:val="auto"/>
          <w:highlight w:val="none"/>
        </w:rPr>
        <w:t>设置固定的项目负责人</w:t>
      </w:r>
      <w:r>
        <w:rPr>
          <w:rFonts w:hint="default"/>
          <w:color w:val="auto"/>
          <w:highlight w:val="none"/>
          <w:lang w:val="en-US"/>
        </w:rPr>
        <w:t>1</w:t>
      </w:r>
      <w:r>
        <w:rPr>
          <w:rFonts w:hint="eastAsia"/>
          <w:color w:val="auto"/>
          <w:highlight w:val="none"/>
          <w:lang w:val="en-US" w:eastAsia="zh-CN"/>
        </w:rPr>
        <w:t>名、后台支持人员4名及</w:t>
      </w:r>
      <w:r>
        <w:rPr>
          <w:rFonts w:hint="eastAsia"/>
          <w:color w:val="auto"/>
          <w:highlight w:val="none"/>
          <w:lang w:eastAsia="zh-CN"/>
        </w:rPr>
        <w:t>项目服务</w:t>
      </w:r>
      <w:r>
        <w:rPr>
          <w:rFonts w:hint="eastAsia"/>
          <w:color w:val="auto"/>
          <w:highlight w:val="none"/>
        </w:rPr>
        <w:t>人员</w:t>
      </w:r>
      <w:r>
        <w:rPr>
          <w:rFonts w:hint="default"/>
          <w:color w:val="auto"/>
          <w:highlight w:val="none"/>
          <w:lang w:val="en-US" w:eastAsia="zh-CN"/>
        </w:rPr>
        <w:t>1</w:t>
      </w:r>
      <w:r>
        <w:rPr>
          <w:rFonts w:hint="eastAsia"/>
          <w:color w:val="auto"/>
          <w:highlight w:val="none"/>
          <w:lang w:val="en-US" w:eastAsia="zh-CN"/>
        </w:rPr>
        <w:t>名</w:t>
      </w:r>
      <w:r>
        <w:rPr>
          <w:rFonts w:hint="eastAsia"/>
          <w:color w:val="auto"/>
          <w:highlight w:val="none"/>
        </w:rPr>
        <w:t>，满足</w:t>
      </w:r>
      <w:r>
        <w:rPr>
          <w:rFonts w:hint="eastAsia"/>
          <w:color w:val="auto"/>
          <w:highlight w:val="none"/>
          <w:lang w:eastAsia="zh-CN"/>
        </w:rPr>
        <w:t>招标单位</w:t>
      </w:r>
      <w:r>
        <w:rPr>
          <w:rFonts w:hint="eastAsia"/>
          <w:color w:val="auto"/>
          <w:highlight w:val="none"/>
        </w:rPr>
        <w:t>的工作需求</w:t>
      </w:r>
      <w:r>
        <w:rPr>
          <w:rFonts w:hint="eastAsia"/>
          <w:color w:val="auto"/>
          <w:highlight w:val="none"/>
          <w:lang w:eastAsia="zh-CN"/>
        </w:rPr>
        <w:t>。</w:t>
      </w:r>
    </w:p>
    <w:p w14:paraId="1CDC2E67">
      <w:pPr>
        <w:pStyle w:val="2"/>
        <w:rPr>
          <w:rFonts w:hint="eastAsia"/>
          <w:color w:val="auto"/>
          <w:highlight w:val="none"/>
          <w:lang w:eastAsia="zh-CN"/>
        </w:rPr>
      </w:pPr>
    </w:p>
    <w:p w14:paraId="5633DF84">
      <w:pPr>
        <w:pStyle w:val="2"/>
        <w:rPr>
          <w:rFonts w:hint="eastAsia"/>
          <w:color w:val="auto"/>
          <w:highlight w:val="none"/>
          <w:lang w:eastAsia="zh-CN"/>
        </w:rPr>
      </w:pPr>
    </w:p>
    <w:tbl>
      <w:tblPr>
        <w:tblStyle w:val="9"/>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963"/>
        <w:gridCol w:w="1500"/>
        <w:gridCol w:w="3595"/>
        <w:gridCol w:w="673"/>
      </w:tblGrid>
      <w:tr w14:paraId="45A1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02" w:type="dxa"/>
            <w:shd w:val="clear" w:color="auto" w:fill="auto"/>
            <w:vAlign w:val="center"/>
          </w:tcPr>
          <w:p w14:paraId="066C3F3B">
            <w:pPr>
              <w:spacing w:line="480" w:lineRule="exact"/>
              <w:jc w:val="center"/>
              <w:rPr>
                <w:b/>
                <w:bCs/>
                <w:color w:val="auto"/>
                <w:highlight w:val="none"/>
              </w:rPr>
            </w:pPr>
            <w:r>
              <w:rPr>
                <w:rFonts w:hint="eastAsia"/>
                <w:b/>
                <w:bCs/>
                <w:color w:val="auto"/>
                <w:highlight w:val="none"/>
              </w:rPr>
              <w:t>岗位</w:t>
            </w:r>
          </w:p>
        </w:tc>
        <w:tc>
          <w:tcPr>
            <w:tcW w:w="963" w:type="dxa"/>
            <w:shd w:val="clear" w:color="auto" w:fill="auto"/>
            <w:vAlign w:val="center"/>
          </w:tcPr>
          <w:p w14:paraId="4F0D05A8">
            <w:pPr>
              <w:spacing w:line="240" w:lineRule="atLeast"/>
              <w:jc w:val="center"/>
              <w:rPr>
                <w:rFonts w:hint="eastAsia"/>
                <w:b/>
                <w:bCs/>
                <w:color w:val="auto"/>
                <w:highlight w:val="none"/>
              </w:rPr>
            </w:pPr>
            <w:r>
              <w:rPr>
                <w:rFonts w:hint="eastAsia"/>
                <w:b/>
                <w:bCs/>
                <w:color w:val="auto"/>
                <w:highlight w:val="none"/>
              </w:rPr>
              <w:t>人数</w:t>
            </w:r>
          </w:p>
          <w:p w14:paraId="347E4EF6">
            <w:pPr>
              <w:spacing w:line="240" w:lineRule="atLeast"/>
              <w:jc w:val="center"/>
              <w:rPr>
                <w:rFonts w:hint="eastAsia"/>
                <w:b/>
                <w:bCs/>
                <w:color w:val="auto"/>
                <w:highlight w:val="none"/>
              </w:rPr>
            </w:pPr>
            <w:r>
              <w:rPr>
                <w:rFonts w:hint="eastAsia"/>
                <w:b/>
                <w:bCs/>
                <w:color w:val="auto"/>
                <w:highlight w:val="none"/>
              </w:rPr>
              <w:t>要求</w:t>
            </w:r>
          </w:p>
        </w:tc>
        <w:tc>
          <w:tcPr>
            <w:tcW w:w="1500" w:type="dxa"/>
            <w:shd w:val="clear" w:color="auto" w:fill="auto"/>
            <w:vAlign w:val="center"/>
          </w:tcPr>
          <w:p w14:paraId="32362371">
            <w:pPr>
              <w:spacing w:line="240" w:lineRule="atLeast"/>
              <w:jc w:val="center"/>
              <w:rPr>
                <w:rFonts w:hint="eastAsia"/>
                <w:b/>
                <w:bCs/>
                <w:color w:val="auto"/>
                <w:highlight w:val="none"/>
              </w:rPr>
            </w:pPr>
            <w:r>
              <w:rPr>
                <w:rFonts w:hint="eastAsia"/>
                <w:b/>
                <w:bCs/>
                <w:color w:val="auto"/>
                <w:highlight w:val="none"/>
              </w:rPr>
              <w:t>职称及学历要求</w:t>
            </w:r>
          </w:p>
        </w:tc>
        <w:tc>
          <w:tcPr>
            <w:tcW w:w="3595" w:type="dxa"/>
            <w:shd w:val="clear" w:color="auto" w:fill="auto"/>
            <w:vAlign w:val="center"/>
          </w:tcPr>
          <w:p w14:paraId="671C287F">
            <w:pPr>
              <w:spacing w:line="480" w:lineRule="exact"/>
              <w:ind w:firstLine="482" w:firstLineChars="200"/>
              <w:jc w:val="center"/>
              <w:rPr>
                <w:b/>
                <w:bCs/>
                <w:color w:val="auto"/>
                <w:highlight w:val="none"/>
              </w:rPr>
            </w:pPr>
            <w:r>
              <w:rPr>
                <w:rFonts w:hint="eastAsia"/>
                <w:b/>
                <w:bCs/>
                <w:color w:val="auto"/>
                <w:highlight w:val="none"/>
              </w:rPr>
              <w:t>专业资格基本要求</w:t>
            </w:r>
          </w:p>
        </w:tc>
        <w:tc>
          <w:tcPr>
            <w:tcW w:w="673" w:type="dxa"/>
            <w:shd w:val="clear" w:color="auto" w:fill="auto"/>
            <w:vAlign w:val="center"/>
          </w:tcPr>
          <w:p w14:paraId="3BFA6C90">
            <w:pPr>
              <w:spacing w:line="480" w:lineRule="exact"/>
              <w:jc w:val="center"/>
              <w:rPr>
                <w:b/>
                <w:bCs/>
                <w:color w:val="auto"/>
                <w:highlight w:val="none"/>
              </w:rPr>
            </w:pPr>
            <w:r>
              <w:rPr>
                <w:rFonts w:hint="eastAsia"/>
                <w:b/>
                <w:bCs/>
                <w:color w:val="auto"/>
                <w:highlight w:val="none"/>
              </w:rPr>
              <w:t>备注</w:t>
            </w:r>
          </w:p>
        </w:tc>
      </w:tr>
      <w:tr w14:paraId="6E72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902" w:type="dxa"/>
            <w:shd w:val="clear" w:color="auto" w:fill="auto"/>
            <w:vAlign w:val="center"/>
          </w:tcPr>
          <w:p w14:paraId="51071929">
            <w:pPr>
              <w:spacing w:line="480" w:lineRule="exact"/>
              <w:rPr>
                <w:szCs w:val="21"/>
                <w:highlight w:val="none"/>
                <w:u w:val="single"/>
              </w:rPr>
            </w:pPr>
            <w:r>
              <w:rPr>
                <w:rFonts w:hint="eastAsia"/>
                <w:szCs w:val="21"/>
                <w:highlight w:val="none"/>
                <w:u w:val="single"/>
              </w:rPr>
              <w:t>项目团队负责人</w:t>
            </w:r>
          </w:p>
        </w:tc>
        <w:tc>
          <w:tcPr>
            <w:tcW w:w="963" w:type="dxa"/>
            <w:shd w:val="clear" w:color="auto" w:fill="auto"/>
            <w:vAlign w:val="center"/>
          </w:tcPr>
          <w:p w14:paraId="2D36D198">
            <w:pPr>
              <w:spacing w:line="480" w:lineRule="exact"/>
              <w:jc w:val="center"/>
              <w:rPr>
                <w:szCs w:val="21"/>
                <w:highlight w:val="none"/>
                <w:u w:val="single"/>
              </w:rPr>
            </w:pPr>
            <w:r>
              <w:rPr>
                <w:rFonts w:hint="eastAsia"/>
                <w:szCs w:val="21"/>
                <w:highlight w:val="none"/>
                <w:u w:val="single"/>
              </w:rPr>
              <w:t>1人</w:t>
            </w:r>
          </w:p>
        </w:tc>
        <w:tc>
          <w:tcPr>
            <w:tcW w:w="1500" w:type="dxa"/>
            <w:shd w:val="clear" w:color="auto" w:fill="auto"/>
            <w:vAlign w:val="center"/>
          </w:tcPr>
          <w:p w14:paraId="097F955E">
            <w:pPr>
              <w:spacing w:line="480" w:lineRule="exact"/>
              <w:rPr>
                <w:szCs w:val="21"/>
                <w:highlight w:val="none"/>
                <w:u w:val="single"/>
              </w:rPr>
            </w:pPr>
            <w:r>
              <w:rPr>
                <w:rFonts w:hint="eastAsia"/>
                <w:szCs w:val="21"/>
                <w:highlight w:val="none"/>
                <w:u w:val="single"/>
              </w:rPr>
              <w:t>高级职称</w:t>
            </w:r>
          </w:p>
        </w:tc>
        <w:tc>
          <w:tcPr>
            <w:tcW w:w="3595" w:type="dxa"/>
            <w:shd w:val="clear" w:color="auto" w:fill="auto"/>
            <w:vAlign w:val="center"/>
          </w:tcPr>
          <w:p w14:paraId="49FDEF42">
            <w:pPr>
              <w:spacing w:line="480" w:lineRule="exact"/>
              <w:rPr>
                <w:szCs w:val="21"/>
                <w:highlight w:val="none"/>
                <w:u w:val="single"/>
              </w:rPr>
            </w:pPr>
            <w:r>
              <w:rPr>
                <w:rFonts w:hint="eastAsia"/>
                <w:szCs w:val="21"/>
                <w:highlight w:val="none"/>
              </w:rPr>
              <w:t>具备城市规划高级职称、工作经验十年及以上</w:t>
            </w:r>
          </w:p>
        </w:tc>
        <w:tc>
          <w:tcPr>
            <w:tcW w:w="673" w:type="dxa"/>
            <w:shd w:val="clear" w:color="auto" w:fill="auto"/>
            <w:vAlign w:val="center"/>
          </w:tcPr>
          <w:p w14:paraId="31A62BD7">
            <w:pPr>
              <w:spacing w:line="480" w:lineRule="exact"/>
              <w:ind w:firstLine="480" w:firstLineChars="200"/>
              <w:jc w:val="center"/>
              <w:rPr>
                <w:highlight w:val="none"/>
                <w:u w:val="single"/>
              </w:rPr>
            </w:pPr>
          </w:p>
        </w:tc>
      </w:tr>
      <w:tr w14:paraId="67D9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902" w:type="dxa"/>
            <w:shd w:val="clear" w:color="auto" w:fill="auto"/>
            <w:vAlign w:val="center"/>
          </w:tcPr>
          <w:p w14:paraId="05FE7B5F">
            <w:pPr>
              <w:spacing w:line="480" w:lineRule="exact"/>
              <w:rPr>
                <w:szCs w:val="21"/>
                <w:highlight w:val="none"/>
                <w:u w:val="single"/>
              </w:rPr>
            </w:pPr>
            <w:r>
              <w:rPr>
                <w:rFonts w:hint="eastAsia"/>
                <w:szCs w:val="21"/>
                <w:highlight w:val="none"/>
                <w:u w:val="single"/>
              </w:rPr>
              <w:t>项目团队人员</w:t>
            </w:r>
          </w:p>
        </w:tc>
        <w:tc>
          <w:tcPr>
            <w:tcW w:w="963" w:type="dxa"/>
            <w:shd w:val="clear" w:color="auto" w:fill="auto"/>
            <w:vAlign w:val="center"/>
          </w:tcPr>
          <w:p w14:paraId="3501CF30">
            <w:pPr>
              <w:spacing w:line="480" w:lineRule="exact"/>
              <w:jc w:val="center"/>
              <w:rPr>
                <w:szCs w:val="21"/>
                <w:highlight w:val="none"/>
                <w:u w:val="single"/>
              </w:rPr>
            </w:pPr>
            <w:r>
              <w:rPr>
                <w:rFonts w:hint="eastAsia"/>
                <w:szCs w:val="21"/>
                <w:highlight w:val="none"/>
                <w:u w:val="single"/>
              </w:rPr>
              <w:t>4人</w:t>
            </w:r>
          </w:p>
        </w:tc>
        <w:tc>
          <w:tcPr>
            <w:tcW w:w="1500" w:type="dxa"/>
            <w:shd w:val="clear" w:color="auto" w:fill="auto"/>
            <w:vAlign w:val="center"/>
          </w:tcPr>
          <w:p w14:paraId="76E06CCE">
            <w:pPr>
              <w:spacing w:line="480" w:lineRule="exact"/>
              <w:rPr>
                <w:szCs w:val="21"/>
                <w:highlight w:val="none"/>
                <w:u w:val="single"/>
              </w:rPr>
            </w:pPr>
            <w:r>
              <w:rPr>
                <w:rFonts w:hint="eastAsia"/>
                <w:szCs w:val="21"/>
                <w:highlight w:val="none"/>
                <w:u w:val="single"/>
              </w:rPr>
              <w:t>中级或以上</w:t>
            </w:r>
          </w:p>
        </w:tc>
        <w:tc>
          <w:tcPr>
            <w:tcW w:w="3595" w:type="dxa"/>
            <w:shd w:val="clear" w:color="auto" w:fill="auto"/>
            <w:vAlign w:val="center"/>
          </w:tcPr>
          <w:p w14:paraId="06DA675D">
            <w:pPr>
              <w:spacing w:line="480" w:lineRule="exact"/>
              <w:rPr>
                <w:szCs w:val="21"/>
                <w:highlight w:val="none"/>
                <w:u w:val="single"/>
              </w:rPr>
            </w:pPr>
            <w:r>
              <w:rPr>
                <w:rFonts w:hint="eastAsia"/>
                <w:szCs w:val="21"/>
                <w:highlight w:val="none"/>
              </w:rPr>
              <w:t>具备城市规划、风景园林、道路交通、市政工程等工程类专业中级职称、全日制本科及以上学历、工作经验五年及以上具备工程类中级职称、工作经验五年及以上</w:t>
            </w:r>
          </w:p>
        </w:tc>
        <w:tc>
          <w:tcPr>
            <w:tcW w:w="673" w:type="dxa"/>
            <w:shd w:val="clear" w:color="auto" w:fill="auto"/>
            <w:vAlign w:val="center"/>
          </w:tcPr>
          <w:p w14:paraId="1E1C63CA">
            <w:pPr>
              <w:spacing w:line="480" w:lineRule="exact"/>
              <w:ind w:firstLine="480" w:firstLineChars="200"/>
              <w:jc w:val="center"/>
              <w:rPr>
                <w:highlight w:val="none"/>
                <w:u w:val="single"/>
              </w:rPr>
            </w:pPr>
          </w:p>
        </w:tc>
      </w:tr>
      <w:tr w14:paraId="48D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02" w:type="dxa"/>
            <w:shd w:val="clear" w:color="auto" w:fill="auto"/>
            <w:vAlign w:val="center"/>
          </w:tcPr>
          <w:p w14:paraId="001FB59C">
            <w:pPr>
              <w:spacing w:line="480" w:lineRule="exact"/>
              <w:rPr>
                <w:szCs w:val="21"/>
                <w:highlight w:val="none"/>
                <w:u w:val="single"/>
              </w:rPr>
            </w:pPr>
            <w:r>
              <w:rPr>
                <w:rFonts w:hint="eastAsia"/>
                <w:szCs w:val="21"/>
                <w:highlight w:val="none"/>
                <w:u w:val="single"/>
                <w:lang w:eastAsia="zh-CN"/>
              </w:rPr>
              <w:t>项目服务</w:t>
            </w:r>
            <w:r>
              <w:rPr>
                <w:rFonts w:hint="eastAsia"/>
                <w:szCs w:val="21"/>
                <w:highlight w:val="none"/>
                <w:u w:val="single"/>
              </w:rPr>
              <w:t>人员</w:t>
            </w:r>
          </w:p>
        </w:tc>
        <w:tc>
          <w:tcPr>
            <w:tcW w:w="963" w:type="dxa"/>
            <w:shd w:val="clear" w:color="auto" w:fill="auto"/>
            <w:vAlign w:val="center"/>
          </w:tcPr>
          <w:p w14:paraId="73ED0C00">
            <w:pPr>
              <w:spacing w:line="480" w:lineRule="exact"/>
              <w:jc w:val="center"/>
              <w:rPr>
                <w:szCs w:val="21"/>
                <w:highlight w:val="none"/>
                <w:u w:val="single"/>
              </w:rPr>
            </w:pPr>
            <w:r>
              <w:rPr>
                <w:rFonts w:hint="eastAsia"/>
                <w:szCs w:val="21"/>
                <w:highlight w:val="none"/>
                <w:u w:val="single"/>
              </w:rPr>
              <w:t>1人</w:t>
            </w:r>
          </w:p>
        </w:tc>
        <w:tc>
          <w:tcPr>
            <w:tcW w:w="1500" w:type="dxa"/>
            <w:shd w:val="clear" w:color="auto" w:fill="auto"/>
            <w:vAlign w:val="center"/>
          </w:tcPr>
          <w:p w14:paraId="14700E2E">
            <w:pPr>
              <w:spacing w:line="480" w:lineRule="exact"/>
              <w:rPr>
                <w:szCs w:val="21"/>
                <w:highlight w:val="none"/>
                <w:u w:val="single"/>
              </w:rPr>
            </w:pPr>
            <w:r>
              <w:rPr>
                <w:rFonts w:hint="eastAsia"/>
                <w:szCs w:val="21"/>
                <w:highlight w:val="none"/>
                <w:u w:val="single"/>
              </w:rPr>
              <w:t>初级或以上</w:t>
            </w:r>
          </w:p>
        </w:tc>
        <w:tc>
          <w:tcPr>
            <w:tcW w:w="3595" w:type="dxa"/>
            <w:shd w:val="clear" w:color="auto" w:fill="auto"/>
            <w:vAlign w:val="center"/>
          </w:tcPr>
          <w:p w14:paraId="2D36C37F">
            <w:pPr>
              <w:spacing w:line="480" w:lineRule="exact"/>
              <w:rPr>
                <w:szCs w:val="21"/>
                <w:highlight w:val="none"/>
              </w:rPr>
            </w:pPr>
            <w:r>
              <w:rPr>
                <w:rFonts w:hint="eastAsia"/>
                <w:szCs w:val="21"/>
                <w:highlight w:val="none"/>
              </w:rPr>
              <w:t>具备城市规划全日制本科及以上学历，工作经验三年及以上</w:t>
            </w:r>
          </w:p>
        </w:tc>
        <w:tc>
          <w:tcPr>
            <w:tcW w:w="673" w:type="dxa"/>
            <w:shd w:val="clear" w:color="auto" w:fill="auto"/>
            <w:vAlign w:val="center"/>
          </w:tcPr>
          <w:p w14:paraId="7369F563">
            <w:pPr>
              <w:spacing w:line="480" w:lineRule="exact"/>
              <w:ind w:firstLine="480" w:firstLineChars="200"/>
              <w:jc w:val="center"/>
              <w:rPr>
                <w:highlight w:val="none"/>
                <w:u w:val="single"/>
              </w:rPr>
            </w:pPr>
          </w:p>
        </w:tc>
      </w:tr>
    </w:tbl>
    <w:p w14:paraId="35B330EF">
      <w:pPr>
        <w:numPr>
          <w:ilvl w:val="-1"/>
          <w:numId w:val="0"/>
        </w:numPr>
        <w:spacing w:line="480" w:lineRule="exact"/>
        <w:ind w:firstLine="480" w:firstLineChars="200"/>
        <w:jc w:val="both"/>
        <w:rPr>
          <w:rFonts w:hint="eastAsia"/>
          <w:color w:val="auto"/>
          <w:highlight w:val="none"/>
        </w:rPr>
      </w:pPr>
      <w:r>
        <w:rPr>
          <w:rFonts w:hint="eastAsia"/>
          <w:color w:val="auto"/>
          <w:highlight w:val="none"/>
          <w:lang w:eastAsia="zh-CN"/>
        </w:rPr>
        <w:t>项目服务</w:t>
      </w:r>
      <w:r>
        <w:rPr>
          <w:rFonts w:hint="eastAsia"/>
          <w:color w:val="auto"/>
          <w:highlight w:val="none"/>
        </w:rPr>
        <w:t>人员必须严格按照投标书的名单进行安排</w:t>
      </w:r>
      <w:r>
        <w:rPr>
          <w:rFonts w:hint="eastAsia"/>
          <w:color w:val="auto"/>
          <w:highlight w:val="none"/>
          <w:lang w:eastAsia="zh-CN"/>
        </w:rPr>
        <w:t>，</w:t>
      </w:r>
      <w:r>
        <w:rPr>
          <w:rFonts w:hint="eastAsia"/>
          <w:color w:val="auto"/>
          <w:highlight w:val="none"/>
        </w:rPr>
        <w:t>并且通过面试考核，试用期为1个月，招标单位有权进行合理选择；如达不到招标单位要求，无条件更换至招标单位满意为准，</w:t>
      </w:r>
      <w:r>
        <w:rPr>
          <w:rFonts w:hint="eastAsia"/>
          <w:color w:val="auto"/>
          <w:highlight w:val="none"/>
          <w:lang w:eastAsia="zh-CN"/>
        </w:rPr>
        <w:t>项目服务</w:t>
      </w:r>
      <w:r>
        <w:rPr>
          <w:rFonts w:hint="eastAsia"/>
          <w:color w:val="auto"/>
          <w:highlight w:val="none"/>
        </w:rPr>
        <w:t>人员服从招标单位的统一安排，严格遵守招标单位的规章制度和保密制度；如投标单位不能按照招标单位有关要求执行，招标单位有权终止合同并拒绝支付任何费用。</w:t>
      </w:r>
    </w:p>
    <w:p w14:paraId="09BA4E4D">
      <w:pPr>
        <w:spacing w:line="480" w:lineRule="exact"/>
        <w:ind w:firstLine="480" w:firstLineChars="200"/>
        <w:jc w:val="both"/>
        <w:rPr>
          <w:rFonts w:hint="eastAsia" w:eastAsia="宋体"/>
          <w:color w:val="auto"/>
          <w:sz w:val="24"/>
          <w:szCs w:val="24"/>
          <w:highlight w:val="none"/>
          <w:lang w:eastAsia="zh-CN"/>
        </w:rPr>
      </w:pPr>
      <w:r>
        <w:rPr>
          <w:rFonts w:hint="default"/>
          <w:color w:val="auto"/>
          <w:sz w:val="24"/>
          <w:szCs w:val="24"/>
          <w:highlight w:val="none"/>
          <w:lang w:val="en-US" w:eastAsia="zh-CN"/>
        </w:rPr>
        <w:t>3</w:t>
      </w:r>
      <w:r>
        <w:rPr>
          <w:rFonts w:hint="eastAsia"/>
          <w:color w:val="auto"/>
          <w:sz w:val="24"/>
          <w:szCs w:val="24"/>
          <w:highlight w:val="none"/>
          <w:lang w:val="en-US" w:eastAsia="zh-CN"/>
        </w:rPr>
        <w:t>、</w:t>
      </w:r>
      <w:r>
        <w:rPr>
          <w:rFonts w:hint="eastAsia" w:eastAsia="宋体"/>
          <w:color w:val="auto"/>
          <w:sz w:val="24"/>
          <w:szCs w:val="24"/>
          <w:highlight w:val="none"/>
          <w:lang w:eastAsia="zh-CN"/>
        </w:rPr>
        <w:t>投标文件中</w:t>
      </w:r>
      <w:r>
        <w:rPr>
          <w:rFonts w:hint="eastAsia" w:eastAsia="宋体"/>
          <w:color w:val="auto"/>
          <w:sz w:val="24"/>
          <w:szCs w:val="24"/>
          <w:highlight w:val="none"/>
          <w:lang w:val="en-US" w:eastAsia="zh-CN"/>
        </w:rPr>
        <w:t>载明</w:t>
      </w:r>
      <w:r>
        <w:rPr>
          <w:rFonts w:hint="eastAsia" w:eastAsia="宋体"/>
          <w:color w:val="auto"/>
          <w:sz w:val="24"/>
          <w:szCs w:val="24"/>
          <w:highlight w:val="none"/>
          <w:lang w:eastAsia="zh-CN"/>
        </w:rPr>
        <w:t>的</w:t>
      </w:r>
      <w:r>
        <w:rPr>
          <w:rFonts w:hint="eastAsia"/>
          <w:color w:val="auto"/>
          <w:szCs w:val="21"/>
          <w:highlight w:val="none"/>
          <w:lang w:val="en-US" w:eastAsia="zh-CN"/>
        </w:rPr>
        <w:t>项目团队人员</w:t>
      </w:r>
      <w:r>
        <w:rPr>
          <w:rFonts w:hint="eastAsia" w:eastAsia="宋体"/>
          <w:color w:val="auto"/>
          <w:sz w:val="24"/>
          <w:szCs w:val="24"/>
          <w:highlight w:val="none"/>
          <w:lang w:eastAsia="zh-CN"/>
        </w:rPr>
        <w:t>即为招标单位提供服务实际人员</w:t>
      </w:r>
      <w:r>
        <w:rPr>
          <w:rFonts w:hint="eastAsia"/>
          <w:color w:val="auto"/>
          <w:sz w:val="24"/>
          <w:szCs w:val="24"/>
          <w:highlight w:val="none"/>
          <w:lang w:eastAsia="zh-CN"/>
        </w:rPr>
        <w:t>；</w:t>
      </w:r>
      <w:r>
        <w:rPr>
          <w:rFonts w:hint="eastAsia" w:eastAsia="宋体"/>
          <w:color w:val="auto"/>
          <w:sz w:val="24"/>
          <w:szCs w:val="24"/>
          <w:highlight w:val="none"/>
          <w:lang w:eastAsia="zh-CN"/>
        </w:rPr>
        <w:t>项目团队人员均要求具有工程类全日制本科以上学历（提供学历、学位证书复印件）；需提供</w:t>
      </w:r>
      <w:r>
        <w:rPr>
          <w:rFonts w:hint="eastAsia" w:eastAsia="宋体"/>
          <w:color w:val="auto"/>
          <w:sz w:val="24"/>
          <w:szCs w:val="24"/>
          <w:highlight w:val="none"/>
          <w:lang w:val="en-US" w:eastAsia="zh-CN"/>
        </w:rPr>
        <w:t>连续缴纳不少于3个月的</w:t>
      </w:r>
      <w:r>
        <w:rPr>
          <w:rFonts w:hint="eastAsia" w:eastAsia="宋体"/>
          <w:color w:val="auto"/>
          <w:sz w:val="24"/>
          <w:szCs w:val="24"/>
          <w:highlight w:val="none"/>
          <w:lang w:eastAsia="zh-CN"/>
        </w:rPr>
        <w:t>社保证明</w:t>
      </w:r>
      <w:r>
        <w:rPr>
          <w:rFonts w:hint="eastAsia"/>
          <w:color w:val="auto"/>
          <w:sz w:val="24"/>
          <w:szCs w:val="24"/>
          <w:highlight w:val="none"/>
          <w:lang w:eastAsia="zh-CN"/>
        </w:rPr>
        <w:t>；</w:t>
      </w:r>
      <w:r>
        <w:rPr>
          <w:rFonts w:hint="eastAsia" w:eastAsia="宋体"/>
          <w:color w:val="auto"/>
          <w:sz w:val="24"/>
          <w:szCs w:val="24"/>
          <w:highlight w:val="none"/>
          <w:lang w:eastAsia="zh-CN"/>
        </w:rPr>
        <w:t>未经招标单位书面签字盖章同意，中标单位中标后不能更换。投标单位应自行解决工作条件、期间所需费用，</w:t>
      </w:r>
      <w:r>
        <w:rPr>
          <w:rFonts w:hint="eastAsia"/>
          <w:color w:val="auto"/>
          <w:highlight w:val="none"/>
        </w:rPr>
        <w:t>自行配备服务所需的车辆、设施设备及相关材料</w:t>
      </w:r>
      <w:r>
        <w:rPr>
          <w:rFonts w:hint="eastAsia"/>
          <w:color w:val="auto"/>
          <w:highlight w:val="none"/>
          <w:lang w:eastAsia="zh-CN"/>
        </w:rPr>
        <w:t>，</w:t>
      </w:r>
      <w:r>
        <w:rPr>
          <w:rFonts w:hint="eastAsia" w:eastAsia="宋体"/>
          <w:color w:val="auto"/>
          <w:sz w:val="24"/>
          <w:szCs w:val="24"/>
          <w:highlight w:val="none"/>
          <w:lang w:eastAsia="zh-CN"/>
        </w:rPr>
        <w:t>招标单位不再另外支付任何费用。</w:t>
      </w:r>
    </w:p>
    <w:p w14:paraId="39EC90BB">
      <w:pPr>
        <w:keepNext/>
        <w:keepLines/>
        <w:widowControl w:val="0"/>
        <w:adjustRightInd/>
        <w:spacing w:before="231" w:beforeLines="50" w:after="231" w:afterLines="50" w:line="480" w:lineRule="exact"/>
        <w:textAlignment w:val="baseline"/>
        <w:outlineLvl w:val="1"/>
        <w:rPr>
          <w:rFonts w:hint="eastAsia" w:ascii="Times New Roman" w:hAnsi="Times New Roman" w:eastAsia="宋体" w:cs="Times New Roman"/>
          <w:b/>
          <w:bCs/>
          <w:color w:val="auto"/>
          <w:kern w:val="44"/>
          <w:szCs w:val="44"/>
          <w:highlight w:val="none"/>
          <w:lang w:val="en-US" w:eastAsia="zh-CN"/>
        </w:rPr>
      </w:pPr>
      <w:r>
        <w:rPr>
          <w:rFonts w:hint="eastAsia" w:ascii="Times New Roman" w:hAnsi="Times New Roman" w:eastAsia="宋体" w:cs="Times New Roman"/>
          <w:b/>
          <w:bCs/>
          <w:color w:val="auto"/>
          <w:kern w:val="44"/>
          <w:szCs w:val="44"/>
          <w:highlight w:val="none"/>
          <w:lang w:val="en-US" w:eastAsia="zh-CN"/>
        </w:rPr>
        <w:t>五、考核方式/验收办法</w:t>
      </w:r>
    </w:p>
    <w:p w14:paraId="7C41CD01">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（一）服务监督</w:t>
      </w:r>
    </w:p>
    <w:p w14:paraId="62B6816C">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单位应在履行项目过程中，接受招标单位对工作进行抽查。招标单位有权根据招标文件、投标文件及本合同约定的采购标准、采购内容等事项进行抽查，对抽查中发现的问题，要求中标单位进行纠正并追究有关违约责任。</w:t>
      </w:r>
    </w:p>
    <w:p w14:paraId="674525E8">
      <w:pPr>
        <w:numPr>
          <w:ilvl w:val="0"/>
          <w:numId w:val="0"/>
        </w:num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2、中标单位应</w:t>
      </w:r>
      <w:r>
        <w:rPr>
          <w:rFonts w:hint="eastAsia" w:cs="宋体"/>
          <w:color w:val="auto"/>
          <w:sz w:val="24"/>
          <w:szCs w:val="24"/>
          <w:highlight w:val="none"/>
          <w:lang w:val="en-US" w:eastAsia="zh-CN"/>
        </w:rPr>
        <w:t>定期</w:t>
      </w:r>
      <w:r>
        <w:rPr>
          <w:rFonts w:hint="eastAsia" w:ascii="宋体" w:hAnsi="宋体" w:eastAsia="宋体" w:cs="宋体"/>
          <w:color w:val="auto"/>
          <w:sz w:val="24"/>
          <w:szCs w:val="24"/>
          <w:highlight w:val="none"/>
          <w:lang w:val="en-US" w:eastAsia="zh-CN"/>
        </w:rPr>
        <w:t>向招标单位提交</w:t>
      </w:r>
      <w:r>
        <w:rPr>
          <w:rFonts w:hint="eastAsia" w:cs="宋体"/>
          <w:color w:val="auto"/>
          <w:sz w:val="24"/>
          <w:szCs w:val="24"/>
          <w:highlight w:val="none"/>
          <w:lang w:val="en-US" w:eastAsia="zh-CN"/>
        </w:rPr>
        <w:t>阶段性</w:t>
      </w:r>
      <w:r>
        <w:rPr>
          <w:rFonts w:hint="eastAsia" w:ascii="宋体" w:hAnsi="宋体" w:eastAsia="宋体" w:cs="宋体"/>
          <w:color w:val="auto"/>
          <w:sz w:val="24"/>
          <w:szCs w:val="24"/>
          <w:highlight w:val="none"/>
          <w:lang w:val="en-US" w:eastAsia="zh-CN"/>
        </w:rPr>
        <w:t>工作成果</w:t>
      </w:r>
      <w:r>
        <w:rPr>
          <w:rFonts w:hint="eastAsia"/>
          <w:snapToGrid w:val="0"/>
          <w:color w:val="auto"/>
          <w:kern w:val="0"/>
          <w:sz w:val="24"/>
          <w:highlight w:val="none"/>
          <w:lang w:val="en-US" w:eastAsia="zh-CN"/>
        </w:rPr>
        <w:t>报告和</w:t>
      </w:r>
      <w:r>
        <w:rPr>
          <w:rFonts w:hint="eastAsia" w:ascii="宋体" w:hAnsi="宋体"/>
          <w:color w:val="auto"/>
          <w:szCs w:val="21"/>
          <w:highlight w:val="none"/>
        </w:rPr>
        <w:t>全部服务成果报告</w:t>
      </w:r>
      <w:r>
        <w:rPr>
          <w:rFonts w:hint="eastAsia" w:ascii="宋体" w:hAnsi="宋体" w:eastAsia="宋体" w:cs="宋体"/>
          <w:color w:val="auto"/>
          <w:sz w:val="24"/>
          <w:szCs w:val="24"/>
          <w:highlight w:val="none"/>
          <w:lang w:val="en-US" w:eastAsia="zh-CN"/>
        </w:rPr>
        <w:t>（报告、台账等）。招标单位负责听取中标单位工作成果，并结合抽查记录对服务过程及最终服务效果进行验收，对投标单位的服务情况及成果运用作出履约评价。</w:t>
      </w:r>
    </w:p>
    <w:p w14:paraId="499CEA66">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3、由于投标单位原因，造成在合同约定期限内未能完成服务内容、服务内容未达约定标准或者履约评价不合格的，招标单位有权要求投标单位在指定期限内进行整改，直至招标单位验收通过。 </w:t>
      </w:r>
    </w:p>
    <w:p w14:paraId="26FA966D">
      <w:pPr>
        <w:spacing w:line="480" w:lineRule="exact"/>
        <w:ind w:firstLine="480" w:firstLineChars="200"/>
        <w:jc w:val="both"/>
        <w:rPr>
          <w:rFonts w:hint="eastAsia" w:ascii="宋体" w:hAnsi="宋体" w:eastAsia="宋体" w:cs="宋体"/>
          <w:color w:val="auto"/>
          <w:sz w:val="21"/>
          <w:szCs w:val="21"/>
          <w:highlight w:val="none"/>
          <w:u w:val="single"/>
          <w:lang w:val="en-US" w:eastAsia="zh-CN"/>
        </w:rPr>
      </w:pPr>
      <w:r>
        <w:rPr>
          <w:rFonts w:hint="eastAsia" w:eastAsia="宋体"/>
          <w:color w:val="auto"/>
          <w:sz w:val="24"/>
          <w:szCs w:val="24"/>
          <w:highlight w:val="none"/>
          <w:lang w:val="en-US" w:eastAsia="zh-CN"/>
        </w:rPr>
        <w:t>4、</w:t>
      </w:r>
      <w:r>
        <w:rPr>
          <w:rFonts w:hint="eastAsia" w:ascii="宋体" w:hAnsi="宋体" w:eastAsia="宋体" w:cs="宋体"/>
          <w:color w:val="auto"/>
          <w:sz w:val="21"/>
          <w:szCs w:val="21"/>
          <w:highlight w:val="none"/>
          <w:u w:val="single"/>
          <w:lang w:val="en-US" w:eastAsia="zh-CN"/>
        </w:rPr>
        <w:t xml:space="preserve">                                                                                     </w:t>
      </w:r>
    </w:p>
    <w:p w14:paraId="7D531B4F">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（二）项目验收</w:t>
      </w:r>
    </w:p>
    <w:p w14:paraId="2C02F8BD">
      <w:pPr>
        <w:spacing w:line="480" w:lineRule="exact"/>
        <w:ind w:firstLine="480" w:firstLineChars="200"/>
        <w:jc w:val="both"/>
        <w:rPr>
          <w:rFonts w:hint="eastAsia" w:eastAsia="宋体"/>
          <w:color w:val="auto"/>
          <w:sz w:val="24"/>
          <w:szCs w:val="24"/>
          <w:highlight w:val="none"/>
          <w:u w:val="single"/>
          <w:lang w:val="en-US" w:eastAsia="zh-CN"/>
        </w:rPr>
      </w:pPr>
      <w:r>
        <w:rPr>
          <w:rFonts w:hint="eastAsia" w:eastAsia="宋体"/>
          <w:color w:val="auto"/>
          <w:sz w:val="24"/>
          <w:szCs w:val="24"/>
          <w:highlight w:val="none"/>
          <w:lang w:val="en-US" w:eastAsia="zh-CN"/>
        </w:rPr>
        <w:t>1、中标单位应当在合同约定的服务期限内完成项目工作并汇总以下工作成果，向招标单位交付以供验收：</w:t>
      </w:r>
    </w:p>
    <w:p w14:paraId="1BEFC9FE">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eastAsia="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1）工作报告；</w:t>
      </w:r>
    </w:p>
    <w:p w14:paraId="351A6392">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（2）工作记录(包括但不限于：台账、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highlight w:val="none"/>
          <w:u w:val="single"/>
          <w:lang w:eastAsia="zh-CN"/>
        </w:rPr>
        <w:t>图片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等)；</w:t>
      </w:r>
    </w:p>
    <w:p w14:paraId="437EF3FD">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57F4582">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2、中标单位应当在约定节点将相应工作记录及工作报告等录入深圳市南山区城市建设智能管理平台存档。  </w:t>
      </w:r>
    </w:p>
    <w:p w14:paraId="7AA568F4">
      <w:pPr>
        <w:keepNext/>
        <w:keepLines/>
        <w:widowControl w:val="0"/>
        <w:adjustRightInd/>
        <w:spacing w:before="231" w:beforeLines="50" w:after="231" w:afterLines="50" w:line="480" w:lineRule="exact"/>
        <w:textAlignment w:val="baseline"/>
        <w:outlineLvl w:val="1"/>
        <w:rPr>
          <w:rFonts w:hint="eastAsia" w:ascii="Times New Roman" w:hAnsi="Times New Roman" w:eastAsia="宋体" w:cs="Times New Roman"/>
          <w:b/>
          <w:bCs/>
          <w:color w:val="auto"/>
          <w:kern w:val="44"/>
          <w:szCs w:val="44"/>
          <w:highlight w:val="none"/>
          <w:lang w:val="en-US" w:eastAsia="zh-CN"/>
        </w:rPr>
      </w:pPr>
      <w:r>
        <w:rPr>
          <w:rFonts w:hint="eastAsia" w:ascii="Times New Roman" w:hAnsi="Times New Roman" w:eastAsia="宋体" w:cs="Times New Roman"/>
          <w:b/>
          <w:bCs/>
          <w:color w:val="auto"/>
          <w:kern w:val="44"/>
          <w:szCs w:val="44"/>
          <w:highlight w:val="none"/>
          <w:lang w:val="en-US" w:eastAsia="zh-CN"/>
        </w:rPr>
        <w:t>六、服务费用及支付方式</w:t>
      </w:r>
    </w:p>
    <w:p w14:paraId="67417025">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的投标报价应包括服务成本、法定税费、自身利润以及其他一切不可预见的费用。投标单位根据招标文件所提供的资料自行测算投标报价，一经中标，投标报价总价作为中标单位与招标单位签订的合同服务费用总额；除另有约定外，合同期限内不作调整。招标单位付款前，投标单位均应开具正规发票给到招标单位。除第一期款外，投标单位须向招标单位提供相应工作成果文件；招标单位须提供对投标单位服务的抽查记录，双方上传至深圳市南山区城市建设智能管理平台作为支付证明。本项目服务费用按以下方式支付：</w:t>
      </w:r>
    </w:p>
    <w:p w14:paraId="74EBBF7A">
      <w:pPr>
        <w:spacing w:line="480" w:lineRule="exact"/>
        <w:ind w:firstLine="480" w:firstLineChars="200"/>
        <w:rPr>
          <w:color w:val="auto"/>
          <w:highlight w:val="none"/>
        </w:rPr>
      </w:pPr>
      <w:r>
        <w:rPr>
          <w:rFonts w:hint="eastAsia"/>
          <w:color w:val="auto"/>
          <w:highlight w:val="none"/>
        </w:rPr>
        <w:t>第一期：</w:t>
      </w:r>
      <w:r>
        <w:rPr>
          <w:rFonts w:hint="eastAsia"/>
          <w:color w:val="auto"/>
          <w:highlight w:val="none"/>
          <w:u w:val="single"/>
        </w:rPr>
        <w:t>本合同</w:t>
      </w:r>
      <w:r>
        <w:rPr>
          <w:rFonts w:hint="eastAsia"/>
          <w:color w:val="auto"/>
          <w:highlight w:val="none"/>
          <w:u w:val="single"/>
          <w:lang w:val="en-US" w:eastAsia="zh-CN"/>
        </w:rPr>
        <w:t>生效</w:t>
      </w:r>
      <w:r>
        <w:rPr>
          <w:rFonts w:hint="eastAsia"/>
          <w:color w:val="auto"/>
          <w:highlight w:val="none"/>
          <w:u w:val="single"/>
        </w:rPr>
        <w:t>且收到乙方开具的符合财务要求的发票后</w:t>
      </w:r>
      <w:r>
        <w:rPr>
          <w:rFonts w:hint="eastAsia"/>
          <w:color w:val="auto"/>
          <w:highlight w:val="none"/>
          <w:u w:val="single"/>
          <w:lang w:val="en-US" w:eastAsia="zh-CN"/>
        </w:rPr>
        <w:t>15日内</w:t>
      </w:r>
      <w:r>
        <w:rPr>
          <w:rFonts w:hint="eastAsia"/>
          <w:color w:val="auto"/>
          <w:highlight w:val="none"/>
          <w:lang w:eastAsia="zh-CN"/>
        </w:rPr>
        <w:t>，</w:t>
      </w:r>
      <w:r>
        <w:rPr>
          <w:rFonts w:hint="eastAsia"/>
          <w:color w:val="auto"/>
          <w:highlight w:val="none"/>
        </w:rPr>
        <w:t>甲方向乙方支付咨询服务费总额的</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color w:val="auto"/>
          <w:highlight w:val="none"/>
        </w:rPr>
        <w:t>%</w:t>
      </w:r>
      <w:r>
        <w:rPr>
          <w:rFonts w:hint="eastAsia"/>
          <w:color w:val="auto"/>
          <w:highlight w:val="none"/>
          <w:lang w:eastAsia="zh-CN"/>
        </w:rPr>
        <w:t>，</w:t>
      </w:r>
      <w:r>
        <w:rPr>
          <w:rFonts w:hint="eastAsia"/>
          <w:color w:val="auto"/>
          <w:highlight w:val="none"/>
          <w:lang w:val="en-US" w:eastAsia="zh-CN"/>
        </w:rPr>
        <w:t>即</w:t>
      </w:r>
      <w:r>
        <w:rPr>
          <w:color w:val="auto"/>
          <w:highlight w:val="none"/>
        </w:rPr>
        <w:t>人民币</w:t>
      </w:r>
      <w:r>
        <w:rPr>
          <w:rFonts w:hint="eastAsia"/>
          <w:color w:val="auto"/>
          <w:highlight w:val="none"/>
          <w:u w:val="single"/>
          <w:lang w:val="en-US" w:eastAsia="zh-CN"/>
        </w:rPr>
        <w:t xml:space="preserve">        </w:t>
      </w:r>
      <w:r>
        <w:rPr>
          <w:rFonts w:hint="eastAsia"/>
          <w:color w:val="auto"/>
          <w:highlight w:val="none"/>
        </w:rPr>
        <w:t>元整</w:t>
      </w:r>
      <w:r>
        <w:rPr>
          <w:rFonts w:hint="eastAsia"/>
          <w:color w:val="auto"/>
          <w:highlight w:val="none"/>
          <w:lang w:eastAsia="zh-CN"/>
        </w:rPr>
        <w:t>（</w:t>
      </w:r>
      <w:r>
        <w:rPr>
          <w:rFonts w:hint="eastAsia"/>
          <w:color w:val="auto"/>
          <w:highlight w:val="none"/>
        </w:rPr>
        <w:t>大写：</w:t>
      </w:r>
      <w:r>
        <w:rPr>
          <w:rFonts w:hint="eastAsia"/>
          <w:color w:val="auto"/>
          <w:highlight w:val="none"/>
          <w:u w:val="single"/>
          <w:lang w:val="en-US" w:eastAsia="zh-CN"/>
        </w:rPr>
        <w:t xml:space="preserve">        </w:t>
      </w:r>
      <w:r>
        <w:rPr>
          <w:rFonts w:hint="eastAsia"/>
          <w:color w:val="auto"/>
          <w:highlight w:val="none"/>
        </w:rPr>
        <w:t>圆整</w:t>
      </w:r>
      <w:r>
        <w:rPr>
          <w:rFonts w:hint="eastAsia"/>
          <w:color w:val="auto"/>
          <w:highlight w:val="none"/>
          <w:lang w:eastAsia="zh-CN"/>
        </w:rPr>
        <w:t>）</w:t>
      </w:r>
      <w:r>
        <w:rPr>
          <w:rFonts w:hint="eastAsia"/>
          <w:color w:val="auto"/>
          <w:highlight w:val="none"/>
        </w:rPr>
        <w:t>；</w:t>
      </w:r>
    </w:p>
    <w:p w14:paraId="0C760633">
      <w:pPr>
        <w:spacing w:line="480" w:lineRule="exact"/>
        <w:ind w:firstLine="480" w:firstLineChars="200"/>
        <w:rPr>
          <w:color w:val="auto"/>
          <w:highlight w:val="none"/>
        </w:rPr>
      </w:pPr>
      <w:r>
        <w:rPr>
          <w:rFonts w:hint="eastAsia"/>
          <w:color w:val="auto"/>
          <w:highlight w:val="none"/>
        </w:rPr>
        <w:t>第二期：</w:t>
      </w:r>
      <w:r>
        <w:rPr>
          <w:rFonts w:hint="eastAsia"/>
          <w:snapToGrid w:val="0"/>
          <w:color w:val="auto"/>
          <w:szCs w:val="22"/>
          <w:highlight w:val="none"/>
          <w:lang w:eastAsia="zh-CN"/>
        </w:rPr>
        <w:t>2026</w:t>
      </w:r>
      <w:r>
        <w:rPr>
          <w:rFonts w:hint="eastAsia"/>
          <w:snapToGrid w:val="0"/>
          <w:color w:val="auto"/>
          <w:szCs w:val="22"/>
          <w:highlight w:val="none"/>
          <w:lang w:eastAsia="zh-Hans"/>
        </w:rPr>
        <w:t>年</w:t>
      </w:r>
      <w:r>
        <w:rPr>
          <w:rFonts w:hint="eastAsia"/>
          <w:snapToGrid w:val="0"/>
          <w:color w:val="auto"/>
          <w:szCs w:val="22"/>
          <w:highlight w:val="none"/>
          <w:lang w:val="en-US" w:eastAsia="zh-CN"/>
        </w:rPr>
        <w:t>6</w:t>
      </w:r>
      <w:r>
        <w:rPr>
          <w:rFonts w:hint="eastAsia"/>
          <w:snapToGrid w:val="0"/>
          <w:color w:val="auto"/>
          <w:szCs w:val="22"/>
          <w:highlight w:val="none"/>
          <w:lang w:eastAsia="zh-Hans"/>
        </w:rPr>
        <w:t>月15日前，乙方提供阶段性成果报告及成果文件并在深圳市南山区城市建设智能管理平台上传工作台账、甲方对乙方的抽查记录等电子资料，经甲方复核合格后，甲方在</w:t>
      </w:r>
      <w:r>
        <w:rPr>
          <w:rFonts w:hint="eastAsia"/>
          <w:snapToGrid w:val="0"/>
          <w:color w:val="auto"/>
          <w:szCs w:val="22"/>
          <w:highlight w:val="none"/>
          <w:lang w:eastAsia="zh-CN"/>
        </w:rPr>
        <w:t>2026</w:t>
      </w:r>
      <w:r>
        <w:rPr>
          <w:rFonts w:hint="eastAsia"/>
          <w:snapToGrid w:val="0"/>
          <w:color w:val="auto"/>
          <w:szCs w:val="22"/>
          <w:highlight w:val="none"/>
          <w:lang w:eastAsia="zh-Hans"/>
        </w:rPr>
        <w:t>年</w:t>
      </w:r>
      <w:r>
        <w:rPr>
          <w:rFonts w:hint="eastAsia"/>
          <w:snapToGrid w:val="0"/>
          <w:color w:val="auto"/>
          <w:szCs w:val="22"/>
          <w:highlight w:val="none"/>
          <w:lang w:eastAsia="zh-CN"/>
        </w:rPr>
        <w:t>6</w:t>
      </w:r>
      <w:r>
        <w:rPr>
          <w:rFonts w:hint="eastAsia"/>
          <w:snapToGrid w:val="0"/>
          <w:color w:val="auto"/>
          <w:szCs w:val="22"/>
          <w:highlight w:val="none"/>
          <w:lang w:eastAsia="zh-Hans"/>
        </w:rPr>
        <w:t>月30日前支付乙方人民币</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元整，大写</w:t>
      </w:r>
      <w:r>
        <w:rPr>
          <w:rFonts w:hint="eastAsia"/>
          <w:snapToGrid w:val="0"/>
          <w:color w:val="auto"/>
          <w:szCs w:val="22"/>
          <w:highlight w:val="none"/>
          <w:u w:val="single"/>
          <w:lang w:eastAsia="zh-Hans"/>
        </w:rPr>
        <w:t xml:space="preserve">      </w:t>
      </w:r>
      <w:r>
        <w:rPr>
          <w:rFonts w:hint="eastAsia"/>
          <w:color w:val="auto"/>
          <w:highlight w:val="none"/>
        </w:rPr>
        <w:t>圆整</w:t>
      </w:r>
      <w:r>
        <w:rPr>
          <w:rFonts w:hint="eastAsia"/>
          <w:snapToGrid w:val="0"/>
          <w:color w:val="auto"/>
          <w:szCs w:val="22"/>
          <w:highlight w:val="none"/>
          <w:lang w:eastAsia="zh-Hans"/>
        </w:rPr>
        <w:t>（占总服务费用的20%）</w:t>
      </w:r>
      <w:r>
        <w:rPr>
          <w:rFonts w:hint="eastAsia"/>
          <w:snapToGrid w:val="0"/>
          <w:color w:val="auto"/>
          <w:szCs w:val="22"/>
          <w:highlight w:val="none"/>
          <w:lang w:eastAsia="zh-CN"/>
        </w:rPr>
        <w:t>，</w:t>
      </w:r>
      <w:r>
        <w:rPr>
          <w:rFonts w:hint="eastAsia"/>
          <w:snapToGrid w:val="0"/>
          <w:color w:val="auto"/>
          <w:szCs w:val="22"/>
          <w:highlight w:val="none"/>
          <w:lang w:val="en-US" w:eastAsia="zh-CN"/>
        </w:rPr>
        <w:t>若2026年6月30日前未满足复核合格条件的，付款时间相应顺延</w:t>
      </w:r>
      <w:r>
        <w:rPr>
          <w:rFonts w:hint="eastAsia"/>
          <w:snapToGrid w:val="0"/>
          <w:color w:val="auto"/>
          <w:szCs w:val="22"/>
          <w:highlight w:val="none"/>
          <w:lang w:eastAsia="zh-Hans"/>
        </w:rPr>
        <w:t>；</w:t>
      </w:r>
    </w:p>
    <w:p w14:paraId="31516968">
      <w:pPr>
        <w:spacing w:line="480" w:lineRule="exact"/>
        <w:ind w:firstLine="480" w:firstLineChars="200"/>
        <w:jc w:val="both"/>
        <w:rPr>
          <w:rFonts w:hint="default"/>
          <w:color w:val="auto"/>
          <w:highlight w:val="none"/>
          <w:lang w:val="en-US" w:eastAsia="zh-CN"/>
        </w:rPr>
      </w:pPr>
      <w:r>
        <w:rPr>
          <w:rFonts w:hint="eastAsia"/>
          <w:color w:val="auto"/>
          <w:highlight w:val="none"/>
        </w:rPr>
        <w:t>第</w:t>
      </w:r>
      <w:r>
        <w:rPr>
          <w:rFonts w:hint="eastAsia"/>
          <w:color w:val="auto"/>
          <w:highlight w:val="none"/>
          <w:u w:val="single"/>
        </w:rPr>
        <w:t>三</w:t>
      </w:r>
      <w:r>
        <w:rPr>
          <w:rFonts w:hint="eastAsia"/>
          <w:color w:val="auto"/>
          <w:highlight w:val="none"/>
        </w:rPr>
        <w:t>期：服务期到期后</w:t>
      </w:r>
      <w:r>
        <w:rPr>
          <w:rFonts w:hint="eastAsia"/>
          <w:color w:val="auto"/>
          <w:highlight w:val="none"/>
          <w:lang w:val="en-US" w:eastAsia="zh-CN"/>
        </w:rPr>
        <w:t>15</w:t>
      </w:r>
      <w:r>
        <w:rPr>
          <w:rFonts w:hint="eastAsia"/>
          <w:color w:val="auto"/>
          <w:highlight w:val="none"/>
        </w:rPr>
        <w:t>日内，乙方完成本项目全部服务内容由甲方进行验收并进行履约评价。验收通过且履约评价合格的，甲方在</w:t>
      </w:r>
      <w:r>
        <w:rPr>
          <w:rFonts w:hint="eastAsia"/>
          <w:color w:val="auto"/>
          <w:highlight w:val="none"/>
          <w:lang w:val="en-US" w:eastAsia="zh-CN"/>
        </w:rPr>
        <w:t>15</w:t>
      </w:r>
      <w:r>
        <w:rPr>
          <w:rFonts w:hint="eastAsia"/>
          <w:color w:val="auto"/>
          <w:highlight w:val="none"/>
        </w:rPr>
        <w:t>日内向乙方支付咨询服务费总额的</w:t>
      </w:r>
      <w:r>
        <w:rPr>
          <w:color w:val="auto"/>
          <w:highlight w:val="none"/>
          <w:u w:val="single"/>
        </w:rPr>
        <w:t xml:space="preserve"> </w:t>
      </w:r>
      <w:r>
        <w:rPr>
          <w:rFonts w:hint="eastAsia"/>
          <w:color w:val="auto"/>
          <w:highlight w:val="none"/>
          <w:u w:val="single"/>
          <w:lang w:val="en-US" w:eastAsia="zh-CN"/>
        </w:rPr>
        <w:t>50</w:t>
      </w:r>
      <w:r>
        <w:rPr>
          <w:color w:val="auto"/>
          <w:highlight w:val="none"/>
          <w:u w:val="single"/>
        </w:rPr>
        <w:t xml:space="preserve"> </w:t>
      </w:r>
      <w:r>
        <w:rPr>
          <w:color w:val="auto"/>
          <w:highlight w:val="none"/>
        </w:rPr>
        <w:t>%</w:t>
      </w:r>
      <w:r>
        <w:rPr>
          <w:rFonts w:hint="eastAsia"/>
          <w:color w:val="auto"/>
          <w:highlight w:val="none"/>
          <w:lang w:eastAsia="zh-CN"/>
        </w:rPr>
        <w:t>，</w:t>
      </w:r>
      <w:r>
        <w:rPr>
          <w:rFonts w:hint="eastAsia"/>
          <w:color w:val="auto"/>
          <w:highlight w:val="none"/>
          <w:lang w:val="en-US" w:eastAsia="zh-CN"/>
        </w:rPr>
        <w:t>即</w:t>
      </w:r>
      <w:r>
        <w:rPr>
          <w:color w:val="auto"/>
          <w:highlight w:val="none"/>
        </w:rPr>
        <w:t>人民币</w:t>
      </w:r>
      <w:r>
        <w:rPr>
          <w:rFonts w:hint="eastAsia"/>
          <w:color w:val="auto"/>
          <w:highlight w:val="none"/>
          <w:u w:val="single"/>
          <w:lang w:val="en-US" w:eastAsia="zh-CN"/>
        </w:rPr>
        <w:t xml:space="preserve">        </w:t>
      </w:r>
      <w:r>
        <w:rPr>
          <w:rFonts w:hint="eastAsia"/>
          <w:color w:val="auto"/>
          <w:highlight w:val="none"/>
        </w:rPr>
        <w:t>元整</w:t>
      </w:r>
      <w:r>
        <w:rPr>
          <w:rFonts w:hint="eastAsia"/>
          <w:color w:val="auto"/>
          <w:highlight w:val="none"/>
          <w:lang w:eastAsia="zh-CN"/>
        </w:rPr>
        <w:t>（</w:t>
      </w:r>
      <w:r>
        <w:rPr>
          <w:rFonts w:hint="eastAsia"/>
          <w:color w:val="auto"/>
          <w:highlight w:val="none"/>
        </w:rPr>
        <w:t>大写：</w:t>
      </w:r>
      <w:r>
        <w:rPr>
          <w:rFonts w:hint="eastAsia"/>
          <w:color w:val="auto"/>
          <w:highlight w:val="none"/>
          <w:u w:val="single"/>
          <w:lang w:val="en-US" w:eastAsia="zh-CN"/>
        </w:rPr>
        <w:t xml:space="preserve">        </w:t>
      </w:r>
      <w:r>
        <w:rPr>
          <w:rFonts w:hint="eastAsia"/>
          <w:color w:val="auto"/>
          <w:highlight w:val="none"/>
        </w:rPr>
        <w:t>圆整</w:t>
      </w:r>
      <w:r>
        <w:rPr>
          <w:rFonts w:hint="eastAsia"/>
          <w:color w:val="auto"/>
          <w:highlight w:val="none"/>
          <w:lang w:eastAsia="zh-CN"/>
        </w:rPr>
        <w:t>）</w:t>
      </w:r>
      <w:r>
        <w:rPr>
          <w:rFonts w:hint="eastAsia"/>
          <w:color w:val="auto"/>
          <w:highlight w:val="none"/>
        </w:rPr>
        <w:t>。</w:t>
      </w:r>
    </w:p>
    <w:p w14:paraId="0549EDE6">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备注：以上金额是中标单位正常履约情况下的支付金额，若履行过程中出现合同所约定违约情形的，当期应付费用须扣除相应违约金后再行支付。</w:t>
      </w:r>
    </w:p>
    <w:p w14:paraId="3A46B436">
      <w:pPr>
        <w:keepNext/>
        <w:keepLines/>
        <w:widowControl w:val="0"/>
        <w:adjustRightInd/>
        <w:spacing w:before="244" w:beforeLines="50" w:after="244" w:afterLines="50" w:line="480" w:lineRule="exact"/>
        <w:textAlignment w:val="baseline"/>
        <w:outlineLvl w:val="1"/>
        <w:rPr>
          <w:rFonts w:hint="eastAsia"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lang w:val="en-US" w:eastAsia="zh-CN"/>
        </w:rPr>
        <w:t>七</w:t>
      </w:r>
      <w:r>
        <w:rPr>
          <w:rFonts w:hint="eastAsia" w:ascii="Times New Roman" w:hAnsi="Times New Roman" w:cs="Times New Roman"/>
          <w:b/>
          <w:bCs/>
          <w:color w:val="auto"/>
          <w:szCs w:val="20"/>
          <w:highlight w:val="none"/>
        </w:rPr>
        <w:t>、本项目定标方法</w:t>
      </w:r>
    </w:p>
    <w:p w14:paraId="3DF4A2E6">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采用综合评分法，评标结果按评审后得分由高到低顺序排列。得分相同的，按投标报价由低到高顺序排列。得分且投标报价相同的并列，中标单位的确定由招标单位综合考虑单位实力、服务方案、服务人员等进行选定。</w:t>
      </w:r>
    </w:p>
    <w:p w14:paraId="18848409">
      <w:pPr>
        <w:keepNext/>
        <w:keepLines/>
        <w:widowControl w:val="0"/>
        <w:adjustRightInd/>
        <w:spacing w:before="244" w:beforeLines="50" w:after="244" w:afterLines="50" w:line="480" w:lineRule="exact"/>
        <w:textAlignment w:val="baseline"/>
        <w:outlineLvl w:val="1"/>
        <w:rPr>
          <w:rFonts w:hint="eastAsia"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lang w:val="en-US" w:eastAsia="zh-CN"/>
        </w:rPr>
        <w:t>八</w:t>
      </w:r>
      <w:r>
        <w:rPr>
          <w:rFonts w:hint="eastAsia" w:ascii="Times New Roman" w:hAnsi="Times New Roman" w:cs="Times New Roman"/>
          <w:b/>
          <w:bCs/>
          <w:color w:val="auto"/>
          <w:szCs w:val="20"/>
          <w:highlight w:val="none"/>
        </w:rPr>
        <w:t>、注意事项</w:t>
      </w:r>
    </w:p>
    <w:p w14:paraId="0D57363D">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1、中标单位不得将项目非法分包或转包给任何单位和个人。否则，招标单位有权解除合同，并要求中标单位赔偿相应损失。</w:t>
      </w:r>
    </w:p>
    <w:p w14:paraId="71F5634D">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2、投标单位若认为招标文件的技术要求或其他要求有倾向性或不公正性，可向招标单位提出解释请求，以维护招标行为的公平、公正。</w:t>
      </w:r>
    </w:p>
    <w:p w14:paraId="07F6E381">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3、投标单位使用的标准必须是国际公认或国家、或地方政府颁布的同等或更高的标准。如投标单位使用的标准低于上述标准，投标单位必须列表将明显的差异详细说明，招标单位有权不予接受。</w:t>
      </w:r>
    </w:p>
    <w:p w14:paraId="5BBA8685">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4、投标单位所提交的投标文件对技术参数和各项要求的响应应当列出具体内容。如果投标单位只注明“符合”或“满足”，将被视为“不符合”，并可能严重影响评标结果。</w:t>
      </w:r>
    </w:p>
    <w:p w14:paraId="66053B0D">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5、《深圳经济特区政府采购条例》规定：供应商在政府采购中，未按该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供应商必须诚信投标，对项目需求响应真实性负责。</w:t>
      </w:r>
    </w:p>
    <w:p w14:paraId="2F058201">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6、对采购文件中描述有歧义或前后不一致的地方，招标单位有权进行评判，但对同一条款的评判应适用于每个投标单位。</w:t>
      </w:r>
    </w:p>
    <w:p w14:paraId="4F53E2DA">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7、《政府采购货物和服务招标投标管理办法》（财政部令第87号）规定：采购人认为投标单位的报价明显低于其他通过符合性审查投标单位的报价，有可能影响产品质量或者不能诚信履约的，应当要求其在合理的时间内提供书面说明，必要时提交相关证明材料；投标单位不能证明其报价合理性的，采购人应当将其作为无效投标处理。</w:t>
      </w:r>
    </w:p>
    <w:p w14:paraId="4363D8F4">
      <w:pPr>
        <w:spacing w:line="480" w:lineRule="exact"/>
        <w:ind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8、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713F7B66">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eastAsia="宋体"/>
          <w:color w:val="auto"/>
          <w:sz w:val="24"/>
          <w:szCs w:val="24"/>
          <w:highlight w:val="none"/>
          <w:lang w:val="en-US" w:eastAsia="zh-CN"/>
        </w:rPr>
        <w:t>9、根据《深圳市建立清理拖欠民营企业中小企业账款长效工作机制方案》和《南山区进一步</w:t>
      </w:r>
      <w:r>
        <w:rPr>
          <w:rFonts w:hint="eastAsia" w:ascii="宋体" w:hAnsi="宋体" w:eastAsia="宋体" w:cs="宋体"/>
          <w:color w:val="auto"/>
          <w:sz w:val="24"/>
          <w:szCs w:val="24"/>
          <w:highlight w:val="none"/>
          <w:lang w:val="en-US" w:eastAsia="zh-CN"/>
        </w:rPr>
        <w:t>完善清理拖欠民营企业中小企业账款长效工作机制方案》，要求各采购人应努力避免各类政府采购项目发生新的拖欠民营企业中小企业账款现象。</w:t>
      </w:r>
    </w:p>
    <w:p w14:paraId="5B3885C0">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根据《</w:t>
      </w:r>
      <w:r>
        <w:rPr>
          <w:rFonts w:hint="eastAsia" w:ascii="宋体" w:hAnsi="宋体" w:eastAsia="宋体" w:cs="宋体"/>
          <w:color w:val="auto"/>
          <w:sz w:val="24"/>
          <w:szCs w:val="24"/>
          <w:highlight w:val="none"/>
          <w:lang w:val="en-US" w:eastAsia="zh-CN"/>
        </w:rPr>
        <w:t>关于促进政府采购公平竞争优化营商环境的通知》，招标单位将依法保障各类市场主体平等参与政府采购活动的权利，各投标单位应积极发挥自身优势，参与投标，充分竞争。</w:t>
      </w:r>
    </w:p>
    <w:p w14:paraId="21E50D42">
      <w:pPr>
        <w:spacing w:line="48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若通过资格审查的供应商不足3名的，则本项目第一轮招标失败，须以体现充分竞争为目的，降低招标标准（评分因素）进行第二轮招标。</w:t>
      </w:r>
    </w:p>
    <w:p w14:paraId="446C72A3">
      <w:pPr>
        <w:pStyle w:val="7"/>
        <w:numPr>
          <w:ilvl w:val="0"/>
          <w:numId w:val="1"/>
        </w:numPr>
        <w:rPr>
          <w:rFonts w:hint="eastAsia"/>
          <w:color w:val="auto"/>
          <w:highlight w:val="none"/>
          <w:lang w:val="en-US" w:eastAsia="zh-CN"/>
        </w:rPr>
      </w:pPr>
      <w:r>
        <w:rPr>
          <w:rFonts w:hint="eastAsia"/>
          <w:color w:val="auto"/>
          <w:highlight w:val="none"/>
          <w:lang w:eastAsia="zh-CN"/>
        </w:rPr>
        <w:t>本次招标将通过“</w:t>
      </w:r>
      <w:r>
        <w:rPr>
          <w:rFonts w:hint="eastAsia"/>
          <w:color w:val="auto"/>
          <w:highlight w:val="none"/>
        </w:rPr>
        <w:t>南山政府在线网站</w:t>
      </w:r>
      <w:r>
        <w:rPr>
          <w:rFonts w:hint="eastAsia"/>
          <w:color w:val="auto"/>
          <w:highlight w:val="none"/>
          <w:lang w:val="en-US" w:eastAsia="zh-CN"/>
        </w:rPr>
        <w:t>”发布招标公告。</w:t>
      </w:r>
    </w:p>
    <w:p w14:paraId="005AC468">
      <w:pPr>
        <w:ind w:firstLine="480" w:firstLineChars="200"/>
        <w:jc w:val="center"/>
        <w:rPr>
          <w:rFonts w:hint="eastAsia" w:ascii="宋体" w:hAnsi="宋体" w:eastAsia="宋体" w:cs="宋体"/>
          <w:color w:val="auto"/>
          <w:sz w:val="24"/>
          <w:szCs w:val="24"/>
          <w:highlight w:val="none"/>
          <w:lang w:val="en-US" w:eastAsia="zh-CN"/>
        </w:rPr>
      </w:pPr>
    </w:p>
    <w:p w14:paraId="7CBFB8C6">
      <w:pPr>
        <w:ind w:firstLine="0" w:firstLineChars="0"/>
        <w:jc w:val="left"/>
        <w:rPr>
          <w:rFonts w:hint="eastAsia" w:ascii="Times New Roman" w:hAnsi="Times New Roman" w:eastAsia="宋体" w:cs="Times New Roman"/>
          <w:b/>
          <w:bCs/>
          <w:color w:val="auto"/>
          <w:kern w:val="44"/>
          <w:sz w:val="32"/>
          <w:szCs w:val="52"/>
          <w:highlight w:val="none"/>
          <w:lang w:val="en-US" w:eastAsia="zh-CN" w:bidi="ar-SA"/>
        </w:rPr>
      </w:pPr>
      <w:r>
        <w:rPr>
          <w:rFonts w:hint="eastAsia" w:ascii="Times New Roman" w:hAnsi="Times New Roman" w:eastAsia="宋体" w:cs="Times New Roman"/>
          <w:b/>
          <w:bCs/>
          <w:color w:val="auto"/>
          <w:kern w:val="44"/>
          <w:sz w:val="32"/>
          <w:szCs w:val="52"/>
          <w:highlight w:val="none"/>
          <w:lang w:val="en-US" w:eastAsia="zh-CN" w:bidi="ar-SA"/>
        </w:rPr>
        <w:br w:type="page"/>
      </w:r>
    </w:p>
    <w:p w14:paraId="32F389BA">
      <w:pPr>
        <w:ind w:firstLine="643" w:firstLineChars="200"/>
        <w:jc w:val="center"/>
        <w:rPr>
          <w:rFonts w:hint="eastAsia" w:ascii="Times New Roman" w:hAnsi="Times New Roman" w:eastAsia="宋体" w:cs="Times New Roman"/>
          <w:b/>
          <w:bCs/>
          <w:color w:val="auto"/>
          <w:kern w:val="44"/>
          <w:sz w:val="32"/>
          <w:szCs w:val="52"/>
          <w:highlight w:val="none"/>
          <w:lang w:val="en-US" w:eastAsia="zh-CN" w:bidi="ar-SA"/>
        </w:rPr>
      </w:pPr>
      <w:r>
        <w:rPr>
          <w:rFonts w:hint="eastAsia" w:ascii="Times New Roman" w:hAnsi="Times New Roman" w:eastAsia="宋体" w:cs="Times New Roman"/>
          <w:b/>
          <w:bCs/>
          <w:color w:val="auto"/>
          <w:kern w:val="44"/>
          <w:sz w:val="32"/>
          <w:szCs w:val="52"/>
          <w:highlight w:val="none"/>
          <w:lang w:val="en-US" w:eastAsia="zh-CN" w:bidi="ar-SA"/>
        </w:rPr>
        <w:t>第三章 定标信息</w:t>
      </w:r>
    </w:p>
    <w:tbl>
      <w:tblPr>
        <w:tblStyle w:val="9"/>
        <w:tblW w:w="10332" w:type="dxa"/>
        <w:jc w:val="center"/>
        <w:tblCellSpacing w:w="0" w:type="dxa"/>
        <w:tblLayout w:type="fixed"/>
        <w:tblCellMar>
          <w:top w:w="36" w:type="dxa"/>
          <w:left w:w="36" w:type="dxa"/>
          <w:bottom w:w="36" w:type="dxa"/>
          <w:right w:w="36" w:type="dxa"/>
        </w:tblCellMar>
      </w:tblPr>
      <w:tblGrid>
        <w:gridCol w:w="8620"/>
        <w:gridCol w:w="1712"/>
      </w:tblGrid>
      <w:tr w14:paraId="13C48625">
        <w:tblPrEx>
          <w:tblCellMar>
            <w:top w:w="36" w:type="dxa"/>
            <w:left w:w="36" w:type="dxa"/>
            <w:bottom w:w="36" w:type="dxa"/>
            <w:right w:w="36" w:type="dxa"/>
          </w:tblCellMar>
        </w:tblPrEx>
        <w:trPr>
          <w:tblCellSpacing w:w="0" w:type="dxa"/>
          <w:jc w:val="center"/>
        </w:trPr>
        <w:tc>
          <w:tcPr>
            <w:tcW w:w="8620" w:type="dxa"/>
            <w:tcBorders>
              <w:top w:val="nil"/>
              <w:left w:val="nil"/>
              <w:bottom w:val="nil"/>
              <w:right w:val="nil"/>
            </w:tcBorders>
            <w:noWrap w:val="0"/>
            <w:vAlign w:val="center"/>
          </w:tcPr>
          <w:p w14:paraId="26198715">
            <w:pPr>
              <w:rPr>
                <w:b/>
                <w:bCs/>
                <w:color w:val="auto"/>
                <w:highlight w:val="none"/>
              </w:rPr>
            </w:pPr>
            <w:r>
              <w:rPr>
                <w:rFonts w:hint="eastAsia"/>
                <w:b/>
                <w:bCs/>
                <w:color w:val="auto"/>
                <w:highlight w:val="none"/>
                <w:lang w:val="en-US" w:eastAsia="zh-CN"/>
              </w:rPr>
              <w:t>定</w:t>
            </w:r>
            <w:r>
              <w:rPr>
                <w:b/>
                <w:bCs/>
                <w:color w:val="auto"/>
                <w:highlight w:val="none"/>
              </w:rPr>
              <w:t>标方法：综合评分法</w:t>
            </w:r>
          </w:p>
        </w:tc>
        <w:tc>
          <w:tcPr>
            <w:tcW w:w="1712" w:type="dxa"/>
            <w:tcBorders>
              <w:top w:val="nil"/>
              <w:left w:val="nil"/>
              <w:bottom w:val="nil"/>
              <w:right w:val="nil"/>
            </w:tcBorders>
            <w:noWrap w:val="0"/>
            <w:vAlign w:val="center"/>
          </w:tcPr>
          <w:p w14:paraId="2A8E7E59">
            <w:pPr>
              <w:jc w:val="right"/>
              <w:rPr>
                <w:b/>
                <w:bCs/>
                <w:color w:val="auto"/>
                <w:highlight w:val="none"/>
              </w:rPr>
            </w:pPr>
          </w:p>
        </w:tc>
      </w:tr>
      <w:tr w14:paraId="7EA53174">
        <w:tblPrEx>
          <w:tblCellMar>
            <w:top w:w="36" w:type="dxa"/>
            <w:left w:w="36" w:type="dxa"/>
            <w:bottom w:w="36" w:type="dxa"/>
            <w:right w:w="36" w:type="dxa"/>
          </w:tblCellMar>
        </w:tblPrEx>
        <w:trPr>
          <w:tblCellSpacing w:w="0" w:type="dxa"/>
          <w:jc w:val="center"/>
        </w:trPr>
        <w:tc>
          <w:tcPr>
            <w:tcW w:w="10332" w:type="dxa"/>
            <w:gridSpan w:val="2"/>
            <w:tcBorders>
              <w:top w:val="nil"/>
              <w:left w:val="nil"/>
              <w:bottom w:val="nil"/>
              <w:right w:val="nil"/>
            </w:tcBorders>
            <w:noWrap w:val="0"/>
            <w:vAlign w:val="center"/>
          </w:tcPr>
          <w:p w14:paraId="0D032A0C">
            <w:pPr>
              <w:pStyle w:val="6"/>
              <w:spacing w:beforeAutospacing="0" w:afterAutospacing="0"/>
              <w:ind w:firstLine="420"/>
              <w:rPr>
                <w:rFonts w:ascii="宋体" w:hAnsi="宋体" w:eastAsia="宋体"/>
                <w:color w:val="auto"/>
                <w:sz w:val="21"/>
                <w:szCs w:val="21"/>
                <w:highlight w:val="none"/>
              </w:rPr>
            </w:pPr>
            <w:r>
              <w:rPr>
                <w:rFonts w:ascii="宋体" w:hAnsi="宋体" w:eastAsia="宋体"/>
                <w:color w:val="auto"/>
                <w:sz w:val="21"/>
                <w:szCs w:val="21"/>
                <w:highlight w:val="none"/>
              </w:rPr>
              <w:t>综合评分法，是指投标文件满足招标文件全部实质性要求，且按照评审因素的量化指标评审得分最高的</w:t>
            </w:r>
            <w:r>
              <w:rPr>
                <w:rFonts w:hint="default" w:eastAsia="宋体"/>
                <w:color w:val="auto"/>
                <w:sz w:val="21"/>
                <w:szCs w:val="21"/>
                <w:highlight w:val="none"/>
                <w:lang w:eastAsia="zh-CN"/>
              </w:rPr>
              <w:t>投标单位</w:t>
            </w:r>
            <w:r>
              <w:rPr>
                <w:rFonts w:ascii="宋体" w:hAnsi="宋体" w:eastAsia="宋体"/>
                <w:color w:val="auto"/>
                <w:sz w:val="21"/>
                <w:szCs w:val="21"/>
                <w:highlight w:val="none"/>
              </w:rPr>
              <w:t xml:space="preserve">为中标候选人的评标方法。 </w:t>
            </w:r>
          </w:p>
          <w:p w14:paraId="1AB7AFC0">
            <w:pPr>
              <w:pStyle w:val="6"/>
              <w:spacing w:beforeAutospacing="0" w:afterAutospacing="0"/>
              <w:ind w:firstLine="420"/>
              <w:rPr>
                <w:color w:val="auto"/>
                <w:sz w:val="21"/>
                <w:szCs w:val="21"/>
                <w:highlight w:val="none"/>
              </w:rPr>
            </w:pPr>
            <w:r>
              <w:rPr>
                <w:rFonts w:ascii="宋体" w:hAnsi="宋体" w:eastAsia="宋体"/>
                <w:color w:val="auto"/>
                <w:sz w:val="21"/>
                <w:szCs w:val="21"/>
                <w:highlight w:val="none"/>
              </w:rPr>
              <w:t>价格分计算方法：采用低价优先法计算，即满足招标文件要求且投标价格最低的投标报价为评标基准价，其价格分为满分。其他</w:t>
            </w:r>
            <w:r>
              <w:rPr>
                <w:rFonts w:hint="default" w:eastAsia="宋体"/>
                <w:color w:val="auto"/>
                <w:sz w:val="21"/>
                <w:szCs w:val="21"/>
                <w:highlight w:val="none"/>
                <w:lang w:eastAsia="zh-CN"/>
              </w:rPr>
              <w:t>投标单位</w:t>
            </w:r>
            <w:r>
              <w:rPr>
                <w:color w:val="auto"/>
                <w:sz w:val="21"/>
                <w:szCs w:val="21"/>
                <w:highlight w:val="none"/>
              </w:rPr>
              <w:t xml:space="preserve">的价格分统一按照下列公式计算： </w:t>
            </w:r>
            <w:r>
              <w:rPr>
                <w:color w:val="auto"/>
                <w:sz w:val="21"/>
                <w:szCs w:val="21"/>
                <w:highlight w:val="none"/>
              </w:rPr>
              <w:br w:type="textWrapping"/>
            </w:r>
            <w:r>
              <w:rPr>
                <w:color w:val="auto"/>
                <w:sz w:val="21"/>
                <w:szCs w:val="21"/>
                <w:highlight w:val="none"/>
              </w:rPr>
              <w:t>投标报价得分=(评标基准价／投标报价)×</w:t>
            </w:r>
            <w:r>
              <w:rPr>
                <w:rFonts w:hint="eastAsia"/>
                <w:color w:val="auto"/>
                <w:sz w:val="21"/>
                <w:szCs w:val="21"/>
                <w:highlight w:val="none"/>
                <w:lang w:eastAsia="zh-CN"/>
              </w:rPr>
              <w:t>权重</w:t>
            </w:r>
            <w:r>
              <w:rPr>
                <w:color w:val="auto"/>
                <w:sz w:val="21"/>
                <w:szCs w:val="21"/>
                <w:highlight w:val="none"/>
              </w:rPr>
              <w:t xml:space="preserve"> </w:t>
            </w:r>
            <w:r>
              <w:rPr>
                <w:color w:val="auto"/>
                <w:sz w:val="21"/>
                <w:szCs w:val="21"/>
                <w:highlight w:val="none"/>
              </w:rPr>
              <w:br w:type="textWrapping"/>
            </w:r>
            <w:r>
              <w:rPr>
                <w:color w:val="auto"/>
                <w:sz w:val="21"/>
                <w:szCs w:val="21"/>
                <w:highlight w:val="none"/>
              </w:rPr>
              <w:t xml:space="preserve">评标总得分＝F1×A1＋F2×A2＋……＋Fn×An </w:t>
            </w:r>
            <w:r>
              <w:rPr>
                <w:color w:val="auto"/>
                <w:sz w:val="21"/>
                <w:szCs w:val="21"/>
                <w:highlight w:val="none"/>
              </w:rPr>
              <w:br w:type="textWrapping"/>
            </w:r>
            <w:r>
              <w:rPr>
                <w:color w:val="auto"/>
                <w:sz w:val="21"/>
                <w:szCs w:val="21"/>
                <w:highlight w:val="none"/>
              </w:rPr>
              <w:t xml:space="preserve">F1、F2……Fn分别为各项评审因素的得分； </w:t>
            </w:r>
            <w:r>
              <w:rPr>
                <w:color w:val="auto"/>
                <w:sz w:val="21"/>
                <w:szCs w:val="21"/>
                <w:highlight w:val="none"/>
              </w:rPr>
              <w:br w:type="textWrapping"/>
            </w:r>
            <w:r>
              <w:rPr>
                <w:color w:val="auto"/>
                <w:sz w:val="21"/>
                <w:szCs w:val="21"/>
                <w:highlight w:val="none"/>
              </w:rPr>
              <w:t xml:space="preserve">A1、A2、……An 分别为各项评审因素所占的权重(A1＋A2＋……＋An＝1)。 </w:t>
            </w:r>
            <w:r>
              <w:rPr>
                <w:color w:val="auto"/>
                <w:sz w:val="21"/>
                <w:szCs w:val="21"/>
                <w:highlight w:val="none"/>
              </w:rPr>
              <w:br w:type="textWrapping"/>
            </w:r>
            <w:r>
              <w:rPr>
                <w:color w:val="auto"/>
                <w:sz w:val="21"/>
                <w:szCs w:val="21"/>
                <w:highlight w:val="none"/>
              </w:rPr>
              <w:t>评标过程中，不得去掉报价中的最高报价和最低报价。</w:t>
            </w:r>
          </w:p>
          <w:tbl>
            <w:tblPr>
              <w:tblStyle w:val="9"/>
              <w:tblpPr w:leftFromText="180" w:rightFromText="180" w:vertAnchor="text" w:horzAnchor="page" w:tblpX="1" w:tblpY="335"/>
              <w:tblOverlap w:val="never"/>
              <w:tblW w:w="101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27"/>
              <w:gridCol w:w="426"/>
              <w:gridCol w:w="1382"/>
              <w:gridCol w:w="450"/>
              <w:gridCol w:w="4046"/>
              <w:gridCol w:w="2961"/>
              <w:gridCol w:w="505"/>
            </w:tblGrid>
            <w:tr w14:paraId="21ED1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74" w:hRule="atLeast"/>
              </w:trPr>
              <w:tc>
                <w:tcPr>
                  <w:tcW w:w="427" w:type="dxa"/>
                  <w:tcBorders>
                    <w:top w:val="single" w:color="000000" w:sz="8" w:space="0"/>
                    <w:left w:val="single" w:color="000000" w:sz="8" w:space="0"/>
                    <w:bottom w:val="single" w:color="000000" w:sz="8" w:space="0"/>
                    <w:right w:val="single" w:color="auto" w:sz="4" w:space="0"/>
                  </w:tcBorders>
                  <w:shd w:val="clear" w:color="auto" w:fill="E6EFFA"/>
                  <w:vAlign w:val="center"/>
                </w:tcPr>
                <w:p w14:paraId="2067F4A8">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258" w:type="dxa"/>
                  <w:gridSpan w:val="3"/>
                  <w:tcBorders>
                    <w:top w:val="single" w:color="auto" w:sz="4" w:space="0"/>
                    <w:left w:val="single" w:color="auto" w:sz="4" w:space="0"/>
                    <w:bottom w:val="single" w:color="auto" w:sz="4" w:space="0"/>
                    <w:right w:val="single" w:color="auto" w:sz="4" w:space="0"/>
                  </w:tcBorders>
                  <w:shd w:val="clear" w:color="auto" w:fill="E6EFFA"/>
                  <w:vAlign w:val="center"/>
                </w:tcPr>
                <w:p w14:paraId="27AD9039">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046" w:type="dxa"/>
                  <w:tcBorders>
                    <w:top w:val="single" w:color="auto" w:sz="4" w:space="0"/>
                    <w:left w:val="single" w:color="auto" w:sz="4" w:space="0"/>
                    <w:bottom w:val="single" w:color="auto" w:sz="4" w:space="0"/>
                    <w:right w:val="single" w:color="auto" w:sz="4" w:space="0"/>
                  </w:tcBorders>
                  <w:shd w:val="clear" w:color="auto" w:fill="E6EFFA"/>
                  <w:vAlign w:val="center"/>
                </w:tcPr>
                <w:p w14:paraId="0D83B8D7">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c>
                <w:tcPr>
                  <w:tcW w:w="2961" w:type="dxa"/>
                  <w:tcBorders>
                    <w:top w:val="single" w:color="auto" w:sz="4" w:space="0"/>
                    <w:left w:val="single" w:color="auto" w:sz="4" w:space="0"/>
                    <w:bottom w:val="single" w:color="auto" w:sz="4" w:space="0"/>
                    <w:right w:val="single" w:color="auto" w:sz="4" w:space="0"/>
                  </w:tcBorders>
                  <w:shd w:val="clear" w:color="auto" w:fill="E6EFFA"/>
                  <w:vAlign w:val="center"/>
                </w:tcPr>
                <w:p w14:paraId="4D755E5E">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备注</w:t>
                  </w:r>
                </w:p>
              </w:tc>
              <w:tc>
                <w:tcPr>
                  <w:tcW w:w="505" w:type="dxa"/>
                  <w:tcBorders>
                    <w:top w:val="single" w:color="auto" w:sz="4" w:space="0"/>
                    <w:left w:val="single" w:color="auto" w:sz="4" w:space="0"/>
                    <w:bottom w:val="single" w:color="auto" w:sz="4" w:space="0"/>
                    <w:right w:val="single" w:color="auto" w:sz="4" w:space="0"/>
                  </w:tcBorders>
                  <w:shd w:val="clear" w:color="auto" w:fill="E6EFFA"/>
                  <w:vAlign w:val="center"/>
                </w:tcPr>
                <w:p w14:paraId="6F8D6FD2">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得分</w:t>
                  </w:r>
                </w:p>
              </w:tc>
            </w:tr>
            <w:tr w14:paraId="14E58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2" w:hRule="atLeast"/>
              </w:trPr>
              <w:tc>
                <w:tcPr>
                  <w:tcW w:w="427" w:type="dxa"/>
                  <w:vMerge w:val="restart"/>
                  <w:tcBorders>
                    <w:top w:val="single" w:color="000000" w:sz="8" w:space="0"/>
                    <w:left w:val="single" w:color="000000" w:sz="8" w:space="0"/>
                    <w:right w:val="single" w:color="auto" w:sz="4" w:space="0"/>
                  </w:tcBorders>
                  <w:vAlign w:val="center"/>
                </w:tcPr>
                <w:p w14:paraId="1BE23834">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1</w:t>
                  </w:r>
                </w:p>
              </w:tc>
              <w:tc>
                <w:tcPr>
                  <w:tcW w:w="2258" w:type="dxa"/>
                  <w:gridSpan w:val="3"/>
                  <w:tcBorders>
                    <w:top w:val="single" w:color="auto" w:sz="4" w:space="0"/>
                    <w:left w:val="single" w:color="auto" w:sz="4" w:space="0"/>
                    <w:bottom w:val="single" w:color="auto" w:sz="4" w:space="0"/>
                    <w:right w:val="single" w:color="auto" w:sz="4" w:space="0"/>
                  </w:tcBorders>
                  <w:vAlign w:val="center"/>
                </w:tcPr>
                <w:p w14:paraId="414C894B">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价格</w:t>
                  </w:r>
                </w:p>
              </w:tc>
              <w:tc>
                <w:tcPr>
                  <w:tcW w:w="4046" w:type="dxa"/>
                  <w:tcBorders>
                    <w:top w:val="single" w:color="auto" w:sz="4" w:space="0"/>
                    <w:left w:val="single" w:color="auto" w:sz="4" w:space="0"/>
                    <w:bottom w:val="single" w:color="auto" w:sz="4" w:space="0"/>
                    <w:right w:val="single" w:color="auto" w:sz="4" w:space="0"/>
                  </w:tcBorders>
                  <w:vAlign w:val="center"/>
                </w:tcPr>
                <w:p w14:paraId="28FBCE42">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20</w:t>
                  </w:r>
                </w:p>
              </w:tc>
              <w:tc>
                <w:tcPr>
                  <w:tcW w:w="2961" w:type="dxa"/>
                  <w:tcBorders>
                    <w:top w:val="single" w:color="auto" w:sz="4" w:space="0"/>
                    <w:left w:val="single" w:color="auto" w:sz="4" w:space="0"/>
                    <w:bottom w:val="single" w:color="auto" w:sz="4" w:space="0"/>
                    <w:right w:val="single" w:color="auto" w:sz="4" w:space="0"/>
                  </w:tcBorders>
                  <w:vAlign w:val="center"/>
                </w:tcPr>
                <w:p w14:paraId="3E68783A">
                  <w:pPr>
                    <w:wordWrap w:val="0"/>
                    <w:rPr>
                      <w:rFonts w:hint="eastAsia" w:asciiTheme="minorEastAsia" w:hAnsiTheme="minorEastAsia" w:eastAsiaTheme="minorEastAsia" w:cstheme="minorEastAsia"/>
                      <w:b/>
                      <w:bCs/>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1F35E977">
                  <w:pPr>
                    <w:wordWrap w:val="0"/>
                    <w:jc w:val="center"/>
                    <w:rPr>
                      <w:rFonts w:hint="eastAsia" w:asciiTheme="minorEastAsia" w:hAnsiTheme="minorEastAsia" w:eastAsiaTheme="minorEastAsia" w:cstheme="minorEastAsia"/>
                      <w:b/>
                      <w:bCs/>
                      <w:sz w:val="21"/>
                      <w:szCs w:val="21"/>
                      <w:highlight w:val="none"/>
                    </w:rPr>
                  </w:pPr>
                </w:p>
              </w:tc>
            </w:tr>
            <w:tr w14:paraId="3EC99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427" w:type="dxa"/>
                  <w:vMerge w:val="continue"/>
                  <w:tcBorders>
                    <w:left w:val="single" w:color="000000" w:sz="8" w:space="0"/>
                    <w:right w:val="single" w:color="auto" w:sz="4" w:space="0"/>
                  </w:tcBorders>
                  <w:shd w:val="clear" w:color="auto" w:fill="E6EFFA"/>
                  <w:vAlign w:val="center"/>
                </w:tcPr>
                <w:p w14:paraId="107BC45B">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shd w:val="clear" w:color="auto" w:fill="E6EFFA"/>
                  <w:vAlign w:val="center"/>
                </w:tcPr>
                <w:p w14:paraId="366523F8">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382" w:type="dxa"/>
                  <w:tcBorders>
                    <w:top w:val="single" w:color="auto" w:sz="4" w:space="0"/>
                    <w:left w:val="single" w:color="auto" w:sz="4" w:space="0"/>
                    <w:bottom w:val="single" w:color="auto" w:sz="4" w:space="0"/>
                    <w:right w:val="single" w:color="auto" w:sz="4" w:space="0"/>
                  </w:tcBorders>
                  <w:shd w:val="clear" w:color="auto" w:fill="E6EFFA"/>
                  <w:vAlign w:val="center"/>
                </w:tcPr>
                <w:p w14:paraId="26D5ADCF">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14:paraId="644B42B5">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总分</w:t>
                  </w:r>
                </w:p>
              </w:tc>
              <w:tc>
                <w:tcPr>
                  <w:tcW w:w="4046" w:type="dxa"/>
                  <w:tcBorders>
                    <w:top w:val="single" w:color="auto" w:sz="4" w:space="0"/>
                    <w:left w:val="single" w:color="auto" w:sz="4" w:space="0"/>
                    <w:bottom w:val="single" w:color="auto" w:sz="4" w:space="0"/>
                    <w:right w:val="single" w:color="auto" w:sz="4" w:space="0"/>
                  </w:tcBorders>
                  <w:shd w:val="clear" w:color="auto" w:fill="E6EFFA"/>
                  <w:vAlign w:val="center"/>
                </w:tcPr>
                <w:p w14:paraId="5A6247A1">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c>
                <w:tcPr>
                  <w:tcW w:w="2961" w:type="dxa"/>
                  <w:tcBorders>
                    <w:top w:val="single" w:color="auto" w:sz="4" w:space="0"/>
                    <w:left w:val="single" w:color="auto" w:sz="4" w:space="0"/>
                    <w:bottom w:val="single" w:color="auto" w:sz="4" w:space="0"/>
                    <w:right w:val="single" w:color="auto" w:sz="4" w:space="0"/>
                  </w:tcBorders>
                  <w:shd w:val="clear" w:color="auto" w:fill="E6EFFA"/>
                  <w:vAlign w:val="center"/>
                </w:tcPr>
                <w:p w14:paraId="0771293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505" w:type="dxa"/>
                  <w:tcBorders>
                    <w:top w:val="single" w:color="auto" w:sz="4" w:space="0"/>
                    <w:left w:val="single" w:color="auto" w:sz="4" w:space="0"/>
                    <w:bottom w:val="single" w:color="auto" w:sz="4" w:space="0"/>
                    <w:right w:val="single" w:color="auto" w:sz="4" w:space="0"/>
                  </w:tcBorders>
                  <w:shd w:val="clear" w:color="auto" w:fill="E6EFFA"/>
                  <w:vAlign w:val="center"/>
                </w:tcPr>
                <w:p w14:paraId="5AA6ABE9">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得分</w:t>
                  </w:r>
                </w:p>
              </w:tc>
            </w:tr>
            <w:tr w14:paraId="28BEF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427" w:type="dxa"/>
                  <w:vMerge w:val="continue"/>
                  <w:tcBorders>
                    <w:left w:val="single" w:color="000000" w:sz="8" w:space="0"/>
                    <w:right w:val="single" w:color="auto" w:sz="4" w:space="0"/>
                  </w:tcBorders>
                  <w:vAlign w:val="center"/>
                </w:tcPr>
                <w:p w14:paraId="73E40510">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79508DF8">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382" w:type="dxa"/>
                  <w:tcBorders>
                    <w:top w:val="single" w:color="auto" w:sz="4" w:space="0"/>
                    <w:left w:val="single" w:color="auto" w:sz="4" w:space="0"/>
                    <w:bottom w:val="single" w:color="auto" w:sz="4" w:space="0"/>
                    <w:right w:val="single" w:color="auto" w:sz="4" w:space="0"/>
                  </w:tcBorders>
                  <w:vAlign w:val="center"/>
                </w:tcPr>
                <w:p w14:paraId="43D71E42">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报价金额</w:t>
                  </w:r>
                </w:p>
              </w:tc>
              <w:tc>
                <w:tcPr>
                  <w:tcW w:w="450" w:type="dxa"/>
                  <w:tcBorders>
                    <w:top w:val="single" w:color="auto" w:sz="4" w:space="0"/>
                    <w:left w:val="single" w:color="auto" w:sz="4" w:space="0"/>
                    <w:bottom w:val="single" w:color="auto" w:sz="4" w:space="0"/>
                    <w:right w:val="single" w:color="auto" w:sz="4" w:space="0"/>
                  </w:tcBorders>
                  <w:vAlign w:val="center"/>
                </w:tcPr>
                <w:p w14:paraId="70F9A0AE">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w:t>
                  </w:r>
                </w:p>
              </w:tc>
              <w:tc>
                <w:tcPr>
                  <w:tcW w:w="4046" w:type="dxa"/>
                  <w:tcBorders>
                    <w:top w:val="single" w:color="auto" w:sz="4" w:space="0"/>
                    <w:left w:val="single" w:color="auto" w:sz="4" w:space="0"/>
                    <w:bottom w:val="single" w:color="auto" w:sz="4" w:space="0"/>
                    <w:right w:val="single" w:color="auto" w:sz="4" w:space="0"/>
                  </w:tcBorders>
                  <w:vAlign w:val="center"/>
                </w:tcPr>
                <w:p w14:paraId="3588A72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得分=评标基准价÷投标报价×20</w:t>
                  </w:r>
                </w:p>
              </w:tc>
              <w:tc>
                <w:tcPr>
                  <w:tcW w:w="2961" w:type="dxa"/>
                  <w:tcBorders>
                    <w:top w:val="single" w:color="auto" w:sz="4" w:space="0"/>
                    <w:left w:val="single" w:color="auto" w:sz="4" w:space="0"/>
                    <w:bottom w:val="single" w:color="auto" w:sz="4" w:space="0"/>
                    <w:right w:val="single" w:color="auto" w:sz="4" w:space="0"/>
                  </w:tcBorders>
                  <w:vAlign w:val="center"/>
                </w:tcPr>
                <w:p w14:paraId="6F666C9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评标基准价为投标最低报价</w:t>
                  </w:r>
                </w:p>
              </w:tc>
              <w:tc>
                <w:tcPr>
                  <w:tcW w:w="505" w:type="dxa"/>
                  <w:tcBorders>
                    <w:top w:val="single" w:color="auto" w:sz="4" w:space="0"/>
                    <w:left w:val="single" w:color="auto" w:sz="4" w:space="0"/>
                    <w:bottom w:val="single" w:color="auto" w:sz="4" w:space="0"/>
                    <w:right w:val="single" w:color="auto" w:sz="4" w:space="0"/>
                  </w:tcBorders>
                  <w:vAlign w:val="center"/>
                </w:tcPr>
                <w:p w14:paraId="676437AB">
                  <w:pPr>
                    <w:jc w:val="center"/>
                    <w:rPr>
                      <w:rFonts w:hint="eastAsia" w:asciiTheme="minorEastAsia" w:hAnsiTheme="minorEastAsia" w:eastAsiaTheme="minorEastAsia" w:cstheme="minorEastAsia"/>
                      <w:sz w:val="21"/>
                      <w:szCs w:val="21"/>
                      <w:highlight w:val="none"/>
                    </w:rPr>
                  </w:pPr>
                </w:p>
              </w:tc>
            </w:tr>
            <w:tr w14:paraId="37C25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6" w:hRule="atLeast"/>
              </w:trPr>
              <w:tc>
                <w:tcPr>
                  <w:tcW w:w="427" w:type="dxa"/>
                  <w:vMerge w:val="restart"/>
                  <w:tcBorders>
                    <w:top w:val="single" w:color="000000" w:sz="8" w:space="0"/>
                    <w:left w:val="single" w:color="000000" w:sz="8" w:space="0"/>
                    <w:right w:val="single" w:color="auto" w:sz="4" w:space="0"/>
                  </w:tcBorders>
                  <w:vAlign w:val="center"/>
                </w:tcPr>
                <w:p w14:paraId="543803EB">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w:t>
                  </w:r>
                </w:p>
              </w:tc>
              <w:tc>
                <w:tcPr>
                  <w:tcW w:w="2258" w:type="dxa"/>
                  <w:gridSpan w:val="3"/>
                  <w:tcBorders>
                    <w:top w:val="single" w:color="auto" w:sz="4" w:space="0"/>
                    <w:left w:val="single" w:color="auto" w:sz="4" w:space="0"/>
                    <w:bottom w:val="single" w:color="auto" w:sz="4" w:space="0"/>
                    <w:right w:val="single" w:color="auto" w:sz="4" w:space="0"/>
                  </w:tcBorders>
                  <w:vAlign w:val="center"/>
                </w:tcPr>
                <w:p w14:paraId="04EAC26D">
                  <w:pPr>
                    <w:wordWrap w:val="0"/>
                    <w:jc w:val="center"/>
                    <w:rPr>
                      <w:rFonts w:hint="eastAsia" w:asciiTheme="minorEastAsia" w:hAnsiTheme="minorEastAsia" w:eastAsiaTheme="minorEastAsia" w:cstheme="minorEastAsia"/>
                      <w:b/>
                      <w:bCs/>
                      <w:i w:val="0"/>
                      <w:iCs w:val="0"/>
                      <w:sz w:val="21"/>
                      <w:szCs w:val="21"/>
                      <w:highlight w:val="none"/>
                    </w:rPr>
                  </w:pPr>
                  <w:r>
                    <w:rPr>
                      <w:rFonts w:hint="eastAsia" w:asciiTheme="minorEastAsia" w:hAnsiTheme="minorEastAsia" w:eastAsiaTheme="minorEastAsia" w:cstheme="minorEastAsia"/>
                      <w:b/>
                      <w:bCs/>
                      <w:i w:val="0"/>
                      <w:iCs w:val="0"/>
                      <w:sz w:val="21"/>
                      <w:szCs w:val="21"/>
                      <w:highlight w:val="none"/>
                    </w:rPr>
                    <w:t>综合实力</w:t>
                  </w:r>
                </w:p>
              </w:tc>
              <w:tc>
                <w:tcPr>
                  <w:tcW w:w="4046" w:type="dxa"/>
                  <w:tcBorders>
                    <w:top w:val="single" w:color="auto" w:sz="4" w:space="0"/>
                    <w:left w:val="single" w:color="auto" w:sz="4" w:space="0"/>
                    <w:bottom w:val="single" w:color="auto" w:sz="4" w:space="0"/>
                    <w:right w:val="single" w:color="auto" w:sz="4" w:space="0"/>
                  </w:tcBorders>
                  <w:vAlign w:val="center"/>
                </w:tcPr>
                <w:p w14:paraId="46B4F18D">
                  <w:pPr>
                    <w:wordWrap w:val="0"/>
                    <w:jc w:val="center"/>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35</w:t>
                  </w:r>
                </w:p>
              </w:tc>
              <w:tc>
                <w:tcPr>
                  <w:tcW w:w="2961" w:type="dxa"/>
                  <w:tcBorders>
                    <w:top w:val="single" w:color="auto" w:sz="4" w:space="0"/>
                    <w:left w:val="single" w:color="auto" w:sz="4" w:space="0"/>
                    <w:bottom w:val="single" w:color="auto" w:sz="4" w:space="0"/>
                    <w:right w:val="single" w:color="auto" w:sz="4" w:space="0"/>
                  </w:tcBorders>
                  <w:vAlign w:val="center"/>
                </w:tcPr>
                <w:p w14:paraId="76D2954D">
                  <w:pPr>
                    <w:wordWrap w:val="0"/>
                    <w:rPr>
                      <w:rFonts w:hint="eastAsia" w:asciiTheme="minorEastAsia" w:hAnsiTheme="minorEastAsia" w:eastAsiaTheme="minorEastAsia" w:cstheme="minorEastAsia"/>
                      <w:b/>
                      <w:bCs/>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33FBD65D">
                  <w:pPr>
                    <w:wordWrap w:val="0"/>
                    <w:jc w:val="center"/>
                    <w:rPr>
                      <w:rFonts w:hint="eastAsia" w:asciiTheme="minorEastAsia" w:hAnsiTheme="minorEastAsia" w:eastAsiaTheme="minorEastAsia" w:cstheme="minorEastAsia"/>
                      <w:b/>
                      <w:bCs/>
                      <w:sz w:val="21"/>
                      <w:szCs w:val="21"/>
                      <w:highlight w:val="none"/>
                    </w:rPr>
                  </w:pPr>
                </w:p>
              </w:tc>
            </w:tr>
            <w:tr w14:paraId="210DB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86" w:hRule="atLeast"/>
              </w:trPr>
              <w:tc>
                <w:tcPr>
                  <w:tcW w:w="427" w:type="dxa"/>
                  <w:vMerge w:val="continue"/>
                  <w:tcBorders>
                    <w:left w:val="single" w:color="000000" w:sz="8" w:space="0"/>
                    <w:right w:val="single" w:color="auto" w:sz="4" w:space="0"/>
                  </w:tcBorders>
                  <w:shd w:val="clear" w:color="auto" w:fill="E6EFFA"/>
                  <w:vAlign w:val="center"/>
                </w:tcPr>
                <w:p w14:paraId="72FFCBCD">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shd w:val="clear" w:color="auto" w:fill="E6EFFA"/>
                  <w:vAlign w:val="center"/>
                </w:tcPr>
                <w:p w14:paraId="61DE56F4">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382" w:type="dxa"/>
                  <w:tcBorders>
                    <w:top w:val="single" w:color="auto" w:sz="4" w:space="0"/>
                    <w:left w:val="single" w:color="auto" w:sz="4" w:space="0"/>
                    <w:bottom w:val="single" w:color="auto" w:sz="4" w:space="0"/>
                    <w:right w:val="single" w:color="auto" w:sz="4" w:space="0"/>
                  </w:tcBorders>
                  <w:shd w:val="clear" w:color="auto" w:fill="E6EFFA"/>
                  <w:vAlign w:val="center"/>
                </w:tcPr>
                <w:p w14:paraId="2CC4C2F5">
                  <w:pPr>
                    <w:wordWrap w:val="0"/>
                    <w:jc w:val="center"/>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i w:val="0"/>
                      <w:iCs w:val="0"/>
                      <w:sz w:val="21"/>
                      <w:szCs w:val="21"/>
                      <w:highlight w:val="none"/>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14:paraId="3E4D41F5">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总分</w:t>
                  </w:r>
                </w:p>
              </w:tc>
              <w:tc>
                <w:tcPr>
                  <w:tcW w:w="4046" w:type="dxa"/>
                  <w:tcBorders>
                    <w:top w:val="single" w:color="auto" w:sz="4" w:space="0"/>
                    <w:left w:val="single" w:color="auto" w:sz="4" w:space="0"/>
                    <w:bottom w:val="single" w:color="auto" w:sz="4" w:space="0"/>
                    <w:right w:val="single" w:color="auto" w:sz="4" w:space="0"/>
                  </w:tcBorders>
                  <w:shd w:val="clear" w:color="auto" w:fill="E6EFFA"/>
                  <w:vAlign w:val="center"/>
                </w:tcPr>
                <w:p w14:paraId="757AA19F">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c>
                <w:tcPr>
                  <w:tcW w:w="2961" w:type="dxa"/>
                  <w:tcBorders>
                    <w:top w:val="single" w:color="auto" w:sz="4" w:space="0"/>
                    <w:left w:val="single" w:color="auto" w:sz="4" w:space="0"/>
                    <w:bottom w:val="single" w:color="auto" w:sz="4" w:space="0"/>
                    <w:right w:val="single" w:color="auto" w:sz="4" w:space="0"/>
                  </w:tcBorders>
                  <w:shd w:val="clear" w:color="auto" w:fill="E6EFFA"/>
                  <w:vAlign w:val="center"/>
                </w:tcPr>
                <w:p w14:paraId="1763A54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505" w:type="dxa"/>
                  <w:tcBorders>
                    <w:top w:val="single" w:color="auto" w:sz="4" w:space="0"/>
                    <w:left w:val="single" w:color="auto" w:sz="4" w:space="0"/>
                    <w:bottom w:val="single" w:color="auto" w:sz="4" w:space="0"/>
                    <w:right w:val="single" w:color="auto" w:sz="4" w:space="0"/>
                  </w:tcBorders>
                  <w:shd w:val="clear" w:color="auto" w:fill="E6EFFA"/>
                  <w:vAlign w:val="center"/>
                </w:tcPr>
                <w:p w14:paraId="39643DD3">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得分</w:t>
                  </w:r>
                </w:p>
              </w:tc>
            </w:tr>
            <w:tr w14:paraId="79009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rPr>
              <w:tc>
                <w:tcPr>
                  <w:tcW w:w="427" w:type="dxa"/>
                  <w:vMerge w:val="continue"/>
                  <w:tcBorders>
                    <w:left w:val="single" w:color="000000" w:sz="8" w:space="0"/>
                    <w:right w:val="single" w:color="auto" w:sz="4" w:space="0"/>
                  </w:tcBorders>
                  <w:vAlign w:val="center"/>
                </w:tcPr>
                <w:p w14:paraId="73D1B1D6">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58F7A036">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382" w:type="dxa"/>
                  <w:tcBorders>
                    <w:top w:val="single" w:color="auto" w:sz="4" w:space="0"/>
                    <w:left w:val="single" w:color="auto" w:sz="4" w:space="0"/>
                    <w:bottom w:val="single" w:color="auto" w:sz="4" w:space="0"/>
                    <w:right w:val="single" w:color="auto" w:sz="4" w:space="0"/>
                  </w:tcBorders>
                  <w:vAlign w:val="center"/>
                </w:tcPr>
                <w:p w14:paraId="3ECAF25E">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投标人同类项目业绩情况</w:t>
                  </w:r>
                </w:p>
              </w:tc>
              <w:tc>
                <w:tcPr>
                  <w:tcW w:w="450" w:type="dxa"/>
                  <w:tcBorders>
                    <w:top w:val="single" w:color="auto" w:sz="4" w:space="0"/>
                    <w:left w:val="single" w:color="auto" w:sz="4" w:space="0"/>
                    <w:bottom w:val="single" w:color="auto" w:sz="4" w:space="0"/>
                    <w:right w:val="single" w:color="auto" w:sz="4" w:space="0"/>
                  </w:tcBorders>
                  <w:vAlign w:val="center"/>
                </w:tcPr>
                <w:p w14:paraId="522B807B">
                  <w:pPr>
                    <w:wordWrap w:val="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5</w:t>
                  </w:r>
                </w:p>
              </w:tc>
              <w:tc>
                <w:tcPr>
                  <w:tcW w:w="4046" w:type="dxa"/>
                  <w:tcBorders>
                    <w:top w:val="single" w:color="auto" w:sz="4" w:space="0"/>
                    <w:left w:val="single" w:color="auto" w:sz="4" w:space="0"/>
                    <w:bottom w:val="single" w:color="auto" w:sz="4" w:space="0"/>
                    <w:right w:val="single" w:color="auto" w:sz="4" w:space="0"/>
                  </w:tcBorders>
                  <w:shd w:val="clear" w:color="auto" w:fill="auto"/>
                  <w:vAlign w:val="center"/>
                </w:tcPr>
                <w:p w14:paraId="4973CAC7">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近</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年1月1日至投标截止日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具有服务政府部门关于</w:t>
                  </w:r>
                  <w:r>
                    <w:rPr>
                      <w:rFonts w:hint="eastAsia" w:asciiTheme="minorEastAsia" w:hAnsiTheme="minorEastAsia" w:eastAsiaTheme="minorEastAsia" w:cstheme="minorEastAsia"/>
                      <w:sz w:val="21"/>
                      <w:szCs w:val="21"/>
                      <w:highlight w:val="none"/>
                    </w:rPr>
                    <w:t>保障性住房相关咨询服务项目</w:t>
                  </w:r>
                  <w:r>
                    <w:rPr>
                      <w:rFonts w:hint="eastAsia" w:asciiTheme="minorEastAsia" w:hAnsiTheme="minorEastAsia" w:eastAsiaTheme="minorEastAsia" w:cstheme="minorEastAsia"/>
                      <w:sz w:val="21"/>
                      <w:szCs w:val="21"/>
                      <w:highlight w:val="none"/>
                      <w:lang w:val="en-US" w:eastAsia="zh-CN"/>
                    </w:rPr>
                    <w:t>经验的</w:t>
                  </w:r>
                  <w:r>
                    <w:rPr>
                      <w:rFonts w:hint="eastAsia" w:asciiTheme="minorEastAsia" w:hAnsiTheme="minorEastAsia" w:eastAsiaTheme="minorEastAsia" w:cstheme="minorEastAsia"/>
                      <w:sz w:val="21"/>
                      <w:szCs w:val="21"/>
                      <w:highlight w:val="none"/>
                    </w:rPr>
                    <w:t>（以合同签订时间为准），每个业绩项目提供1项得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sz w:val="21"/>
                      <w:szCs w:val="21"/>
                      <w:highlight w:val="none"/>
                    </w:rPr>
                    <w:t>，最高得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72B0B97D">
                  <w:pPr>
                    <w:pStyle w:val="8"/>
                    <w:ind w:left="0" w:leftChars="0" w:firstLine="0"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近</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年1月1日至投标截止日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具有服务政府部门关于城市更新规划、法定图则技术咨询服务经验的</w:t>
                  </w:r>
                  <w:r>
                    <w:rPr>
                      <w:rFonts w:hint="eastAsia" w:asciiTheme="minorEastAsia" w:hAnsiTheme="minorEastAsia" w:eastAsiaTheme="minorEastAsia" w:cstheme="minorEastAsia"/>
                      <w:sz w:val="21"/>
                      <w:szCs w:val="21"/>
                      <w:highlight w:val="none"/>
                    </w:rPr>
                    <w:t>（以合同签订时间为准），每个业绩项目提供1项得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sz w:val="21"/>
                      <w:szCs w:val="21"/>
                      <w:highlight w:val="none"/>
                    </w:rPr>
                    <w:t>，最高得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5D0BA2BB">
                  <w:pPr>
                    <w:pStyle w:val="8"/>
                    <w:shd w:val="clear"/>
                    <w:ind w:left="0" w:leftChars="0" w:firstLine="0" w:firstLineChars="0"/>
                    <w:rPr>
                      <w:rFonts w:hint="eastAsia" w:asciiTheme="minorEastAsia" w:hAnsiTheme="minorEastAsia" w:eastAsiaTheme="minorEastAsia" w:cstheme="minorEastAsia"/>
                      <w:sz w:val="21"/>
                      <w:szCs w:val="21"/>
                      <w:highlight w:val="none"/>
                    </w:rPr>
                  </w:pPr>
                  <w:r>
                    <w:rPr>
                      <w:rFonts w:hint="eastAsia" w:ascii="宋体" w:hAnsi="宋体" w:eastAsia="宋体" w:cs="宋体"/>
                      <w:b w:val="0"/>
                      <w:bCs w:val="0"/>
                      <w:kern w:val="2"/>
                      <w:sz w:val="21"/>
                      <w:szCs w:val="21"/>
                      <w:highlight w:val="none"/>
                      <w:lang w:val="en-US" w:eastAsia="zh-CN" w:bidi="ar-SA"/>
                    </w:rPr>
                    <w:t>以上两项</w:t>
                  </w:r>
                  <w:r>
                    <w:rPr>
                      <w:rFonts w:hint="eastAsia" w:ascii="宋体" w:hAnsi="宋体" w:cs="宋体"/>
                      <w:b w:val="0"/>
                      <w:bCs w:val="0"/>
                      <w:kern w:val="2"/>
                      <w:sz w:val="21"/>
                      <w:szCs w:val="21"/>
                      <w:highlight w:val="none"/>
                      <w:lang w:val="en-US" w:eastAsia="zh-CN" w:bidi="ar-SA"/>
                    </w:rPr>
                    <w:t>合计</w:t>
                  </w:r>
                  <w:r>
                    <w:rPr>
                      <w:rFonts w:hint="eastAsia" w:ascii="宋体" w:hAnsi="宋体" w:eastAsia="宋体" w:cs="宋体"/>
                      <w:b w:val="0"/>
                      <w:bCs w:val="0"/>
                      <w:kern w:val="2"/>
                      <w:sz w:val="21"/>
                      <w:szCs w:val="21"/>
                      <w:highlight w:val="none"/>
                      <w:lang w:val="en-US" w:eastAsia="zh-CN" w:bidi="ar-SA"/>
                    </w:rPr>
                    <w:t>满分1</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分，不提供不得分</w:t>
                  </w:r>
                  <w:r>
                    <w:rPr>
                      <w:rFonts w:hint="eastAsia" w:ascii="宋体" w:hAnsi="宋体" w:cs="宋体"/>
                      <w:b w:val="0"/>
                      <w:bCs w:val="0"/>
                      <w:kern w:val="2"/>
                      <w:sz w:val="21"/>
                      <w:szCs w:val="21"/>
                      <w:highlight w:val="none"/>
                      <w:lang w:val="en-US" w:eastAsia="zh-CN" w:bidi="ar-SA"/>
                    </w:rPr>
                    <w:t>。</w:t>
                  </w:r>
                </w:p>
              </w:tc>
              <w:tc>
                <w:tcPr>
                  <w:tcW w:w="2961" w:type="dxa"/>
                  <w:tcBorders>
                    <w:top w:val="single" w:color="auto" w:sz="4" w:space="0"/>
                    <w:left w:val="single" w:color="auto" w:sz="4" w:space="0"/>
                    <w:bottom w:val="single" w:color="auto" w:sz="4" w:space="0"/>
                    <w:right w:val="single" w:color="auto" w:sz="4" w:space="0"/>
                  </w:tcBorders>
                  <w:shd w:val="clear" w:color="auto" w:fill="auto"/>
                  <w:vAlign w:val="center"/>
                </w:tcPr>
                <w:p w14:paraId="63FDB7BA">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要求提供合同关键信息（包括但不限于合同标的、签订时间、双方签章页）作为得分依据，通过合同关键信息无法判断是否得分的，还须同时提供能证明得分的其它证明资料。</w:t>
                  </w:r>
                </w:p>
              </w:tc>
              <w:tc>
                <w:tcPr>
                  <w:tcW w:w="505" w:type="dxa"/>
                  <w:tcBorders>
                    <w:top w:val="single" w:color="auto" w:sz="4" w:space="0"/>
                    <w:left w:val="single" w:color="auto" w:sz="4" w:space="0"/>
                    <w:bottom w:val="single" w:color="auto" w:sz="4" w:space="0"/>
                    <w:right w:val="single" w:color="auto" w:sz="4" w:space="0"/>
                  </w:tcBorders>
                  <w:vAlign w:val="center"/>
                </w:tcPr>
                <w:p w14:paraId="44EE725F">
                  <w:pPr>
                    <w:wordWrap w:val="0"/>
                    <w:jc w:val="center"/>
                    <w:rPr>
                      <w:rFonts w:hint="eastAsia" w:asciiTheme="minorEastAsia" w:hAnsiTheme="minorEastAsia" w:eastAsiaTheme="minorEastAsia" w:cstheme="minorEastAsia"/>
                      <w:sz w:val="21"/>
                      <w:szCs w:val="21"/>
                      <w:highlight w:val="none"/>
                    </w:rPr>
                  </w:pPr>
                </w:p>
              </w:tc>
            </w:tr>
            <w:tr w14:paraId="68B74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6" w:hRule="atLeast"/>
              </w:trPr>
              <w:tc>
                <w:tcPr>
                  <w:tcW w:w="427" w:type="dxa"/>
                  <w:vMerge w:val="continue"/>
                  <w:tcBorders>
                    <w:left w:val="single" w:color="000000" w:sz="8" w:space="0"/>
                    <w:right w:val="single" w:color="auto" w:sz="4" w:space="0"/>
                  </w:tcBorders>
                  <w:vAlign w:val="center"/>
                </w:tcPr>
                <w:p w14:paraId="01680823">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347D0F9F">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382" w:type="dxa"/>
                  <w:tcBorders>
                    <w:top w:val="single" w:color="auto" w:sz="4" w:space="0"/>
                    <w:left w:val="single" w:color="auto" w:sz="4" w:space="0"/>
                    <w:bottom w:val="single" w:color="auto" w:sz="4" w:space="0"/>
                    <w:right w:val="single" w:color="auto" w:sz="4" w:space="0"/>
                  </w:tcBorders>
                  <w:vAlign w:val="center"/>
                </w:tcPr>
                <w:p w14:paraId="21E73786">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投标人通过相关认证情况</w:t>
                  </w:r>
                </w:p>
              </w:tc>
              <w:tc>
                <w:tcPr>
                  <w:tcW w:w="450" w:type="dxa"/>
                  <w:tcBorders>
                    <w:top w:val="single" w:color="auto" w:sz="4" w:space="0"/>
                    <w:left w:val="single" w:color="auto" w:sz="4" w:space="0"/>
                    <w:bottom w:val="single" w:color="auto" w:sz="4" w:space="0"/>
                    <w:right w:val="single" w:color="auto" w:sz="4" w:space="0"/>
                  </w:tcBorders>
                  <w:vAlign w:val="center"/>
                </w:tcPr>
                <w:p w14:paraId="4B97A423">
                  <w:pPr>
                    <w:wordWrap w:val="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8</w:t>
                  </w:r>
                </w:p>
              </w:tc>
              <w:tc>
                <w:tcPr>
                  <w:tcW w:w="4046" w:type="dxa"/>
                  <w:tcBorders>
                    <w:top w:val="single" w:color="auto" w:sz="4" w:space="0"/>
                    <w:left w:val="single" w:color="auto" w:sz="4" w:space="0"/>
                    <w:bottom w:val="single" w:color="auto" w:sz="4" w:space="0"/>
                    <w:right w:val="single" w:color="auto" w:sz="4" w:space="0"/>
                  </w:tcBorders>
                  <w:vAlign w:val="center"/>
                </w:tcPr>
                <w:p w14:paraId="14590BF5">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1.通过质量管理体系认证得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110F7BB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2.通过环境管理体系认证与职业健康安全管理体系认证得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24F8C5F9">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以上两项合计满分</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tc>
              <w:tc>
                <w:tcPr>
                  <w:tcW w:w="2961" w:type="dxa"/>
                  <w:tcBorders>
                    <w:top w:val="single" w:color="auto" w:sz="4" w:space="0"/>
                    <w:left w:val="single" w:color="auto" w:sz="4" w:space="0"/>
                    <w:bottom w:val="single" w:color="auto" w:sz="4" w:space="0"/>
                    <w:right w:val="single" w:color="auto" w:sz="4" w:space="0"/>
                  </w:tcBorders>
                  <w:vAlign w:val="center"/>
                </w:tcPr>
                <w:p w14:paraId="709C19AF">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1.要求提供有效期内的认证证书扫描件。</w:t>
                  </w:r>
                </w:p>
                <w:p w14:paraId="235088DC">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2.以上资料均要求提供扫描件，原件备查。</w:t>
                  </w:r>
                </w:p>
              </w:tc>
              <w:tc>
                <w:tcPr>
                  <w:tcW w:w="505" w:type="dxa"/>
                  <w:tcBorders>
                    <w:top w:val="single" w:color="auto" w:sz="4" w:space="0"/>
                    <w:left w:val="single" w:color="auto" w:sz="4" w:space="0"/>
                    <w:bottom w:val="single" w:color="auto" w:sz="4" w:space="0"/>
                    <w:right w:val="single" w:color="auto" w:sz="4" w:space="0"/>
                  </w:tcBorders>
                  <w:vAlign w:val="center"/>
                </w:tcPr>
                <w:p w14:paraId="39A952A8">
                  <w:pPr>
                    <w:wordWrap w:val="0"/>
                    <w:jc w:val="center"/>
                    <w:rPr>
                      <w:rFonts w:hint="eastAsia" w:asciiTheme="minorEastAsia" w:hAnsiTheme="minorEastAsia" w:eastAsiaTheme="minorEastAsia" w:cstheme="minorEastAsia"/>
                      <w:sz w:val="21"/>
                      <w:szCs w:val="21"/>
                      <w:highlight w:val="none"/>
                    </w:rPr>
                  </w:pPr>
                </w:p>
              </w:tc>
            </w:tr>
            <w:tr w14:paraId="66041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92" w:hRule="atLeast"/>
              </w:trPr>
              <w:tc>
                <w:tcPr>
                  <w:tcW w:w="427" w:type="dxa"/>
                  <w:vMerge w:val="continue"/>
                  <w:tcBorders>
                    <w:left w:val="single" w:color="000000" w:sz="8" w:space="0"/>
                    <w:right w:val="single" w:color="auto" w:sz="4" w:space="0"/>
                  </w:tcBorders>
                  <w:vAlign w:val="center"/>
                </w:tcPr>
                <w:p w14:paraId="151FC35A">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0A7E30C3">
                  <w:pPr>
                    <w:wordWrap w:val="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382" w:type="dxa"/>
                  <w:tcBorders>
                    <w:top w:val="single" w:color="auto" w:sz="4" w:space="0"/>
                    <w:left w:val="single" w:color="auto" w:sz="4" w:space="0"/>
                    <w:bottom w:val="single" w:color="auto" w:sz="4" w:space="0"/>
                    <w:right w:val="single" w:color="auto" w:sz="4" w:space="0"/>
                  </w:tcBorders>
                  <w:vAlign w:val="center"/>
                </w:tcPr>
                <w:p w14:paraId="1E8413D7">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lang w:val="en-US"/>
                    </w:rPr>
                    <w:t>过往履约评价</w:t>
                  </w:r>
                </w:p>
              </w:tc>
              <w:tc>
                <w:tcPr>
                  <w:tcW w:w="450" w:type="dxa"/>
                  <w:tcBorders>
                    <w:top w:val="single" w:color="auto" w:sz="4" w:space="0"/>
                    <w:left w:val="single" w:color="auto" w:sz="4" w:space="0"/>
                    <w:bottom w:val="single" w:color="auto" w:sz="4" w:space="0"/>
                    <w:right w:val="single" w:color="auto" w:sz="4" w:space="0"/>
                  </w:tcBorders>
                  <w:vAlign w:val="center"/>
                </w:tcPr>
                <w:p w14:paraId="04DA0D19">
                  <w:pPr>
                    <w:wordWrap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4046" w:type="dxa"/>
                  <w:tcBorders>
                    <w:top w:val="single" w:color="auto" w:sz="4" w:space="0"/>
                    <w:left w:val="single" w:color="auto" w:sz="4" w:space="0"/>
                    <w:bottom w:val="single" w:color="auto" w:sz="4" w:space="0"/>
                    <w:right w:val="single" w:color="auto" w:sz="4" w:space="0"/>
                  </w:tcBorders>
                  <w:vAlign w:val="center"/>
                </w:tcPr>
                <w:p w14:paraId="06732D0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w:t>
                  </w:r>
                  <w:r>
                    <w:rPr>
                      <w:rFonts w:hint="eastAsia" w:asciiTheme="minorEastAsia" w:hAnsiTheme="minorEastAsia" w:eastAsiaTheme="minorEastAsia" w:cstheme="minorEastAsia"/>
                      <w:sz w:val="21"/>
                      <w:szCs w:val="21"/>
                      <w:highlight w:val="none"/>
                      <w:lang w:val="en-US" w:eastAsia="zh-CN"/>
                    </w:rPr>
                    <w:t>五</w:t>
                  </w:r>
                  <w:r>
                    <w:rPr>
                      <w:rFonts w:hint="eastAsia" w:asciiTheme="minorEastAsia" w:hAnsiTheme="minorEastAsia" w:eastAsiaTheme="minorEastAsia" w:cstheme="minorEastAsia"/>
                      <w:sz w:val="21"/>
                      <w:szCs w:val="21"/>
                      <w:highlight w:val="none"/>
                    </w:rPr>
                    <w:t>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202</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年1月1日至投标截止日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，投标人具有项目业绩经政府服务单位考核评价为优或满意（或同等于优或满意的评价）的</w:t>
                  </w:r>
                  <w:r>
                    <w:rPr>
                      <w:rFonts w:hint="eastAsia" w:asciiTheme="minorEastAsia" w:hAnsiTheme="minorEastAsia" w:eastAsiaTheme="minorEastAsia" w:cstheme="minorEastAsia"/>
                      <w:sz w:val="21"/>
                      <w:szCs w:val="21"/>
                      <w:highlight w:val="none"/>
                      <w:lang w:eastAsia="zh-CN"/>
                    </w:rPr>
                    <w:t>，提供1项得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分，最高得</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lang w:eastAsia="zh-CN"/>
                    </w:rPr>
                    <w:t>分</w:t>
                  </w:r>
                  <w:r>
                    <w:rPr>
                      <w:rFonts w:hint="eastAsia" w:asciiTheme="minorEastAsia" w:hAnsiTheme="minorEastAsia" w:eastAsiaTheme="minorEastAsia" w:cstheme="minorEastAsia"/>
                      <w:sz w:val="21"/>
                      <w:szCs w:val="21"/>
                      <w:highlight w:val="none"/>
                    </w:rPr>
                    <w:t>；未提供不得分。</w:t>
                  </w:r>
                </w:p>
              </w:tc>
              <w:tc>
                <w:tcPr>
                  <w:tcW w:w="2961" w:type="dxa"/>
                  <w:tcBorders>
                    <w:top w:val="single" w:color="auto" w:sz="4" w:space="0"/>
                    <w:left w:val="single" w:color="auto" w:sz="4" w:space="0"/>
                    <w:bottom w:val="single" w:color="auto" w:sz="4" w:space="0"/>
                    <w:right w:val="single" w:color="auto" w:sz="4" w:space="0"/>
                  </w:tcBorders>
                  <w:vAlign w:val="center"/>
                </w:tcPr>
                <w:p w14:paraId="51C0E7F3">
                  <w:pPr>
                    <w:numPr>
                      <w:ilvl w:val="0"/>
                      <w:numId w:val="0"/>
                    </w:numPr>
                    <w:wordWrap w:val="0"/>
                    <w:rPr>
                      <w:rFonts w:hint="eastAsia"/>
                      <w:highlight w:val="none"/>
                      <w:lang w:val="en-US" w:eastAsia="zh-CN"/>
                    </w:rPr>
                  </w:pPr>
                  <w:r>
                    <w:rPr>
                      <w:rFonts w:hint="eastAsia"/>
                      <w:color w:val="auto"/>
                      <w:sz w:val="21"/>
                      <w:szCs w:val="21"/>
                      <w:highlight w:val="none"/>
                      <w:lang w:val="en-US" w:eastAsia="zh-CN"/>
                    </w:rPr>
                    <w:t>1.</w:t>
                  </w:r>
                  <w:r>
                    <w:rPr>
                      <w:rFonts w:hint="eastAsia"/>
                      <w:color w:val="auto"/>
                      <w:sz w:val="21"/>
                      <w:szCs w:val="21"/>
                      <w:highlight w:val="none"/>
                    </w:rPr>
                    <w:t>提供加盖</w:t>
                  </w:r>
                  <w:r>
                    <w:rPr>
                      <w:rFonts w:hint="eastAsia"/>
                      <w:color w:val="auto"/>
                      <w:sz w:val="21"/>
                      <w:szCs w:val="21"/>
                      <w:highlight w:val="none"/>
                      <w:lang w:eastAsia="zh-CN"/>
                    </w:rPr>
                    <w:t>对应</w:t>
                  </w:r>
                  <w:r>
                    <w:rPr>
                      <w:rFonts w:hint="eastAsia"/>
                      <w:color w:val="auto"/>
                      <w:sz w:val="21"/>
                      <w:szCs w:val="21"/>
                      <w:highlight w:val="none"/>
                    </w:rPr>
                    <w:t>合同</w:t>
                  </w:r>
                  <w:r>
                    <w:rPr>
                      <w:rFonts w:hint="eastAsia"/>
                      <w:color w:val="auto"/>
                      <w:sz w:val="21"/>
                      <w:szCs w:val="21"/>
                      <w:highlight w:val="none"/>
                      <w:lang w:eastAsia="zh-CN"/>
                    </w:rPr>
                    <w:t>的</w:t>
                  </w:r>
                  <w:r>
                    <w:rPr>
                      <w:rFonts w:hint="eastAsia"/>
                      <w:color w:val="auto"/>
                      <w:sz w:val="21"/>
                      <w:szCs w:val="21"/>
                      <w:highlight w:val="none"/>
                    </w:rPr>
                    <w:t>甲方公章（或甲方业务章）项目履约评价或验收合格证明文件清晰扫描件</w:t>
                  </w:r>
                  <w:r>
                    <w:rPr>
                      <w:rFonts w:hint="eastAsia"/>
                      <w:color w:val="auto"/>
                      <w:sz w:val="21"/>
                      <w:szCs w:val="21"/>
                      <w:highlight w:val="none"/>
                      <w:lang w:eastAsia="zh-CN"/>
                    </w:rPr>
                    <w:t>。</w:t>
                  </w:r>
                </w:p>
                <w:p w14:paraId="5761C85C">
                  <w:pPr>
                    <w:pStyle w:val="8"/>
                    <w:ind w:left="0" w:leftChars="0" w:firstLine="0" w:firstLineChars="0"/>
                    <w:rPr>
                      <w:rFonts w:hint="default"/>
                      <w:highlight w:val="none"/>
                      <w:lang w:val="en-US" w:eastAsia="zh-CN"/>
                    </w:rPr>
                  </w:pPr>
                  <w:r>
                    <w:rPr>
                      <w:rFonts w:hint="eastAsia"/>
                      <w:color w:val="auto"/>
                      <w:sz w:val="21"/>
                      <w:szCs w:val="21"/>
                      <w:highlight w:val="none"/>
                      <w:lang w:val="en-US" w:eastAsia="zh-CN"/>
                    </w:rPr>
                    <w:t>2.以上资料均要求提供扫描件，评分中出现无证明资料或证书过期或专家无法凭所提供资料判断是否得分的情况，一律作不得分处理。</w:t>
                  </w:r>
                </w:p>
              </w:tc>
              <w:tc>
                <w:tcPr>
                  <w:tcW w:w="505" w:type="dxa"/>
                  <w:tcBorders>
                    <w:top w:val="single" w:color="auto" w:sz="4" w:space="0"/>
                    <w:left w:val="single" w:color="auto" w:sz="4" w:space="0"/>
                    <w:bottom w:val="single" w:color="auto" w:sz="4" w:space="0"/>
                    <w:right w:val="single" w:color="auto" w:sz="4" w:space="0"/>
                  </w:tcBorders>
                  <w:vAlign w:val="center"/>
                </w:tcPr>
                <w:p w14:paraId="3BBB0B55">
                  <w:pPr>
                    <w:wordWrap w:val="0"/>
                    <w:jc w:val="center"/>
                    <w:rPr>
                      <w:rFonts w:hint="eastAsia" w:asciiTheme="minorEastAsia" w:hAnsiTheme="minorEastAsia" w:eastAsiaTheme="minorEastAsia" w:cstheme="minorEastAsia"/>
                      <w:sz w:val="21"/>
                      <w:szCs w:val="21"/>
                      <w:highlight w:val="none"/>
                    </w:rPr>
                  </w:pPr>
                </w:p>
              </w:tc>
            </w:tr>
            <w:tr w14:paraId="21CA8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16" w:hRule="atLeast"/>
              </w:trPr>
              <w:tc>
                <w:tcPr>
                  <w:tcW w:w="427" w:type="dxa"/>
                  <w:vMerge w:val="restart"/>
                  <w:tcBorders>
                    <w:left w:val="single" w:color="000000" w:sz="8" w:space="0"/>
                    <w:right w:val="single" w:color="auto" w:sz="4" w:space="0"/>
                  </w:tcBorders>
                  <w:vAlign w:val="center"/>
                </w:tcPr>
                <w:p w14:paraId="514BB7E8">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p>
              </w:tc>
              <w:tc>
                <w:tcPr>
                  <w:tcW w:w="2258" w:type="dxa"/>
                  <w:gridSpan w:val="3"/>
                  <w:tcBorders>
                    <w:top w:val="single" w:color="auto" w:sz="4" w:space="0"/>
                    <w:left w:val="single" w:color="auto" w:sz="4" w:space="0"/>
                    <w:bottom w:val="single" w:color="auto" w:sz="4" w:space="0"/>
                    <w:right w:val="single" w:color="auto" w:sz="4" w:space="0"/>
                  </w:tcBorders>
                  <w:vAlign w:val="center"/>
                </w:tcPr>
                <w:p w14:paraId="69B2970F">
                  <w:pPr>
                    <w:jc w:val="center"/>
                    <w:rPr>
                      <w:rFonts w:hint="eastAsia" w:asciiTheme="minorEastAsia" w:hAnsiTheme="minorEastAsia" w:eastAsiaTheme="minorEastAsia" w:cstheme="minorEastAsia"/>
                      <w:b/>
                      <w:bCs/>
                      <w:i w:val="0"/>
                      <w:iCs w:val="0"/>
                      <w:sz w:val="21"/>
                      <w:szCs w:val="21"/>
                      <w:highlight w:val="none"/>
                    </w:rPr>
                  </w:pPr>
                  <w:r>
                    <w:rPr>
                      <w:rFonts w:hint="eastAsia" w:asciiTheme="minorEastAsia" w:hAnsiTheme="minorEastAsia" w:eastAsiaTheme="minorEastAsia" w:cstheme="minorEastAsia"/>
                      <w:b/>
                      <w:bCs/>
                      <w:i w:val="0"/>
                      <w:iCs w:val="0"/>
                      <w:sz w:val="21"/>
                      <w:szCs w:val="21"/>
                      <w:highlight w:val="none"/>
                    </w:rPr>
                    <w:t>服务人员</w:t>
                  </w:r>
                </w:p>
              </w:tc>
              <w:tc>
                <w:tcPr>
                  <w:tcW w:w="4046" w:type="dxa"/>
                  <w:tcBorders>
                    <w:top w:val="single" w:color="auto" w:sz="4" w:space="0"/>
                    <w:left w:val="single" w:color="auto" w:sz="4" w:space="0"/>
                    <w:bottom w:val="single" w:color="auto" w:sz="4" w:space="0"/>
                    <w:right w:val="single" w:color="auto" w:sz="4" w:space="0"/>
                  </w:tcBorders>
                  <w:vAlign w:val="center"/>
                </w:tcPr>
                <w:p w14:paraId="606C27C5">
                  <w:pPr>
                    <w:wordWrap w:val="0"/>
                    <w:jc w:val="center"/>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2</w:t>
                  </w:r>
                  <w:r>
                    <w:rPr>
                      <w:rFonts w:hint="eastAsia" w:asciiTheme="minorEastAsia" w:hAnsiTheme="minorEastAsia" w:eastAsiaTheme="minorEastAsia" w:cstheme="minorEastAsia"/>
                      <w:b/>
                      <w:bCs/>
                      <w:sz w:val="21"/>
                      <w:szCs w:val="21"/>
                      <w:highlight w:val="none"/>
                      <w:lang w:val="en-US" w:eastAsia="zh-CN"/>
                    </w:rPr>
                    <w:t>5</w:t>
                  </w:r>
                </w:p>
              </w:tc>
              <w:tc>
                <w:tcPr>
                  <w:tcW w:w="2961" w:type="dxa"/>
                  <w:tcBorders>
                    <w:top w:val="single" w:color="auto" w:sz="4" w:space="0"/>
                    <w:left w:val="single" w:color="auto" w:sz="4" w:space="0"/>
                    <w:bottom w:val="single" w:color="auto" w:sz="4" w:space="0"/>
                    <w:right w:val="single" w:color="auto" w:sz="4" w:space="0"/>
                  </w:tcBorders>
                  <w:vAlign w:val="center"/>
                </w:tcPr>
                <w:p w14:paraId="65F3773B">
                  <w:pPr>
                    <w:wordWrap w:val="0"/>
                    <w:rPr>
                      <w:rFonts w:hint="eastAsia" w:asciiTheme="minorEastAsia" w:hAnsiTheme="minorEastAsia" w:eastAsiaTheme="minorEastAsia" w:cstheme="minorEastAsia"/>
                      <w:b/>
                      <w:bCs/>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121FA966">
                  <w:pPr>
                    <w:wordWrap w:val="0"/>
                    <w:jc w:val="center"/>
                    <w:rPr>
                      <w:rFonts w:hint="eastAsia" w:asciiTheme="minorEastAsia" w:hAnsiTheme="minorEastAsia" w:eastAsiaTheme="minorEastAsia" w:cstheme="minorEastAsia"/>
                      <w:b/>
                      <w:bCs/>
                      <w:sz w:val="21"/>
                      <w:szCs w:val="21"/>
                      <w:highlight w:val="none"/>
                    </w:rPr>
                  </w:pPr>
                </w:p>
              </w:tc>
            </w:tr>
            <w:tr w14:paraId="6FDF6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427" w:type="dxa"/>
                  <w:vMerge w:val="continue"/>
                  <w:tcBorders>
                    <w:left w:val="single" w:color="000000" w:sz="8" w:space="0"/>
                    <w:right w:val="single" w:color="auto" w:sz="4" w:space="0"/>
                  </w:tcBorders>
                  <w:shd w:val="clear" w:color="auto" w:fill="auto"/>
                  <w:vAlign w:val="center"/>
                </w:tcPr>
                <w:p w14:paraId="76555B68">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shd w:val="clear" w:color="auto" w:fill="DCE6F2"/>
                  <w:vAlign w:val="center"/>
                </w:tcPr>
                <w:p w14:paraId="78F75482">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382" w:type="dxa"/>
                  <w:tcBorders>
                    <w:top w:val="single" w:color="auto" w:sz="4" w:space="0"/>
                    <w:left w:val="single" w:color="auto" w:sz="4" w:space="0"/>
                    <w:bottom w:val="single" w:color="auto" w:sz="4" w:space="0"/>
                    <w:right w:val="single" w:color="auto" w:sz="4" w:space="0"/>
                  </w:tcBorders>
                  <w:shd w:val="clear" w:color="auto" w:fill="DCE6F2"/>
                  <w:vAlign w:val="center"/>
                </w:tcPr>
                <w:p w14:paraId="03529A80">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DCE6F2"/>
                  <w:vAlign w:val="center"/>
                </w:tcPr>
                <w:p w14:paraId="54E6F94D">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总分</w:t>
                  </w:r>
                </w:p>
              </w:tc>
              <w:tc>
                <w:tcPr>
                  <w:tcW w:w="4046" w:type="dxa"/>
                  <w:tcBorders>
                    <w:top w:val="single" w:color="auto" w:sz="4" w:space="0"/>
                    <w:left w:val="single" w:color="auto" w:sz="4" w:space="0"/>
                    <w:bottom w:val="single" w:color="auto" w:sz="4" w:space="0"/>
                    <w:right w:val="single" w:color="auto" w:sz="4" w:space="0"/>
                  </w:tcBorders>
                  <w:shd w:val="clear" w:color="auto" w:fill="DCE6F2"/>
                  <w:vAlign w:val="center"/>
                </w:tcPr>
                <w:p w14:paraId="51D39748">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c>
                <w:tcPr>
                  <w:tcW w:w="2961" w:type="dxa"/>
                  <w:tcBorders>
                    <w:top w:val="single" w:color="auto" w:sz="4" w:space="0"/>
                    <w:left w:val="single" w:color="auto" w:sz="4" w:space="0"/>
                    <w:bottom w:val="single" w:color="auto" w:sz="4" w:space="0"/>
                    <w:right w:val="single" w:color="auto" w:sz="4" w:space="0"/>
                  </w:tcBorders>
                  <w:shd w:val="clear" w:color="auto" w:fill="DCE6F2"/>
                  <w:vAlign w:val="center"/>
                </w:tcPr>
                <w:p w14:paraId="3F688560">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505" w:type="dxa"/>
                  <w:tcBorders>
                    <w:top w:val="single" w:color="auto" w:sz="4" w:space="0"/>
                    <w:left w:val="single" w:color="auto" w:sz="4" w:space="0"/>
                    <w:bottom w:val="single" w:color="auto" w:sz="4" w:space="0"/>
                    <w:right w:val="single" w:color="auto" w:sz="4" w:space="0"/>
                  </w:tcBorders>
                  <w:shd w:val="clear" w:color="auto" w:fill="DCE6F2"/>
                  <w:vAlign w:val="center"/>
                </w:tcPr>
                <w:p w14:paraId="22F4F2EA">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得分</w:t>
                  </w:r>
                </w:p>
              </w:tc>
            </w:tr>
            <w:tr w14:paraId="2924AD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86" w:hRule="atLeast"/>
              </w:trPr>
              <w:tc>
                <w:tcPr>
                  <w:tcW w:w="427" w:type="dxa"/>
                  <w:vMerge w:val="continue"/>
                  <w:tcBorders>
                    <w:left w:val="single" w:color="000000" w:sz="8" w:space="0"/>
                    <w:right w:val="single" w:color="auto" w:sz="4" w:space="0"/>
                  </w:tcBorders>
                  <w:vAlign w:val="center"/>
                </w:tcPr>
                <w:p w14:paraId="072F9E5B">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1937064B">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382" w:type="dxa"/>
                  <w:tcBorders>
                    <w:top w:val="single" w:color="auto" w:sz="4" w:space="0"/>
                    <w:left w:val="single" w:color="auto" w:sz="4" w:space="0"/>
                    <w:bottom w:val="single" w:color="auto" w:sz="4" w:space="0"/>
                    <w:right w:val="single" w:color="auto" w:sz="4" w:space="0"/>
                  </w:tcBorders>
                  <w:vAlign w:val="center"/>
                </w:tcPr>
                <w:p w14:paraId="1C13955C">
                  <w:pPr>
                    <w:wordWrap w:val="0"/>
                    <w:jc w:val="center"/>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i w:val="0"/>
                      <w:iCs w:val="0"/>
                      <w:sz w:val="21"/>
                      <w:szCs w:val="21"/>
                      <w:highlight w:val="none"/>
                      <w:u w:val="single"/>
                    </w:rPr>
                    <w:t>拟安排的项目负责人情况（仅限</w:t>
                  </w:r>
                  <w:r>
                    <w:rPr>
                      <w:rFonts w:hint="eastAsia" w:asciiTheme="minorEastAsia" w:hAnsiTheme="minorEastAsia" w:eastAsiaTheme="minorEastAsia" w:cstheme="minorEastAsia"/>
                      <w:i w:val="0"/>
                      <w:iCs w:val="0"/>
                      <w:sz w:val="21"/>
                      <w:szCs w:val="21"/>
                      <w:highlight w:val="none"/>
                      <w:u w:val="single"/>
                      <w:lang w:val="en-US" w:eastAsia="zh-CN"/>
                    </w:rPr>
                    <w:t>1</w:t>
                  </w:r>
                  <w:r>
                    <w:rPr>
                      <w:rFonts w:hint="eastAsia" w:asciiTheme="minorEastAsia" w:hAnsiTheme="minorEastAsia" w:eastAsiaTheme="minorEastAsia" w:cstheme="minorEastAsia"/>
                      <w:i w:val="0"/>
                      <w:iCs w:val="0"/>
                      <w:sz w:val="21"/>
                      <w:szCs w:val="21"/>
                      <w:highlight w:val="none"/>
                      <w:u w:val="single"/>
                    </w:rPr>
                    <w:t>人）</w:t>
                  </w:r>
                </w:p>
              </w:tc>
              <w:tc>
                <w:tcPr>
                  <w:tcW w:w="450" w:type="dxa"/>
                  <w:tcBorders>
                    <w:top w:val="single" w:color="auto" w:sz="4" w:space="0"/>
                    <w:left w:val="single" w:color="auto" w:sz="4" w:space="0"/>
                    <w:bottom w:val="single" w:color="auto" w:sz="4" w:space="0"/>
                    <w:right w:val="single" w:color="auto" w:sz="4" w:space="0"/>
                  </w:tcBorders>
                  <w:vAlign w:val="center"/>
                </w:tcPr>
                <w:p w14:paraId="4AABF493">
                  <w:pPr>
                    <w:wordWrap w:val="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8</w:t>
                  </w:r>
                </w:p>
              </w:tc>
              <w:tc>
                <w:tcPr>
                  <w:tcW w:w="4046" w:type="dxa"/>
                  <w:tcBorders>
                    <w:top w:val="single" w:color="auto" w:sz="4" w:space="0"/>
                    <w:left w:val="single" w:color="auto" w:sz="4" w:space="0"/>
                    <w:bottom w:val="single" w:color="auto" w:sz="4" w:space="0"/>
                    <w:right w:val="single" w:color="auto" w:sz="4" w:space="0"/>
                  </w:tcBorders>
                  <w:vAlign w:val="center"/>
                </w:tcPr>
                <w:p w14:paraId="1F68BB4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拟安排的项目负责人须为投标人自有员工（提供社保作为证明材料），否则本项不得分。根据投标人拟派本项目负责人资质</w:t>
                  </w:r>
                  <w:r>
                    <w:rPr>
                      <w:rFonts w:hint="eastAsia" w:asciiTheme="minorEastAsia" w:hAnsiTheme="minorEastAsia" w:eastAsiaTheme="minorEastAsia" w:cstheme="minorEastAsia"/>
                      <w:sz w:val="21"/>
                      <w:szCs w:val="21"/>
                      <w:highlight w:val="none"/>
                      <w:lang w:val="en-US" w:eastAsia="zh-CN"/>
                    </w:rPr>
                    <w:t>情况</w:t>
                  </w:r>
                  <w:r>
                    <w:rPr>
                      <w:rFonts w:hint="eastAsia" w:asciiTheme="minorEastAsia" w:hAnsiTheme="minorEastAsia" w:eastAsiaTheme="minorEastAsia" w:cstheme="minorEastAsia"/>
                      <w:sz w:val="21"/>
                      <w:szCs w:val="21"/>
                      <w:highlight w:val="none"/>
                    </w:rPr>
                    <w:t>打分：</w:t>
                  </w:r>
                </w:p>
                <w:p w14:paraId="7FB468E1">
                  <w:pPr>
                    <w:pStyle w:val="11"/>
                    <w:numPr>
                      <w:ilvl w:val="0"/>
                      <w:numId w:val="0"/>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具有城乡规划正高级职称（原教授级）得</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w:t>
                  </w:r>
                </w:p>
                <w:p w14:paraId="4F37487D">
                  <w:pPr>
                    <w:pStyle w:val="11"/>
                    <w:numPr>
                      <w:ilvl w:val="255"/>
                      <w:numId w:val="0"/>
                    </w:numP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具有国家注册规划师执业资格得3分；</w:t>
                  </w:r>
                </w:p>
                <w:p w14:paraId="331F061B">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项合计满分</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tc>
              <w:tc>
                <w:tcPr>
                  <w:tcW w:w="2961" w:type="dxa"/>
                  <w:tcBorders>
                    <w:top w:val="single" w:color="auto" w:sz="4" w:space="0"/>
                    <w:left w:val="single" w:color="auto" w:sz="4" w:space="0"/>
                    <w:bottom w:val="single" w:color="auto" w:sz="4" w:space="0"/>
                    <w:right w:val="single" w:color="auto" w:sz="4" w:space="0"/>
                  </w:tcBorders>
                  <w:vAlign w:val="center"/>
                </w:tcPr>
                <w:p w14:paraId="074B2863">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须提供投标人为项目负责人缴交的载有社保部门公章的近三个月的社保缴交证明材料、职称证书、资格证书作为得分依据，未提供不得分。</w:t>
                  </w:r>
                </w:p>
              </w:tc>
              <w:tc>
                <w:tcPr>
                  <w:tcW w:w="505" w:type="dxa"/>
                  <w:tcBorders>
                    <w:top w:val="single" w:color="auto" w:sz="4" w:space="0"/>
                    <w:left w:val="single" w:color="auto" w:sz="4" w:space="0"/>
                    <w:bottom w:val="single" w:color="auto" w:sz="4" w:space="0"/>
                    <w:right w:val="single" w:color="auto" w:sz="4" w:space="0"/>
                  </w:tcBorders>
                  <w:vAlign w:val="center"/>
                </w:tcPr>
                <w:p w14:paraId="2A260F0D">
                  <w:pPr>
                    <w:wordWrap w:val="0"/>
                    <w:jc w:val="center"/>
                    <w:rPr>
                      <w:rFonts w:hint="eastAsia" w:asciiTheme="minorEastAsia" w:hAnsiTheme="minorEastAsia" w:eastAsiaTheme="minorEastAsia" w:cstheme="minorEastAsia"/>
                      <w:sz w:val="21"/>
                      <w:szCs w:val="21"/>
                      <w:highlight w:val="none"/>
                    </w:rPr>
                  </w:pPr>
                </w:p>
              </w:tc>
            </w:tr>
            <w:tr w14:paraId="6CCBE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91" w:hRule="atLeast"/>
              </w:trPr>
              <w:tc>
                <w:tcPr>
                  <w:tcW w:w="427" w:type="dxa"/>
                  <w:vMerge w:val="continue"/>
                  <w:tcBorders>
                    <w:left w:val="single" w:color="000000" w:sz="8" w:space="0"/>
                    <w:right w:val="single" w:color="auto" w:sz="4" w:space="0"/>
                  </w:tcBorders>
                  <w:vAlign w:val="center"/>
                </w:tcPr>
                <w:p w14:paraId="30406BDA">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67FE4C78">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382" w:type="dxa"/>
                  <w:tcBorders>
                    <w:top w:val="single" w:color="auto" w:sz="4" w:space="0"/>
                    <w:left w:val="single" w:color="auto" w:sz="4" w:space="0"/>
                    <w:bottom w:val="single" w:color="auto" w:sz="4" w:space="0"/>
                    <w:right w:val="single" w:color="auto" w:sz="4" w:space="0"/>
                  </w:tcBorders>
                  <w:vAlign w:val="center"/>
                </w:tcPr>
                <w:p w14:paraId="7AA27C3E">
                  <w:pPr>
                    <w:wordWrap w:val="0"/>
                    <w:jc w:val="center"/>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i w:val="0"/>
                      <w:iCs w:val="0"/>
                      <w:sz w:val="21"/>
                      <w:szCs w:val="21"/>
                      <w:highlight w:val="none"/>
                      <w:u w:val="single"/>
                    </w:rPr>
                    <w:t>拟安排的项目主要团队成员（主要技术人员）情况（项目负责人除外）</w:t>
                  </w:r>
                </w:p>
              </w:tc>
              <w:tc>
                <w:tcPr>
                  <w:tcW w:w="450" w:type="dxa"/>
                  <w:tcBorders>
                    <w:top w:val="single" w:color="auto" w:sz="4" w:space="0"/>
                    <w:left w:val="single" w:color="auto" w:sz="4" w:space="0"/>
                    <w:bottom w:val="single" w:color="auto" w:sz="4" w:space="0"/>
                    <w:right w:val="single" w:color="auto" w:sz="4" w:space="0"/>
                  </w:tcBorders>
                  <w:vAlign w:val="center"/>
                </w:tcPr>
                <w:p w14:paraId="488C651A">
                  <w:pPr>
                    <w:wordWrap w:val="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7</w:t>
                  </w:r>
                </w:p>
              </w:tc>
              <w:tc>
                <w:tcPr>
                  <w:tcW w:w="4046" w:type="dxa"/>
                  <w:tcBorders>
                    <w:top w:val="single" w:color="auto" w:sz="4" w:space="0"/>
                    <w:left w:val="single" w:color="auto" w:sz="4" w:space="0"/>
                    <w:bottom w:val="single" w:color="auto" w:sz="4" w:space="0"/>
                    <w:right w:val="single" w:color="auto" w:sz="4" w:space="0"/>
                  </w:tcBorders>
                  <w:vAlign w:val="center"/>
                </w:tcPr>
                <w:p w14:paraId="29ABEA7E">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拟安排的团队成员须为投标人自有员工（提供社保作为证明材料），且不少于5人（项目负责人除外），否则本项不得分。根据投标人拟派本项目服务人员人数、素质情况打分：</w:t>
                  </w:r>
                </w:p>
                <w:p w14:paraId="56DBE44B">
                  <w:pPr>
                    <w:numPr>
                      <w:ilvl w:val="0"/>
                      <w:numId w:val="2"/>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团队成员中具有国家注册规划师执业资格且为城乡规划</w:t>
                  </w:r>
                  <w:r>
                    <w:rPr>
                      <w:rFonts w:hint="eastAsia" w:asciiTheme="minorEastAsia" w:hAnsiTheme="minorEastAsia" w:eastAsiaTheme="minorEastAsia" w:cstheme="minorEastAsia"/>
                      <w:sz w:val="21"/>
                      <w:szCs w:val="21"/>
                      <w:highlight w:val="none"/>
                      <w:lang w:val="en-US" w:eastAsia="zh-CN"/>
                    </w:rPr>
                    <w:t>副</w:t>
                  </w:r>
                  <w:r>
                    <w:rPr>
                      <w:rFonts w:hint="eastAsia" w:asciiTheme="minorEastAsia" w:hAnsiTheme="minorEastAsia" w:eastAsiaTheme="minorEastAsia" w:cstheme="minorEastAsia"/>
                      <w:sz w:val="21"/>
                      <w:szCs w:val="21"/>
                      <w:highlight w:val="none"/>
                    </w:rPr>
                    <w:t>高级职称的，每1人得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7958CB5D">
                  <w:pPr>
                    <w:numPr>
                      <w:ilvl w:val="0"/>
                      <w:numId w:val="0"/>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团队成员中，城市规划、风景园林、市政工程、道路交通各岗位至少1人，具备</w:t>
                  </w:r>
                  <w:r>
                    <w:rPr>
                      <w:rFonts w:hint="eastAsia" w:asciiTheme="minorEastAsia" w:hAnsiTheme="minorEastAsia" w:eastAsiaTheme="minorEastAsia" w:cstheme="minorEastAsia"/>
                      <w:sz w:val="21"/>
                      <w:szCs w:val="21"/>
                      <w:highlight w:val="none"/>
                      <w:lang w:val="en-US" w:eastAsia="zh-CN"/>
                    </w:rPr>
                    <w:t>副高级职称</w:t>
                  </w:r>
                  <w:r>
                    <w:rPr>
                      <w:rFonts w:hint="eastAsia" w:asciiTheme="minorEastAsia" w:hAnsiTheme="minorEastAsia" w:eastAsiaTheme="minorEastAsia" w:cstheme="minorEastAsia"/>
                      <w:sz w:val="21"/>
                      <w:szCs w:val="21"/>
                      <w:highlight w:val="none"/>
                    </w:rPr>
                    <w:t>及以上的，</w:t>
                  </w:r>
                  <w:r>
                    <w:rPr>
                      <w:rFonts w:hint="eastAsia" w:asciiTheme="minorEastAsia" w:hAnsiTheme="minorEastAsia" w:eastAsiaTheme="minorEastAsia" w:cstheme="minorEastAsia"/>
                      <w:sz w:val="21"/>
                      <w:szCs w:val="21"/>
                      <w:highlight w:val="none"/>
                      <w:lang w:val="en-US" w:eastAsia="zh-CN"/>
                    </w:rPr>
                    <w:t>每1人</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分，最多得</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14:paraId="0479712F">
                  <w:pPr>
                    <w:rPr>
                      <w:rFonts w:hint="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满分为1</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分，同一人可重复得分，不满足不得分。</w:t>
                  </w:r>
                </w:p>
              </w:tc>
              <w:tc>
                <w:tcPr>
                  <w:tcW w:w="2961" w:type="dxa"/>
                  <w:tcBorders>
                    <w:top w:val="single" w:color="auto" w:sz="4" w:space="0"/>
                    <w:left w:val="single" w:color="auto" w:sz="4" w:space="0"/>
                    <w:bottom w:val="single" w:color="auto" w:sz="4" w:space="0"/>
                    <w:right w:val="single" w:color="auto" w:sz="4" w:space="0"/>
                  </w:tcBorders>
                  <w:vAlign w:val="center"/>
                </w:tcPr>
                <w:p w14:paraId="5929D858">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1.须提供投标截止日前三个月的投标人为项目团队成员缴交的载有社保部门公章的</w:t>
                  </w:r>
                  <w:r>
                    <w:rPr>
                      <w:rFonts w:hint="eastAsia" w:asciiTheme="minorEastAsia" w:hAnsiTheme="minorEastAsia" w:eastAsiaTheme="minorEastAsia" w:cstheme="minorEastAsia"/>
                      <w:color w:val="000000"/>
                      <w:sz w:val="21"/>
                      <w:szCs w:val="21"/>
                      <w:highlight w:val="none"/>
                    </w:rPr>
                    <w:t>近三个月</w:t>
                  </w:r>
                  <w:r>
                    <w:rPr>
                      <w:rFonts w:hint="eastAsia" w:asciiTheme="minorEastAsia" w:hAnsiTheme="minorEastAsia" w:eastAsiaTheme="minorEastAsia" w:cstheme="minorEastAsia"/>
                      <w:sz w:val="21"/>
                      <w:szCs w:val="21"/>
                      <w:highlight w:val="none"/>
                    </w:rPr>
                    <w:t>社保缴交证明材料、学历证书、职称证书、资格证书作为得分依据，否则不得分。</w:t>
                  </w:r>
                </w:p>
                <w:p w14:paraId="5CF63C12">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2.以上资料均要求提供扫描件，原件备查。</w:t>
                  </w:r>
                </w:p>
              </w:tc>
              <w:tc>
                <w:tcPr>
                  <w:tcW w:w="505" w:type="dxa"/>
                  <w:tcBorders>
                    <w:top w:val="single" w:color="auto" w:sz="4" w:space="0"/>
                    <w:left w:val="single" w:color="auto" w:sz="4" w:space="0"/>
                    <w:bottom w:val="single" w:color="auto" w:sz="4" w:space="0"/>
                    <w:right w:val="single" w:color="auto" w:sz="4" w:space="0"/>
                  </w:tcBorders>
                  <w:vAlign w:val="center"/>
                </w:tcPr>
                <w:p w14:paraId="1AEC3C81">
                  <w:pPr>
                    <w:wordWrap w:val="0"/>
                    <w:jc w:val="center"/>
                    <w:rPr>
                      <w:rFonts w:hint="eastAsia" w:asciiTheme="minorEastAsia" w:hAnsiTheme="minorEastAsia" w:eastAsiaTheme="minorEastAsia" w:cstheme="minorEastAsia"/>
                      <w:sz w:val="21"/>
                      <w:szCs w:val="21"/>
                      <w:highlight w:val="none"/>
                    </w:rPr>
                  </w:pPr>
                </w:p>
              </w:tc>
            </w:tr>
            <w:tr w14:paraId="0681E4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6" w:hRule="atLeast"/>
              </w:trPr>
              <w:tc>
                <w:tcPr>
                  <w:tcW w:w="427" w:type="dxa"/>
                  <w:vMerge w:val="restart"/>
                  <w:tcBorders>
                    <w:top w:val="single" w:color="000000" w:sz="8" w:space="0"/>
                    <w:left w:val="single" w:color="000000" w:sz="8" w:space="0"/>
                    <w:right w:val="single" w:color="auto" w:sz="4" w:space="0"/>
                  </w:tcBorders>
                  <w:vAlign w:val="center"/>
                </w:tcPr>
                <w:p w14:paraId="5F3FC785">
                  <w:pPr>
                    <w:wordWrap w:val="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w:t>
                  </w:r>
                </w:p>
              </w:tc>
              <w:tc>
                <w:tcPr>
                  <w:tcW w:w="2258" w:type="dxa"/>
                  <w:gridSpan w:val="3"/>
                  <w:tcBorders>
                    <w:top w:val="single" w:color="auto" w:sz="4" w:space="0"/>
                    <w:left w:val="single" w:color="auto" w:sz="4" w:space="0"/>
                    <w:bottom w:val="single" w:color="auto" w:sz="4" w:space="0"/>
                    <w:right w:val="single" w:color="auto" w:sz="4" w:space="0"/>
                  </w:tcBorders>
                  <w:vAlign w:val="center"/>
                </w:tcPr>
                <w:p w14:paraId="6EF40620">
                  <w:pPr>
                    <w:wordWrap w:val="0"/>
                    <w:jc w:val="center"/>
                    <w:rPr>
                      <w:rFonts w:hint="eastAsia" w:asciiTheme="minorEastAsia" w:hAnsiTheme="minorEastAsia" w:eastAsiaTheme="minorEastAsia" w:cstheme="minorEastAsia"/>
                      <w:b/>
                      <w:bCs/>
                      <w:i w:val="0"/>
                      <w:iCs w:val="0"/>
                      <w:sz w:val="21"/>
                      <w:szCs w:val="21"/>
                      <w:highlight w:val="none"/>
                    </w:rPr>
                  </w:pPr>
                  <w:r>
                    <w:rPr>
                      <w:rFonts w:hint="eastAsia" w:asciiTheme="minorEastAsia" w:hAnsiTheme="minorEastAsia" w:eastAsiaTheme="minorEastAsia" w:cstheme="minorEastAsia"/>
                      <w:b/>
                      <w:bCs/>
                      <w:i w:val="0"/>
                      <w:iCs w:val="0"/>
                      <w:sz w:val="21"/>
                      <w:szCs w:val="21"/>
                      <w:highlight w:val="none"/>
                    </w:rPr>
                    <w:t>技术</w:t>
                  </w:r>
                </w:p>
              </w:tc>
              <w:tc>
                <w:tcPr>
                  <w:tcW w:w="4046" w:type="dxa"/>
                  <w:tcBorders>
                    <w:top w:val="single" w:color="auto" w:sz="4" w:space="0"/>
                    <w:left w:val="single" w:color="auto" w:sz="4" w:space="0"/>
                    <w:bottom w:val="single" w:color="auto" w:sz="4" w:space="0"/>
                    <w:right w:val="single" w:color="auto" w:sz="4" w:space="0"/>
                  </w:tcBorders>
                  <w:vAlign w:val="center"/>
                </w:tcPr>
                <w:p w14:paraId="077B4897">
                  <w:pPr>
                    <w:wordWrap w:val="0"/>
                    <w:jc w:val="center"/>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20</w:t>
                  </w:r>
                </w:p>
              </w:tc>
              <w:tc>
                <w:tcPr>
                  <w:tcW w:w="2961" w:type="dxa"/>
                  <w:tcBorders>
                    <w:top w:val="single" w:color="auto" w:sz="4" w:space="0"/>
                    <w:left w:val="single" w:color="auto" w:sz="4" w:space="0"/>
                    <w:bottom w:val="single" w:color="auto" w:sz="4" w:space="0"/>
                    <w:right w:val="single" w:color="auto" w:sz="4" w:space="0"/>
                  </w:tcBorders>
                  <w:vAlign w:val="center"/>
                </w:tcPr>
                <w:p w14:paraId="450B1906">
                  <w:pPr>
                    <w:wordWrap w:val="0"/>
                    <w:rPr>
                      <w:rFonts w:hint="eastAsia" w:asciiTheme="minorEastAsia" w:hAnsiTheme="minorEastAsia" w:eastAsiaTheme="minorEastAsia" w:cstheme="minorEastAsia"/>
                      <w:b/>
                      <w:bCs/>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6B746DFA">
                  <w:pPr>
                    <w:wordWrap w:val="0"/>
                    <w:jc w:val="center"/>
                    <w:rPr>
                      <w:rFonts w:hint="eastAsia" w:asciiTheme="minorEastAsia" w:hAnsiTheme="minorEastAsia" w:eastAsiaTheme="minorEastAsia" w:cstheme="minorEastAsia"/>
                      <w:b/>
                      <w:bCs/>
                      <w:sz w:val="21"/>
                      <w:szCs w:val="21"/>
                      <w:highlight w:val="none"/>
                    </w:rPr>
                  </w:pPr>
                </w:p>
              </w:tc>
            </w:tr>
            <w:tr w14:paraId="58273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36" w:hRule="atLeast"/>
              </w:trPr>
              <w:tc>
                <w:tcPr>
                  <w:tcW w:w="427" w:type="dxa"/>
                  <w:vMerge w:val="continue"/>
                  <w:tcBorders>
                    <w:left w:val="single" w:color="000000" w:sz="8" w:space="0"/>
                    <w:right w:val="single" w:color="auto" w:sz="4" w:space="0"/>
                  </w:tcBorders>
                  <w:shd w:val="clear" w:color="auto" w:fill="E6EFFA"/>
                  <w:vAlign w:val="center"/>
                </w:tcPr>
                <w:p w14:paraId="5162EBCA">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shd w:val="clear" w:color="auto" w:fill="E6EFFA"/>
                  <w:vAlign w:val="center"/>
                </w:tcPr>
                <w:p w14:paraId="624D749D">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382" w:type="dxa"/>
                  <w:tcBorders>
                    <w:top w:val="single" w:color="auto" w:sz="4" w:space="0"/>
                    <w:left w:val="single" w:color="auto" w:sz="4" w:space="0"/>
                    <w:bottom w:val="single" w:color="auto" w:sz="4" w:space="0"/>
                    <w:right w:val="single" w:color="auto" w:sz="4" w:space="0"/>
                  </w:tcBorders>
                  <w:shd w:val="clear" w:color="auto" w:fill="E6EFFA"/>
                  <w:vAlign w:val="center"/>
                </w:tcPr>
                <w:p w14:paraId="38A1F634">
                  <w:pPr>
                    <w:wordWrap w:val="0"/>
                    <w:jc w:val="center"/>
                    <w:rPr>
                      <w:rFonts w:hint="eastAsia" w:asciiTheme="minorEastAsia" w:hAnsiTheme="minorEastAsia" w:eastAsiaTheme="minorEastAsia" w:cstheme="minorEastAsia"/>
                      <w:i w:val="0"/>
                      <w:iCs w:val="0"/>
                      <w:sz w:val="21"/>
                      <w:szCs w:val="21"/>
                      <w:highlight w:val="none"/>
                    </w:rPr>
                  </w:pPr>
                  <w:r>
                    <w:rPr>
                      <w:rFonts w:hint="eastAsia" w:asciiTheme="minorEastAsia" w:hAnsiTheme="minorEastAsia" w:eastAsiaTheme="minorEastAsia" w:cstheme="minorEastAsia"/>
                      <w:i w:val="0"/>
                      <w:iCs w:val="0"/>
                      <w:sz w:val="21"/>
                      <w:szCs w:val="21"/>
                      <w:highlight w:val="none"/>
                    </w:rPr>
                    <w:t>评分因素</w:t>
                  </w:r>
                </w:p>
              </w:tc>
              <w:tc>
                <w:tcPr>
                  <w:tcW w:w="450" w:type="dxa"/>
                  <w:tcBorders>
                    <w:top w:val="single" w:color="auto" w:sz="4" w:space="0"/>
                    <w:left w:val="single" w:color="auto" w:sz="4" w:space="0"/>
                    <w:bottom w:val="single" w:color="auto" w:sz="4" w:space="0"/>
                    <w:right w:val="single" w:color="auto" w:sz="4" w:space="0"/>
                  </w:tcBorders>
                  <w:shd w:val="clear" w:color="auto" w:fill="E6EFFA"/>
                  <w:vAlign w:val="center"/>
                </w:tcPr>
                <w:p w14:paraId="32E80DAF">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总分</w:t>
                  </w:r>
                </w:p>
              </w:tc>
              <w:tc>
                <w:tcPr>
                  <w:tcW w:w="4046" w:type="dxa"/>
                  <w:tcBorders>
                    <w:top w:val="single" w:color="auto" w:sz="4" w:space="0"/>
                    <w:left w:val="single" w:color="auto" w:sz="4" w:space="0"/>
                    <w:bottom w:val="single" w:color="auto" w:sz="4" w:space="0"/>
                    <w:right w:val="single" w:color="auto" w:sz="4" w:space="0"/>
                  </w:tcBorders>
                  <w:shd w:val="clear" w:color="auto" w:fill="E6EFFA"/>
                  <w:vAlign w:val="center"/>
                </w:tcPr>
                <w:p w14:paraId="0CF418E2">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c>
                <w:tcPr>
                  <w:tcW w:w="2961" w:type="dxa"/>
                  <w:tcBorders>
                    <w:top w:val="single" w:color="auto" w:sz="4" w:space="0"/>
                    <w:left w:val="single" w:color="auto" w:sz="4" w:space="0"/>
                    <w:bottom w:val="single" w:color="auto" w:sz="4" w:space="0"/>
                    <w:right w:val="single" w:color="auto" w:sz="4" w:space="0"/>
                  </w:tcBorders>
                  <w:shd w:val="clear" w:color="auto" w:fill="E6EFFA"/>
                  <w:vAlign w:val="center"/>
                </w:tcPr>
                <w:p w14:paraId="14FD7B5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505" w:type="dxa"/>
                  <w:tcBorders>
                    <w:top w:val="single" w:color="auto" w:sz="4" w:space="0"/>
                    <w:left w:val="single" w:color="auto" w:sz="4" w:space="0"/>
                    <w:bottom w:val="single" w:color="auto" w:sz="4" w:space="0"/>
                    <w:right w:val="single" w:color="auto" w:sz="4" w:space="0"/>
                  </w:tcBorders>
                  <w:shd w:val="clear" w:color="auto" w:fill="E6EFFA"/>
                  <w:vAlign w:val="center"/>
                </w:tcPr>
                <w:p w14:paraId="35B3F88C">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得分</w:t>
                  </w:r>
                </w:p>
              </w:tc>
            </w:tr>
            <w:tr w14:paraId="0B40A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837" w:hRule="atLeast"/>
              </w:trPr>
              <w:tc>
                <w:tcPr>
                  <w:tcW w:w="427" w:type="dxa"/>
                  <w:vMerge w:val="continue"/>
                  <w:tcBorders>
                    <w:left w:val="single" w:color="000000" w:sz="8" w:space="0"/>
                    <w:right w:val="single" w:color="auto" w:sz="4" w:space="0"/>
                  </w:tcBorders>
                  <w:vAlign w:val="center"/>
                </w:tcPr>
                <w:p w14:paraId="3302B432">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0C365246">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382" w:type="dxa"/>
                  <w:tcBorders>
                    <w:top w:val="single" w:color="auto" w:sz="4" w:space="0"/>
                    <w:left w:val="single" w:color="auto" w:sz="4" w:space="0"/>
                    <w:bottom w:val="single" w:color="auto" w:sz="4" w:space="0"/>
                    <w:right w:val="single" w:color="auto" w:sz="4" w:space="0"/>
                  </w:tcBorders>
                  <w:vAlign w:val="center"/>
                </w:tcPr>
                <w:p w14:paraId="032F0D8F">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工作实施方案</w:t>
                  </w:r>
                </w:p>
              </w:tc>
              <w:tc>
                <w:tcPr>
                  <w:tcW w:w="450" w:type="dxa"/>
                  <w:tcBorders>
                    <w:top w:val="single" w:color="auto" w:sz="4" w:space="0"/>
                    <w:left w:val="single" w:color="auto" w:sz="4" w:space="0"/>
                    <w:bottom w:val="single" w:color="auto" w:sz="4" w:space="0"/>
                    <w:right w:val="single" w:color="auto" w:sz="4" w:space="0"/>
                  </w:tcBorders>
                  <w:vAlign w:val="center"/>
                </w:tcPr>
                <w:p w14:paraId="4B2C85F7">
                  <w:pPr>
                    <w:wordWrap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046" w:type="dxa"/>
                  <w:tcBorders>
                    <w:top w:val="single" w:color="auto" w:sz="4" w:space="0"/>
                    <w:left w:val="single" w:color="auto" w:sz="4" w:space="0"/>
                    <w:bottom w:val="single" w:color="auto" w:sz="4" w:space="0"/>
                    <w:right w:val="single" w:color="auto" w:sz="4" w:space="0"/>
                  </w:tcBorders>
                  <w:vAlign w:val="center"/>
                </w:tcPr>
                <w:p w14:paraId="34F749C4">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审阅服务方案，方案中服务内容规划是否条理清晰，工作流程是否安排得当，是否具备较强可操作性和可执行性等核心内容，方案优秀的5分、良好的3分、一般的1分，上限为5分进行评分。服务方案不符合要求的不得分。</w:t>
                  </w:r>
                </w:p>
              </w:tc>
              <w:tc>
                <w:tcPr>
                  <w:tcW w:w="2961" w:type="dxa"/>
                  <w:tcBorders>
                    <w:top w:val="single" w:color="auto" w:sz="4" w:space="0"/>
                    <w:left w:val="single" w:color="auto" w:sz="4" w:space="0"/>
                    <w:bottom w:val="single" w:color="auto" w:sz="4" w:space="0"/>
                    <w:right w:val="single" w:color="auto" w:sz="4" w:space="0"/>
                  </w:tcBorders>
                  <w:vAlign w:val="center"/>
                </w:tcPr>
                <w:p w14:paraId="535AD5A1">
                  <w:pPr>
                    <w:wordWrap w:val="0"/>
                    <w:rPr>
                      <w:rFonts w:hint="eastAsia" w:asciiTheme="minorEastAsia" w:hAnsiTheme="minorEastAsia" w:eastAsiaTheme="minorEastAsia" w:cstheme="minorEastAsia"/>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4D2B7656">
                  <w:pPr>
                    <w:wordWrap w:val="0"/>
                    <w:jc w:val="center"/>
                    <w:rPr>
                      <w:rFonts w:hint="eastAsia" w:asciiTheme="minorEastAsia" w:hAnsiTheme="minorEastAsia" w:eastAsiaTheme="minorEastAsia" w:cstheme="minorEastAsia"/>
                      <w:sz w:val="21"/>
                      <w:szCs w:val="21"/>
                      <w:highlight w:val="none"/>
                    </w:rPr>
                  </w:pPr>
                </w:p>
              </w:tc>
            </w:tr>
            <w:tr w14:paraId="6B842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302" w:hRule="atLeast"/>
              </w:trPr>
              <w:tc>
                <w:tcPr>
                  <w:tcW w:w="427" w:type="dxa"/>
                  <w:vMerge w:val="continue"/>
                  <w:tcBorders>
                    <w:left w:val="single" w:color="000000" w:sz="8" w:space="0"/>
                    <w:right w:val="single" w:color="auto" w:sz="4" w:space="0"/>
                  </w:tcBorders>
                  <w:vAlign w:val="center"/>
                </w:tcPr>
                <w:p w14:paraId="7519D987">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5EF1A4FC">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382" w:type="dxa"/>
                  <w:tcBorders>
                    <w:top w:val="single" w:color="auto" w:sz="4" w:space="0"/>
                    <w:left w:val="single" w:color="auto" w:sz="4" w:space="0"/>
                    <w:bottom w:val="single" w:color="auto" w:sz="4" w:space="0"/>
                    <w:right w:val="single" w:color="auto" w:sz="4" w:space="0"/>
                  </w:tcBorders>
                  <w:vAlign w:val="center"/>
                </w:tcPr>
                <w:p w14:paraId="77E670FB">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质量（完成时间、安全、环保）保障措施及方案</w:t>
                  </w:r>
                </w:p>
              </w:tc>
              <w:tc>
                <w:tcPr>
                  <w:tcW w:w="450" w:type="dxa"/>
                  <w:tcBorders>
                    <w:top w:val="single" w:color="auto" w:sz="4" w:space="0"/>
                    <w:left w:val="single" w:color="auto" w:sz="4" w:space="0"/>
                    <w:bottom w:val="single" w:color="auto" w:sz="4" w:space="0"/>
                    <w:right w:val="single" w:color="auto" w:sz="4" w:space="0"/>
                  </w:tcBorders>
                  <w:vAlign w:val="center"/>
                </w:tcPr>
                <w:p w14:paraId="0FA78DCD">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w:t>
                  </w:r>
                </w:p>
              </w:tc>
              <w:tc>
                <w:tcPr>
                  <w:tcW w:w="4046" w:type="dxa"/>
                  <w:tcBorders>
                    <w:top w:val="single" w:color="auto" w:sz="4" w:space="0"/>
                    <w:left w:val="single" w:color="auto" w:sz="4" w:space="0"/>
                    <w:bottom w:val="single" w:color="auto" w:sz="4" w:space="0"/>
                    <w:right w:val="single" w:color="auto" w:sz="4" w:space="0"/>
                  </w:tcBorders>
                  <w:vAlign w:val="center"/>
                </w:tcPr>
                <w:p w14:paraId="75BD7AC1">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审阅服务方案，质量、进度等保障措施及方案是否科学有效，工作组织和措施是否全面、合理，方案优秀的8-10分、良好的5-8分、一般的3-5分，上限为10分进行评分。</w:t>
                  </w:r>
                </w:p>
                <w:p w14:paraId="6EDA561D">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质量、进度等保障措施及方案完全偏离进度要求，工作组织和措施覆盖面低、不合理</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不得分。</w:t>
                  </w:r>
                </w:p>
              </w:tc>
              <w:tc>
                <w:tcPr>
                  <w:tcW w:w="2961" w:type="dxa"/>
                  <w:tcBorders>
                    <w:top w:val="single" w:color="auto" w:sz="4" w:space="0"/>
                    <w:left w:val="single" w:color="auto" w:sz="4" w:space="0"/>
                    <w:bottom w:val="single" w:color="auto" w:sz="4" w:space="0"/>
                    <w:right w:val="single" w:color="auto" w:sz="4" w:space="0"/>
                  </w:tcBorders>
                  <w:vAlign w:val="center"/>
                </w:tcPr>
                <w:p w14:paraId="25B3D6EA">
                  <w:pPr>
                    <w:wordWrap w:val="0"/>
                    <w:rPr>
                      <w:rFonts w:hint="eastAsia" w:asciiTheme="minorEastAsia" w:hAnsiTheme="minorEastAsia" w:eastAsiaTheme="minorEastAsia" w:cstheme="minorEastAsia"/>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08508FE1">
                  <w:pPr>
                    <w:wordWrap w:val="0"/>
                    <w:jc w:val="center"/>
                    <w:rPr>
                      <w:rFonts w:hint="eastAsia" w:asciiTheme="minorEastAsia" w:hAnsiTheme="minorEastAsia" w:eastAsiaTheme="minorEastAsia" w:cstheme="minorEastAsia"/>
                      <w:sz w:val="21"/>
                      <w:szCs w:val="21"/>
                      <w:highlight w:val="none"/>
                    </w:rPr>
                  </w:pPr>
                </w:p>
              </w:tc>
            </w:tr>
            <w:tr w14:paraId="58177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19" w:hRule="atLeast"/>
              </w:trPr>
              <w:tc>
                <w:tcPr>
                  <w:tcW w:w="427" w:type="dxa"/>
                  <w:vMerge w:val="continue"/>
                  <w:tcBorders>
                    <w:left w:val="single" w:color="000000" w:sz="8" w:space="0"/>
                    <w:right w:val="single" w:color="auto" w:sz="4" w:space="0"/>
                  </w:tcBorders>
                  <w:vAlign w:val="center"/>
                </w:tcPr>
                <w:p w14:paraId="01636157">
                  <w:pPr>
                    <w:jc w:val="center"/>
                    <w:rPr>
                      <w:rFonts w:hint="eastAsia" w:asciiTheme="minorEastAsia" w:hAnsiTheme="minorEastAsia" w:eastAsiaTheme="minorEastAsia" w:cstheme="minorEastAsia"/>
                      <w:b/>
                      <w:bCs/>
                      <w:sz w:val="21"/>
                      <w:szCs w:val="21"/>
                      <w:highlight w:val="none"/>
                    </w:rPr>
                  </w:pPr>
                </w:p>
              </w:tc>
              <w:tc>
                <w:tcPr>
                  <w:tcW w:w="426" w:type="dxa"/>
                  <w:tcBorders>
                    <w:top w:val="single" w:color="auto" w:sz="4" w:space="0"/>
                    <w:left w:val="single" w:color="auto" w:sz="4" w:space="0"/>
                    <w:bottom w:val="single" w:color="auto" w:sz="4" w:space="0"/>
                    <w:right w:val="single" w:color="auto" w:sz="4" w:space="0"/>
                  </w:tcBorders>
                  <w:vAlign w:val="center"/>
                </w:tcPr>
                <w:p w14:paraId="5550E8A4">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1382" w:type="dxa"/>
                  <w:tcBorders>
                    <w:top w:val="single" w:color="auto" w:sz="4" w:space="0"/>
                    <w:left w:val="single" w:color="auto" w:sz="4" w:space="0"/>
                    <w:bottom w:val="single" w:color="auto" w:sz="4" w:space="0"/>
                    <w:right w:val="single" w:color="auto" w:sz="4" w:space="0"/>
                  </w:tcBorders>
                  <w:vAlign w:val="center"/>
                </w:tcPr>
                <w:p w14:paraId="53687C97">
                  <w:pPr>
                    <w:wordWrap w:val="0"/>
                    <w:jc w:val="center"/>
                    <w:rPr>
                      <w:rFonts w:hint="eastAsia" w:asciiTheme="minorEastAsia" w:hAnsiTheme="minorEastAsia" w:eastAsiaTheme="minorEastAsia" w:cstheme="minorEastAsia"/>
                      <w:i w:val="0"/>
                      <w:iCs w:val="0"/>
                      <w:sz w:val="21"/>
                      <w:szCs w:val="21"/>
                      <w:highlight w:val="none"/>
                      <w:u w:val="single"/>
                    </w:rPr>
                  </w:pPr>
                  <w:r>
                    <w:rPr>
                      <w:rFonts w:hint="eastAsia" w:asciiTheme="minorEastAsia" w:hAnsiTheme="minorEastAsia" w:eastAsiaTheme="minorEastAsia" w:cstheme="minorEastAsia"/>
                      <w:i w:val="0"/>
                      <w:iCs w:val="0"/>
                      <w:sz w:val="21"/>
                      <w:szCs w:val="21"/>
                      <w:highlight w:val="none"/>
                      <w:u w:val="single"/>
                    </w:rPr>
                    <w:t>项目完成（服务期满）后的服务承诺</w:t>
                  </w:r>
                </w:p>
              </w:tc>
              <w:tc>
                <w:tcPr>
                  <w:tcW w:w="450" w:type="dxa"/>
                  <w:tcBorders>
                    <w:top w:val="single" w:color="auto" w:sz="4" w:space="0"/>
                    <w:left w:val="single" w:color="auto" w:sz="4" w:space="0"/>
                    <w:bottom w:val="single" w:color="auto" w:sz="4" w:space="0"/>
                    <w:right w:val="single" w:color="auto" w:sz="4" w:space="0"/>
                  </w:tcBorders>
                  <w:vAlign w:val="center"/>
                </w:tcPr>
                <w:p w14:paraId="50EBD88F">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046" w:type="dxa"/>
                  <w:tcBorders>
                    <w:top w:val="single" w:color="auto" w:sz="4" w:space="0"/>
                    <w:left w:val="single" w:color="auto" w:sz="4" w:space="0"/>
                    <w:bottom w:val="single" w:color="auto" w:sz="4" w:space="0"/>
                    <w:right w:val="single" w:color="auto" w:sz="4" w:space="0"/>
                  </w:tcBorders>
                  <w:vAlign w:val="center"/>
                </w:tcPr>
                <w:p w14:paraId="41195E60">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审阅服务方案，在项目完成后，提供相应的咨询服务，服务方案是否完善，响应是否迅速，是否具有可操作性，方案优秀的5分、良好的3分、一般的1分，上限为5分进行评分。</w:t>
                  </w:r>
                </w:p>
                <w:p w14:paraId="6D5939A4">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在项目完成后，不提供相应的咨询服务不得分。</w:t>
                  </w:r>
                </w:p>
              </w:tc>
              <w:tc>
                <w:tcPr>
                  <w:tcW w:w="2961" w:type="dxa"/>
                  <w:tcBorders>
                    <w:top w:val="single" w:color="auto" w:sz="4" w:space="0"/>
                    <w:left w:val="single" w:color="auto" w:sz="4" w:space="0"/>
                    <w:bottom w:val="single" w:color="auto" w:sz="4" w:space="0"/>
                    <w:right w:val="single" w:color="auto" w:sz="4" w:space="0"/>
                  </w:tcBorders>
                  <w:vAlign w:val="center"/>
                </w:tcPr>
                <w:p w14:paraId="185EDD4A">
                  <w:pPr>
                    <w:wordWrap w:val="0"/>
                    <w:rPr>
                      <w:rFonts w:hint="eastAsia" w:asciiTheme="minorEastAsia" w:hAnsiTheme="minorEastAsia" w:eastAsiaTheme="minorEastAsia" w:cstheme="minorEastAsia"/>
                      <w:sz w:val="21"/>
                      <w:szCs w:val="21"/>
                      <w:highlight w:val="none"/>
                    </w:rPr>
                  </w:pPr>
                </w:p>
              </w:tc>
              <w:tc>
                <w:tcPr>
                  <w:tcW w:w="505" w:type="dxa"/>
                  <w:tcBorders>
                    <w:top w:val="single" w:color="auto" w:sz="4" w:space="0"/>
                    <w:left w:val="single" w:color="auto" w:sz="4" w:space="0"/>
                    <w:bottom w:val="single" w:color="auto" w:sz="4" w:space="0"/>
                    <w:right w:val="single" w:color="auto" w:sz="4" w:space="0"/>
                  </w:tcBorders>
                  <w:vAlign w:val="center"/>
                </w:tcPr>
                <w:p w14:paraId="05DB7D31">
                  <w:pPr>
                    <w:wordWrap w:val="0"/>
                    <w:jc w:val="center"/>
                    <w:rPr>
                      <w:rFonts w:hint="eastAsia" w:asciiTheme="minorEastAsia" w:hAnsiTheme="minorEastAsia" w:eastAsiaTheme="minorEastAsia" w:cstheme="minorEastAsia"/>
                      <w:sz w:val="21"/>
                      <w:szCs w:val="21"/>
                      <w:highlight w:val="none"/>
                    </w:rPr>
                  </w:pPr>
                </w:p>
              </w:tc>
            </w:tr>
            <w:tr w14:paraId="35D5A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5" w:hRule="atLeast"/>
              </w:trPr>
              <w:tc>
                <w:tcPr>
                  <w:tcW w:w="2685" w:type="dxa"/>
                  <w:gridSpan w:val="4"/>
                  <w:tcBorders>
                    <w:top w:val="single" w:color="auto" w:sz="4" w:space="0"/>
                    <w:left w:val="single" w:color="auto" w:sz="4" w:space="0"/>
                    <w:bottom w:val="single" w:color="auto" w:sz="4" w:space="0"/>
                    <w:right w:val="single" w:color="auto" w:sz="4" w:space="0"/>
                  </w:tcBorders>
                  <w:vAlign w:val="center"/>
                </w:tcPr>
                <w:p w14:paraId="21C62154">
                  <w:pPr>
                    <w:wordWrap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总分</w:t>
                  </w:r>
                </w:p>
              </w:tc>
              <w:tc>
                <w:tcPr>
                  <w:tcW w:w="7512" w:type="dxa"/>
                  <w:gridSpan w:val="3"/>
                  <w:tcBorders>
                    <w:top w:val="single" w:color="auto" w:sz="4" w:space="0"/>
                    <w:left w:val="single" w:color="auto" w:sz="4" w:space="0"/>
                    <w:bottom w:val="single" w:color="auto" w:sz="4" w:space="0"/>
                    <w:right w:val="single" w:color="auto" w:sz="4" w:space="0"/>
                  </w:tcBorders>
                  <w:vAlign w:val="center"/>
                </w:tcPr>
                <w:p w14:paraId="40141FE0">
                  <w:pPr>
                    <w:wordWrap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w:t>
                  </w:r>
                </w:p>
              </w:tc>
            </w:tr>
          </w:tbl>
          <w:p w14:paraId="0E85921A">
            <w:pPr>
              <w:pStyle w:val="6"/>
              <w:rPr>
                <w:color w:val="auto"/>
                <w:sz w:val="21"/>
                <w:szCs w:val="21"/>
                <w:highlight w:val="none"/>
              </w:rPr>
            </w:pPr>
            <w:r>
              <w:rPr>
                <w:color w:val="auto"/>
                <w:sz w:val="21"/>
                <w:szCs w:val="21"/>
                <w:highlight w:val="none"/>
              </w:rPr>
              <w:t xml:space="preserve"> </w:t>
            </w:r>
          </w:p>
        </w:tc>
      </w:tr>
    </w:tbl>
    <w:p w14:paraId="207DB1FF">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7851C22B">
      <w:pPr>
        <w:pStyle w:val="6"/>
        <w:jc w:val="center"/>
        <w:outlineLvl w:val="1"/>
        <w:rPr>
          <w:rFonts w:hint="default" w:ascii="Times New Roman" w:hAnsi="Times New Roman" w:eastAsia="宋体" w:cs="Times New Roman"/>
          <w:b/>
          <w:bCs/>
          <w:color w:val="auto"/>
          <w:kern w:val="44"/>
          <w:sz w:val="32"/>
          <w:szCs w:val="52"/>
          <w:highlight w:val="none"/>
          <w:lang w:val="en-US" w:eastAsia="zh-CN" w:bidi="ar-SA"/>
        </w:rPr>
      </w:pPr>
      <w:r>
        <w:rPr>
          <w:rFonts w:hint="eastAsia" w:ascii="Times New Roman" w:hAnsi="Times New Roman" w:eastAsia="宋体" w:cs="Times New Roman"/>
          <w:b/>
          <w:bCs/>
          <w:color w:val="auto"/>
          <w:kern w:val="44"/>
          <w:sz w:val="32"/>
          <w:szCs w:val="52"/>
          <w:highlight w:val="none"/>
          <w:lang w:val="en-US" w:eastAsia="zh-CN" w:bidi="ar-SA"/>
        </w:rPr>
        <w:t>第</w:t>
      </w:r>
      <w:r>
        <w:rPr>
          <w:rFonts w:hint="eastAsia" w:ascii="Times New Roman" w:hAnsi="Times New Roman" w:cs="Times New Roman"/>
          <w:b/>
          <w:bCs/>
          <w:color w:val="auto"/>
          <w:kern w:val="44"/>
          <w:sz w:val="32"/>
          <w:szCs w:val="52"/>
          <w:highlight w:val="none"/>
          <w:lang w:val="en-US" w:eastAsia="zh-CN" w:bidi="ar-SA"/>
        </w:rPr>
        <w:t>四</w:t>
      </w:r>
      <w:r>
        <w:rPr>
          <w:rFonts w:hint="eastAsia" w:ascii="Times New Roman" w:hAnsi="Times New Roman" w:eastAsia="宋体" w:cs="Times New Roman"/>
          <w:b/>
          <w:bCs/>
          <w:color w:val="auto"/>
          <w:kern w:val="44"/>
          <w:sz w:val="32"/>
          <w:szCs w:val="52"/>
          <w:highlight w:val="none"/>
          <w:lang w:val="en-US" w:eastAsia="zh-CN" w:bidi="ar-SA"/>
        </w:rPr>
        <w:t>章 服务合同模板</w:t>
      </w:r>
    </w:p>
    <w:p w14:paraId="7C4079A6">
      <w:pPr>
        <w:spacing w:line="360" w:lineRule="auto"/>
        <w:rPr>
          <w:snapToGrid w:val="0"/>
          <w:color w:val="auto"/>
          <w:highlight w:val="none"/>
        </w:rPr>
      </w:pPr>
      <w:r>
        <w:rPr>
          <w:rFonts w:hint="eastAsia"/>
          <w:snapToGrid w:val="0"/>
          <w:color w:val="auto"/>
          <w:highlight w:val="none"/>
        </w:rPr>
        <w:t>合同编号：</w:t>
      </w:r>
    </w:p>
    <w:p w14:paraId="70FEA52F">
      <w:pPr>
        <w:jc w:val="center"/>
        <w:rPr>
          <w:rFonts w:ascii="仿宋_GB2312" w:hAnsi="仿宋" w:eastAsia="仿宋_GB2312"/>
          <w:b/>
          <w:color w:val="auto"/>
          <w:sz w:val="44"/>
          <w:szCs w:val="44"/>
          <w:highlight w:val="none"/>
        </w:rPr>
      </w:pPr>
    </w:p>
    <w:p w14:paraId="3780D22A">
      <w:pPr>
        <w:jc w:val="center"/>
        <w:rPr>
          <w:rFonts w:ascii="仿宋_GB2312" w:hAnsi="仿宋" w:eastAsia="仿宋_GB2312"/>
          <w:b/>
          <w:color w:val="auto"/>
          <w:sz w:val="44"/>
          <w:szCs w:val="44"/>
          <w:highlight w:val="none"/>
        </w:rPr>
      </w:pPr>
      <w:r>
        <w:rPr>
          <w:rFonts w:hint="eastAsia"/>
          <w:bCs/>
          <w:color w:val="auto"/>
          <w:sz w:val="44"/>
          <w:szCs w:val="44"/>
          <w:highlight w:val="none"/>
        </w:rPr>
        <w:t>深圳市南山区住房和建设局</w:t>
      </w:r>
    </w:p>
    <w:p w14:paraId="7471AB76">
      <w:pPr>
        <w:jc w:val="center"/>
        <w:rPr>
          <w:rFonts w:hint="eastAsia"/>
          <w:bCs/>
          <w:color w:val="auto"/>
          <w:sz w:val="44"/>
          <w:szCs w:val="44"/>
          <w:highlight w:val="none"/>
        </w:rPr>
      </w:pPr>
      <w:r>
        <w:rPr>
          <w:rFonts w:hint="eastAsia"/>
          <w:bCs/>
          <w:color w:val="auto"/>
          <w:sz w:val="44"/>
          <w:szCs w:val="44"/>
          <w:highlight w:val="none"/>
        </w:rPr>
        <w:t>202</w:t>
      </w:r>
      <w:r>
        <w:rPr>
          <w:rFonts w:hint="eastAsia"/>
          <w:bCs/>
          <w:color w:val="auto"/>
          <w:sz w:val="44"/>
          <w:szCs w:val="44"/>
          <w:highlight w:val="none"/>
          <w:lang w:val="en-US" w:eastAsia="zh-CN"/>
        </w:rPr>
        <w:t>6</w:t>
      </w:r>
      <w:r>
        <w:rPr>
          <w:rFonts w:hint="eastAsia"/>
          <w:bCs/>
          <w:color w:val="auto"/>
          <w:sz w:val="44"/>
          <w:szCs w:val="44"/>
          <w:highlight w:val="none"/>
        </w:rPr>
        <w:t>年度</w:t>
      </w:r>
      <w:r>
        <w:rPr>
          <w:rFonts w:hint="eastAsia"/>
          <w:bCs/>
          <w:color w:val="auto"/>
          <w:sz w:val="44"/>
          <w:szCs w:val="44"/>
          <w:highlight w:val="none"/>
          <w:lang w:eastAsia="zh-CN"/>
        </w:rPr>
        <w:t>保障性住房</w:t>
      </w:r>
      <w:r>
        <w:rPr>
          <w:rFonts w:hint="eastAsia"/>
          <w:bCs/>
          <w:color w:val="auto"/>
          <w:sz w:val="44"/>
          <w:szCs w:val="44"/>
          <w:highlight w:val="none"/>
          <w:lang w:val="en-US" w:eastAsia="zh-CN"/>
        </w:rPr>
        <w:t>专项规划</w:t>
      </w:r>
      <w:r>
        <w:rPr>
          <w:rFonts w:hint="eastAsia"/>
          <w:bCs/>
          <w:color w:val="auto"/>
          <w:sz w:val="44"/>
          <w:szCs w:val="44"/>
          <w:highlight w:val="none"/>
        </w:rPr>
        <w:t>咨询服务</w:t>
      </w:r>
    </w:p>
    <w:p w14:paraId="33162CE0">
      <w:pPr>
        <w:jc w:val="center"/>
        <w:rPr>
          <w:rFonts w:hint="eastAsia"/>
          <w:bCs/>
          <w:color w:val="auto"/>
          <w:sz w:val="44"/>
          <w:szCs w:val="44"/>
          <w:highlight w:val="none"/>
        </w:rPr>
      </w:pPr>
      <w:r>
        <w:rPr>
          <w:rFonts w:hint="eastAsia"/>
          <w:bCs/>
          <w:color w:val="auto"/>
          <w:sz w:val="44"/>
          <w:szCs w:val="44"/>
          <w:highlight w:val="none"/>
        </w:rPr>
        <w:t>合同书</w:t>
      </w:r>
    </w:p>
    <w:p w14:paraId="17660D49">
      <w:pPr>
        <w:jc w:val="center"/>
        <w:rPr>
          <w:rFonts w:hint="eastAsia"/>
          <w:bCs/>
          <w:color w:val="auto"/>
          <w:sz w:val="44"/>
          <w:szCs w:val="44"/>
          <w:highlight w:val="none"/>
        </w:rPr>
      </w:pPr>
    </w:p>
    <w:tbl>
      <w:tblPr>
        <w:tblStyle w:val="9"/>
        <w:tblpPr w:leftFromText="180" w:rightFromText="180" w:vertAnchor="text" w:horzAnchor="page" w:tblpX="1855" w:tblpY="258"/>
        <w:tblOverlap w:val="never"/>
        <w:tblW w:w="8390" w:type="dxa"/>
        <w:tblInd w:w="0" w:type="dxa"/>
        <w:tblLayout w:type="fixed"/>
        <w:tblCellMar>
          <w:top w:w="0" w:type="dxa"/>
          <w:left w:w="108" w:type="dxa"/>
          <w:bottom w:w="0" w:type="dxa"/>
          <w:right w:w="108" w:type="dxa"/>
        </w:tblCellMar>
      </w:tblPr>
      <w:tblGrid>
        <w:gridCol w:w="1649"/>
        <w:gridCol w:w="367"/>
        <w:gridCol w:w="6374"/>
      </w:tblGrid>
      <w:tr w14:paraId="054DF2B1">
        <w:tblPrEx>
          <w:tblCellMar>
            <w:top w:w="0" w:type="dxa"/>
            <w:left w:w="108" w:type="dxa"/>
            <w:bottom w:w="0" w:type="dxa"/>
            <w:right w:w="108" w:type="dxa"/>
          </w:tblCellMar>
        </w:tblPrEx>
        <w:trPr>
          <w:trHeight w:val="851" w:hRule="atLeast"/>
        </w:trPr>
        <w:tc>
          <w:tcPr>
            <w:tcW w:w="1649" w:type="dxa"/>
            <w:vAlign w:val="center"/>
          </w:tcPr>
          <w:p w14:paraId="69B12B4D">
            <w:pPr>
              <w:spacing w:after="60" w:line="240" w:lineRule="atLeast"/>
              <w:jc w:val="both"/>
              <w:rPr>
                <w:highlight w:val="none"/>
              </w:rPr>
            </w:pPr>
            <w:r>
              <w:rPr>
                <w:rFonts w:hint="eastAsia"/>
                <w:color w:val="auto"/>
                <w:sz w:val="30"/>
                <w:szCs w:val="30"/>
                <w:highlight w:val="none"/>
              </w:rPr>
              <w:t>项目名称</w:t>
            </w:r>
          </w:p>
        </w:tc>
        <w:tc>
          <w:tcPr>
            <w:tcW w:w="367" w:type="dxa"/>
            <w:vAlign w:val="center"/>
          </w:tcPr>
          <w:p w14:paraId="0C2BC855">
            <w:pPr>
              <w:spacing w:after="60" w:line="240" w:lineRule="atLeast"/>
              <w:ind w:left="-120" w:leftChars="-50" w:right="-120" w:rightChars="-50"/>
              <w:jc w:val="both"/>
              <w:rPr>
                <w:color w:val="auto"/>
                <w:sz w:val="30"/>
                <w:szCs w:val="30"/>
                <w:highlight w:val="none"/>
              </w:rPr>
            </w:pPr>
            <w:r>
              <w:rPr>
                <w:rFonts w:hint="eastAsia"/>
                <w:color w:val="auto"/>
                <w:sz w:val="30"/>
                <w:szCs w:val="30"/>
                <w:highlight w:val="none"/>
                <w:lang w:eastAsia="zh-CN"/>
              </w:rPr>
              <w:t>：</w:t>
            </w:r>
          </w:p>
        </w:tc>
        <w:tc>
          <w:tcPr>
            <w:tcW w:w="6374" w:type="dxa"/>
            <w:tcBorders>
              <w:bottom w:val="single" w:color="auto" w:sz="4" w:space="0"/>
            </w:tcBorders>
            <w:vAlign w:val="center"/>
          </w:tcPr>
          <w:p w14:paraId="05D3C931">
            <w:pPr>
              <w:spacing w:after="60" w:line="240" w:lineRule="atLeast"/>
              <w:rPr>
                <w:rFonts w:hint="eastAsia" w:eastAsia="宋体"/>
                <w:b/>
                <w:color w:val="auto"/>
                <w:sz w:val="30"/>
                <w:szCs w:val="30"/>
                <w:highlight w:val="none"/>
                <w:lang w:val="en-US" w:eastAsia="zh-CN"/>
              </w:rPr>
            </w:pPr>
            <w:r>
              <w:rPr>
                <w:rFonts w:hint="eastAsia" w:eastAsia="宋体"/>
                <w:b/>
                <w:color w:val="auto"/>
                <w:sz w:val="30"/>
                <w:szCs w:val="30"/>
                <w:highlight w:val="none"/>
                <w:lang w:val="en-US" w:eastAsia="zh-CN"/>
              </w:rPr>
              <w:t>深圳市南山区住房和建设局2026年度保障性住房专项规划咨询服务</w:t>
            </w:r>
          </w:p>
        </w:tc>
      </w:tr>
      <w:tr w14:paraId="57445166">
        <w:tblPrEx>
          <w:tblCellMar>
            <w:top w:w="0" w:type="dxa"/>
            <w:left w:w="108" w:type="dxa"/>
            <w:bottom w:w="0" w:type="dxa"/>
            <w:right w:w="108" w:type="dxa"/>
          </w:tblCellMar>
        </w:tblPrEx>
        <w:trPr>
          <w:trHeight w:val="851" w:hRule="atLeast"/>
        </w:trPr>
        <w:tc>
          <w:tcPr>
            <w:tcW w:w="1649" w:type="dxa"/>
            <w:vAlign w:val="bottom"/>
          </w:tcPr>
          <w:p w14:paraId="7DD45F5D">
            <w:pPr>
              <w:spacing w:after="60" w:line="240" w:lineRule="atLeast"/>
              <w:jc w:val="center"/>
              <w:rPr>
                <w:color w:val="auto"/>
                <w:sz w:val="30"/>
                <w:szCs w:val="30"/>
                <w:highlight w:val="none"/>
              </w:rPr>
            </w:pPr>
          </w:p>
          <w:p w14:paraId="21652A8B">
            <w:pPr>
              <w:spacing w:after="60" w:line="240" w:lineRule="atLeast"/>
              <w:jc w:val="center"/>
              <w:rPr>
                <w:color w:val="auto"/>
                <w:sz w:val="30"/>
                <w:szCs w:val="30"/>
                <w:highlight w:val="none"/>
              </w:rPr>
            </w:pPr>
            <w:r>
              <w:rPr>
                <w:rFonts w:hint="eastAsia"/>
                <w:color w:val="auto"/>
                <w:sz w:val="30"/>
                <w:szCs w:val="30"/>
                <w:highlight w:val="none"/>
              </w:rPr>
              <w:t>工程地点</w:t>
            </w:r>
          </w:p>
        </w:tc>
        <w:tc>
          <w:tcPr>
            <w:tcW w:w="367" w:type="dxa"/>
            <w:vAlign w:val="bottom"/>
          </w:tcPr>
          <w:p w14:paraId="4141CDC7">
            <w:pPr>
              <w:spacing w:after="60" w:line="240" w:lineRule="atLeast"/>
              <w:ind w:left="-120" w:leftChars="-50" w:right="-120" w:rightChars="-50"/>
              <w:jc w:val="center"/>
              <w:rPr>
                <w:color w:val="auto"/>
                <w:sz w:val="30"/>
                <w:szCs w:val="30"/>
                <w:highlight w:val="none"/>
              </w:rPr>
            </w:pPr>
            <w:r>
              <w:rPr>
                <w:rFonts w:hint="eastAsia"/>
                <w:color w:val="auto"/>
                <w:sz w:val="30"/>
                <w:szCs w:val="30"/>
                <w:highlight w:val="none"/>
              </w:rPr>
              <w:t>：</w:t>
            </w:r>
          </w:p>
        </w:tc>
        <w:tc>
          <w:tcPr>
            <w:tcW w:w="6374" w:type="dxa"/>
            <w:tcBorders>
              <w:top w:val="single" w:color="auto" w:sz="4" w:space="0"/>
              <w:bottom w:val="single" w:color="auto" w:sz="4" w:space="0"/>
            </w:tcBorders>
            <w:vAlign w:val="bottom"/>
          </w:tcPr>
          <w:p w14:paraId="42903431">
            <w:pPr>
              <w:spacing w:after="60" w:line="240" w:lineRule="atLeast"/>
              <w:rPr>
                <w:b/>
                <w:color w:val="auto"/>
                <w:sz w:val="30"/>
                <w:szCs w:val="30"/>
                <w:highlight w:val="none"/>
              </w:rPr>
            </w:pPr>
            <w:r>
              <w:rPr>
                <w:rFonts w:hint="eastAsia"/>
                <w:b/>
                <w:color w:val="auto"/>
                <w:sz w:val="30"/>
                <w:szCs w:val="30"/>
                <w:highlight w:val="none"/>
              </w:rPr>
              <w:t>深圳市南山区</w:t>
            </w:r>
          </w:p>
        </w:tc>
      </w:tr>
      <w:tr w14:paraId="12EEB85E">
        <w:tblPrEx>
          <w:tblCellMar>
            <w:top w:w="0" w:type="dxa"/>
            <w:left w:w="108" w:type="dxa"/>
            <w:bottom w:w="0" w:type="dxa"/>
            <w:right w:w="108" w:type="dxa"/>
          </w:tblCellMar>
        </w:tblPrEx>
        <w:trPr>
          <w:trHeight w:val="851" w:hRule="atLeast"/>
        </w:trPr>
        <w:tc>
          <w:tcPr>
            <w:tcW w:w="1649" w:type="dxa"/>
            <w:vAlign w:val="bottom"/>
          </w:tcPr>
          <w:p w14:paraId="0308EBC7">
            <w:pPr>
              <w:spacing w:after="60" w:line="240" w:lineRule="atLeast"/>
              <w:jc w:val="center"/>
              <w:rPr>
                <w:color w:val="auto"/>
                <w:sz w:val="30"/>
                <w:szCs w:val="30"/>
                <w:highlight w:val="none"/>
              </w:rPr>
            </w:pPr>
          </w:p>
          <w:p w14:paraId="4CDBCBD3">
            <w:pPr>
              <w:spacing w:after="60" w:line="240" w:lineRule="atLeast"/>
              <w:jc w:val="center"/>
              <w:rPr>
                <w:color w:val="auto"/>
                <w:sz w:val="30"/>
                <w:szCs w:val="30"/>
                <w:highlight w:val="none"/>
              </w:rPr>
            </w:pPr>
            <w:r>
              <w:rPr>
                <w:rFonts w:hint="eastAsia"/>
                <w:color w:val="auto"/>
                <w:sz w:val="30"/>
                <w:szCs w:val="30"/>
                <w:highlight w:val="none"/>
              </w:rPr>
              <w:t>委托人</w:t>
            </w:r>
          </w:p>
        </w:tc>
        <w:tc>
          <w:tcPr>
            <w:tcW w:w="367" w:type="dxa"/>
            <w:vAlign w:val="bottom"/>
          </w:tcPr>
          <w:p w14:paraId="6C1FFDCC">
            <w:pPr>
              <w:spacing w:after="60" w:line="240" w:lineRule="atLeast"/>
              <w:ind w:left="-120" w:leftChars="-50" w:right="-120" w:rightChars="-50"/>
              <w:jc w:val="center"/>
              <w:rPr>
                <w:color w:val="auto"/>
                <w:sz w:val="30"/>
                <w:szCs w:val="30"/>
                <w:highlight w:val="none"/>
              </w:rPr>
            </w:pPr>
            <w:r>
              <w:rPr>
                <w:rFonts w:hint="eastAsia"/>
                <w:color w:val="auto"/>
                <w:sz w:val="30"/>
                <w:szCs w:val="30"/>
                <w:highlight w:val="none"/>
              </w:rPr>
              <w:t>：</w:t>
            </w:r>
          </w:p>
        </w:tc>
        <w:tc>
          <w:tcPr>
            <w:tcW w:w="6374" w:type="dxa"/>
            <w:tcBorders>
              <w:top w:val="single" w:color="auto" w:sz="4" w:space="0"/>
              <w:bottom w:val="single" w:color="auto" w:sz="4" w:space="0"/>
            </w:tcBorders>
            <w:vAlign w:val="bottom"/>
          </w:tcPr>
          <w:p w14:paraId="13B6AF24">
            <w:pPr>
              <w:spacing w:after="60" w:line="240" w:lineRule="atLeast"/>
              <w:rPr>
                <w:b/>
                <w:color w:val="auto"/>
                <w:sz w:val="30"/>
                <w:szCs w:val="30"/>
                <w:highlight w:val="none"/>
              </w:rPr>
            </w:pPr>
            <w:r>
              <w:rPr>
                <w:rFonts w:hint="eastAsia"/>
                <w:b/>
                <w:color w:val="auto"/>
                <w:sz w:val="30"/>
                <w:szCs w:val="30"/>
                <w:highlight w:val="none"/>
              </w:rPr>
              <w:t>深圳市南山区住房和建设局</w:t>
            </w:r>
          </w:p>
        </w:tc>
      </w:tr>
      <w:tr w14:paraId="738FA9CD">
        <w:tblPrEx>
          <w:tblCellMar>
            <w:top w:w="0" w:type="dxa"/>
            <w:left w:w="108" w:type="dxa"/>
            <w:bottom w:w="0" w:type="dxa"/>
            <w:right w:w="108" w:type="dxa"/>
          </w:tblCellMar>
        </w:tblPrEx>
        <w:trPr>
          <w:trHeight w:val="1131" w:hRule="atLeast"/>
        </w:trPr>
        <w:tc>
          <w:tcPr>
            <w:tcW w:w="1649" w:type="dxa"/>
            <w:vAlign w:val="bottom"/>
          </w:tcPr>
          <w:p w14:paraId="62EB515E">
            <w:pPr>
              <w:spacing w:after="60" w:line="240" w:lineRule="atLeast"/>
              <w:jc w:val="center"/>
              <w:rPr>
                <w:color w:val="auto"/>
                <w:sz w:val="30"/>
                <w:szCs w:val="30"/>
                <w:highlight w:val="none"/>
              </w:rPr>
            </w:pPr>
          </w:p>
          <w:p w14:paraId="6377757E">
            <w:pPr>
              <w:spacing w:after="60" w:line="240" w:lineRule="atLeast"/>
              <w:jc w:val="center"/>
              <w:rPr>
                <w:color w:val="auto"/>
                <w:sz w:val="30"/>
                <w:szCs w:val="30"/>
                <w:highlight w:val="none"/>
              </w:rPr>
            </w:pPr>
            <w:r>
              <w:rPr>
                <w:rFonts w:hint="eastAsia"/>
                <w:color w:val="auto"/>
                <w:sz w:val="30"/>
                <w:szCs w:val="30"/>
                <w:highlight w:val="none"/>
                <w:lang w:eastAsia="zh-Hans"/>
              </w:rPr>
              <w:t>受托人</w:t>
            </w:r>
          </w:p>
        </w:tc>
        <w:tc>
          <w:tcPr>
            <w:tcW w:w="367" w:type="dxa"/>
            <w:vAlign w:val="bottom"/>
          </w:tcPr>
          <w:p w14:paraId="5869AC38">
            <w:pPr>
              <w:spacing w:after="60" w:line="240" w:lineRule="atLeast"/>
              <w:ind w:left="-120" w:leftChars="-50" w:right="-120" w:rightChars="-50"/>
              <w:jc w:val="center"/>
              <w:rPr>
                <w:color w:val="auto"/>
                <w:sz w:val="30"/>
                <w:szCs w:val="30"/>
                <w:highlight w:val="none"/>
              </w:rPr>
            </w:pPr>
            <w:r>
              <w:rPr>
                <w:rFonts w:hint="eastAsia"/>
                <w:color w:val="auto"/>
                <w:sz w:val="30"/>
                <w:szCs w:val="30"/>
                <w:highlight w:val="none"/>
              </w:rPr>
              <w:t>：</w:t>
            </w:r>
          </w:p>
        </w:tc>
        <w:tc>
          <w:tcPr>
            <w:tcW w:w="6374" w:type="dxa"/>
            <w:tcBorders>
              <w:top w:val="single" w:color="auto" w:sz="4" w:space="0"/>
              <w:bottom w:val="single" w:color="auto" w:sz="4" w:space="0"/>
            </w:tcBorders>
            <w:vAlign w:val="bottom"/>
          </w:tcPr>
          <w:p w14:paraId="3DB24778">
            <w:pPr>
              <w:spacing w:after="60" w:line="240" w:lineRule="atLeast"/>
              <w:rPr>
                <w:rFonts w:hint="default" w:eastAsia="宋体"/>
                <w:color w:val="auto"/>
                <w:sz w:val="30"/>
                <w:szCs w:val="30"/>
                <w:highlight w:val="none"/>
                <w:lang w:val="en-US" w:eastAsia="zh-CN"/>
              </w:rPr>
            </w:pPr>
          </w:p>
        </w:tc>
      </w:tr>
    </w:tbl>
    <w:p w14:paraId="14A4CBE9">
      <w:pPr>
        <w:spacing w:line="360" w:lineRule="auto"/>
        <w:rPr>
          <w:color w:val="auto"/>
          <w:highlight w:val="none"/>
          <w:u w:val="single"/>
        </w:rPr>
      </w:pPr>
    </w:p>
    <w:p w14:paraId="58FC9F46">
      <w:pPr>
        <w:spacing w:line="360" w:lineRule="auto"/>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深圳市南山区住房和建设局</w:t>
      </w:r>
    </w:p>
    <w:p w14:paraId="6B138FAE">
      <w:pPr>
        <w:spacing w:line="360" w:lineRule="auto"/>
        <w:jc w:val="center"/>
        <w:rPr>
          <w:rFonts w:eastAsiaTheme="minorEastAsia"/>
          <w:snapToGrid w:val="0"/>
          <w:color w:val="auto"/>
          <w:highlight w:val="none"/>
        </w:rPr>
      </w:pPr>
      <w:r>
        <w:rPr>
          <w:rFonts w:hint="eastAsia" w:asciiTheme="minorEastAsia" w:hAnsiTheme="minorEastAsia" w:eastAsiaTheme="minorEastAsia"/>
          <w:color w:val="auto"/>
          <w:sz w:val="32"/>
          <w:szCs w:val="32"/>
          <w:highlight w:val="none"/>
        </w:rPr>
        <w:t>二〇二</w:t>
      </w:r>
      <w:r>
        <w:rPr>
          <w:rFonts w:hint="eastAsia" w:asciiTheme="minorEastAsia" w:hAnsiTheme="minorEastAsia" w:eastAsiaTheme="minorEastAsia"/>
          <w:color w:val="auto"/>
          <w:sz w:val="32"/>
          <w:szCs w:val="32"/>
          <w:highlight w:val="none"/>
          <w:lang w:val="en-US" w:eastAsia="zh-CN"/>
        </w:rPr>
        <w:t>五</w:t>
      </w:r>
      <w:r>
        <w:rPr>
          <w:rFonts w:hint="eastAsia" w:asciiTheme="minorEastAsia" w:hAnsiTheme="minorEastAsia" w:eastAsiaTheme="minorEastAsia"/>
          <w:color w:val="auto"/>
          <w:sz w:val="32"/>
          <w:szCs w:val="32"/>
          <w:highlight w:val="none"/>
        </w:rPr>
        <w:t>年</w:t>
      </w:r>
      <w:r>
        <w:rPr>
          <w:rFonts w:hint="eastAsia" w:asciiTheme="minorEastAsia" w:hAnsiTheme="minorEastAsia" w:eastAsiaTheme="minorEastAsia"/>
          <w:color w:val="auto"/>
          <w:sz w:val="32"/>
          <w:szCs w:val="32"/>
          <w:highlight w:val="none"/>
          <w:lang w:eastAsia="zh-CN"/>
        </w:rPr>
        <w:t>十二</w:t>
      </w:r>
      <w:r>
        <w:rPr>
          <w:rFonts w:hint="eastAsia" w:asciiTheme="minorEastAsia" w:hAnsiTheme="minorEastAsia" w:eastAsiaTheme="minorEastAsia"/>
          <w:color w:val="auto"/>
          <w:sz w:val="32"/>
          <w:szCs w:val="32"/>
          <w:highlight w:val="none"/>
        </w:rPr>
        <w:t>月   日</w:t>
      </w:r>
    </w:p>
    <w:p w14:paraId="207BCFC5">
      <w:pPr>
        <w:jc w:val="center"/>
        <w:rPr>
          <w:rFonts w:asciiTheme="minorEastAsia" w:hAnsiTheme="minorEastAsia" w:eastAsiaTheme="minorEastAsia"/>
          <w:b/>
          <w:bCs/>
          <w:snapToGrid w:val="0"/>
          <w:color w:val="auto"/>
          <w:sz w:val="44"/>
          <w:szCs w:val="44"/>
          <w:highlight w:val="none"/>
        </w:rPr>
      </w:pPr>
    </w:p>
    <w:p w14:paraId="3BEE5078">
      <w:pPr>
        <w:jc w:val="center"/>
        <w:rPr>
          <w:rFonts w:asciiTheme="minorEastAsia" w:hAnsiTheme="minorEastAsia" w:eastAsiaTheme="minorEastAsia"/>
          <w:b/>
          <w:bCs/>
          <w:snapToGrid w:val="0"/>
          <w:color w:val="auto"/>
          <w:sz w:val="44"/>
          <w:szCs w:val="44"/>
          <w:highlight w:val="none"/>
        </w:rPr>
      </w:pPr>
    </w:p>
    <w:p w14:paraId="1900AA00">
      <w:pPr>
        <w:pStyle w:val="2"/>
      </w:pPr>
    </w:p>
    <w:p w14:paraId="32FFB8B0">
      <w:pPr>
        <w:jc w:val="center"/>
        <w:rPr>
          <w:rFonts w:hint="eastAsia" w:asciiTheme="minorEastAsia" w:hAnsiTheme="minorEastAsia" w:eastAsiaTheme="minorEastAsia"/>
          <w:b/>
          <w:bCs/>
          <w:snapToGrid w:val="0"/>
          <w:color w:val="auto"/>
          <w:sz w:val="44"/>
          <w:szCs w:val="44"/>
          <w:highlight w:val="none"/>
        </w:rPr>
      </w:pPr>
      <w:r>
        <w:rPr>
          <w:rFonts w:hint="eastAsia" w:asciiTheme="minorEastAsia" w:hAnsiTheme="minorEastAsia" w:eastAsiaTheme="minorEastAsia"/>
          <w:b/>
          <w:bCs/>
          <w:snapToGrid w:val="0"/>
          <w:color w:val="auto"/>
          <w:sz w:val="44"/>
          <w:szCs w:val="44"/>
          <w:highlight w:val="none"/>
        </w:rPr>
        <w:t>深圳市南山区住房和建设局2026年度</w:t>
      </w:r>
    </w:p>
    <w:p w14:paraId="17B19C0F">
      <w:pPr>
        <w:jc w:val="center"/>
        <w:rPr>
          <w:rFonts w:asciiTheme="minorEastAsia" w:hAnsiTheme="minorEastAsia" w:eastAsiaTheme="minorEastAsia"/>
          <w:snapToGrid w:val="0"/>
          <w:color w:val="auto"/>
          <w:sz w:val="44"/>
          <w:szCs w:val="44"/>
          <w:highlight w:val="none"/>
        </w:rPr>
      </w:pPr>
      <w:r>
        <w:rPr>
          <w:rFonts w:hint="eastAsia" w:asciiTheme="minorEastAsia" w:hAnsiTheme="minorEastAsia" w:eastAsiaTheme="minorEastAsia"/>
          <w:b/>
          <w:bCs/>
          <w:snapToGrid w:val="0"/>
          <w:color w:val="auto"/>
          <w:sz w:val="44"/>
          <w:szCs w:val="44"/>
          <w:highlight w:val="none"/>
        </w:rPr>
        <w:t>保障性住房专项规划咨询服务合同书</w:t>
      </w:r>
    </w:p>
    <w:p w14:paraId="07053E53">
      <w:pPr>
        <w:rPr>
          <w:rFonts w:asciiTheme="minorEastAsia" w:hAnsiTheme="minorEastAsia" w:eastAsiaTheme="minorEastAsia"/>
          <w:snapToGrid w:val="0"/>
          <w:color w:val="auto"/>
          <w:highlight w:val="none"/>
        </w:rPr>
      </w:pPr>
    </w:p>
    <w:p w14:paraId="567D4A19">
      <w:pPr>
        <w:spacing w:line="480" w:lineRule="exact"/>
        <w:rPr>
          <w:b/>
          <w:color w:val="auto"/>
          <w:highlight w:val="none"/>
        </w:rPr>
      </w:pPr>
      <w:r>
        <w:rPr>
          <w:rFonts w:hint="eastAsia"/>
          <w:b/>
          <w:color w:val="auto"/>
          <w:highlight w:val="none"/>
        </w:rPr>
        <w:t>甲方</w:t>
      </w:r>
      <w:r>
        <w:rPr>
          <w:b/>
          <w:color w:val="auto"/>
          <w:highlight w:val="none"/>
        </w:rPr>
        <w:t>（</w:t>
      </w:r>
      <w:r>
        <w:rPr>
          <w:rFonts w:hint="eastAsia"/>
          <w:b/>
          <w:color w:val="auto"/>
          <w:highlight w:val="none"/>
          <w:lang w:eastAsia="zh-Hans"/>
        </w:rPr>
        <w:t>委托人</w:t>
      </w:r>
      <w:r>
        <w:rPr>
          <w:b/>
          <w:color w:val="auto"/>
          <w:highlight w:val="none"/>
          <w:lang w:eastAsia="zh-Hans"/>
        </w:rPr>
        <w:t>）</w:t>
      </w:r>
      <w:r>
        <w:rPr>
          <w:rFonts w:hint="eastAsia"/>
          <w:b/>
          <w:color w:val="auto"/>
          <w:highlight w:val="none"/>
        </w:rPr>
        <w:t>：深圳市南山区住房和建设局</w:t>
      </w:r>
    </w:p>
    <w:p w14:paraId="02FEBF00">
      <w:pPr>
        <w:spacing w:line="480" w:lineRule="exact"/>
        <w:rPr>
          <w:color w:val="auto"/>
          <w:highlight w:val="none"/>
        </w:rPr>
      </w:pPr>
      <w:r>
        <w:rPr>
          <w:rFonts w:hint="eastAsia"/>
          <w:color w:val="auto"/>
          <w:highlight w:val="none"/>
        </w:rPr>
        <w:t>地址：深圳市南山区桃园路2号区委大楼A座三楼</w:t>
      </w:r>
    </w:p>
    <w:p w14:paraId="528BC611">
      <w:pPr>
        <w:spacing w:line="480" w:lineRule="exact"/>
        <w:rPr>
          <w:color w:val="auto"/>
          <w:highlight w:val="none"/>
        </w:rPr>
      </w:pPr>
      <w:r>
        <w:rPr>
          <w:rFonts w:hint="eastAsia"/>
          <w:color w:val="auto"/>
          <w:highlight w:val="none"/>
        </w:rPr>
        <w:t>邮编：518052</w:t>
      </w:r>
    </w:p>
    <w:p w14:paraId="18B882EC">
      <w:pPr>
        <w:spacing w:line="480" w:lineRule="exact"/>
        <w:rPr>
          <w:rFonts w:hint="eastAsia" w:eastAsia="宋体"/>
          <w:color w:val="auto"/>
          <w:highlight w:val="none"/>
          <w:lang w:val="en-US" w:eastAsia="zh-CN"/>
        </w:rPr>
      </w:pPr>
      <w:r>
        <w:rPr>
          <w:rFonts w:hint="eastAsia"/>
          <w:color w:val="auto"/>
          <w:highlight w:val="none"/>
        </w:rPr>
        <w:t>项目联系人：</w:t>
      </w:r>
    </w:p>
    <w:p w14:paraId="31531773">
      <w:pPr>
        <w:spacing w:line="480" w:lineRule="exact"/>
        <w:rPr>
          <w:b/>
          <w:color w:val="auto"/>
          <w:highlight w:val="none"/>
        </w:rPr>
      </w:pPr>
      <w:r>
        <w:rPr>
          <w:rFonts w:hint="eastAsia"/>
          <w:b/>
          <w:color w:val="auto"/>
          <w:highlight w:val="none"/>
        </w:rPr>
        <w:t>乙方</w:t>
      </w:r>
      <w:r>
        <w:rPr>
          <w:b/>
          <w:color w:val="auto"/>
          <w:highlight w:val="none"/>
        </w:rPr>
        <w:t>（</w:t>
      </w:r>
      <w:r>
        <w:rPr>
          <w:rFonts w:hint="eastAsia"/>
          <w:b/>
          <w:color w:val="auto"/>
          <w:highlight w:val="none"/>
          <w:lang w:eastAsia="zh-Hans"/>
        </w:rPr>
        <w:t>受托人</w:t>
      </w:r>
      <w:r>
        <w:rPr>
          <w:b/>
          <w:color w:val="auto"/>
          <w:highlight w:val="none"/>
          <w:lang w:eastAsia="zh-Hans"/>
        </w:rPr>
        <w:t>）</w:t>
      </w:r>
      <w:r>
        <w:rPr>
          <w:rFonts w:hint="eastAsia"/>
          <w:b/>
          <w:color w:val="auto"/>
          <w:highlight w:val="none"/>
        </w:rPr>
        <w:t>：</w:t>
      </w:r>
    </w:p>
    <w:p w14:paraId="3A8DC8BD">
      <w:pPr>
        <w:spacing w:line="480" w:lineRule="exact"/>
        <w:rPr>
          <w:rFonts w:hint="default" w:eastAsia="宋体"/>
          <w:color w:val="auto"/>
          <w:highlight w:val="none"/>
          <w:lang w:val="en-US" w:eastAsia="zh-CN"/>
        </w:rPr>
      </w:pPr>
      <w:r>
        <w:rPr>
          <w:rFonts w:hint="eastAsia"/>
          <w:color w:val="auto"/>
          <w:highlight w:val="none"/>
        </w:rPr>
        <w:t>地址：</w:t>
      </w:r>
    </w:p>
    <w:p w14:paraId="4D372F50">
      <w:pPr>
        <w:spacing w:line="480" w:lineRule="exact"/>
        <w:rPr>
          <w:rFonts w:hint="default" w:eastAsia="宋体"/>
          <w:color w:val="auto"/>
          <w:highlight w:val="none"/>
          <w:lang w:val="en-US" w:eastAsia="zh-CN"/>
        </w:rPr>
      </w:pPr>
      <w:r>
        <w:rPr>
          <w:rFonts w:hint="eastAsia"/>
          <w:color w:val="auto"/>
          <w:highlight w:val="none"/>
        </w:rPr>
        <w:t>邮编：</w:t>
      </w:r>
    </w:p>
    <w:p w14:paraId="750F9ED7">
      <w:pPr>
        <w:spacing w:line="480" w:lineRule="exact"/>
        <w:rPr>
          <w:rFonts w:hint="default" w:eastAsia="宋体"/>
          <w:color w:val="auto"/>
          <w:highlight w:val="none"/>
          <w:lang w:val="en-US" w:eastAsia="zh-CN"/>
        </w:rPr>
      </w:pPr>
      <w:r>
        <w:rPr>
          <w:rFonts w:hint="eastAsia"/>
          <w:color w:val="auto"/>
          <w:highlight w:val="none"/>
        </w:rPr>
        <w:t>项目联系人：</w:t>
      </w:r>
    </w:p>
    <w:p w14:paraId="705E2F3D">
      <w:pPr>
        <w:spacing w:line="480" w:lineRule="exact"/>
        <w:rPr>
          <w:rFonts w:hint="default" w:eastAsia="宋体"/>
          <w:color w:val="auto"/>
          <w:highlight w:val="none"/>
          <w:lang w:val="en-US" w:eastAsia="zh-CN"/>
        </w:rPr>
      </w:pPr>
      <w:r>
        <w:rPr>
          <w:rFonts w:hint="eastAsia"/>
          <w:color w:val="auto"/>
          <w:highlight w:val="none"/>
        </w:rPr>
        <w:t>开户银行：</w:t>
      </w:r>
    </w:p>
    <w:p w14:paraId="7DDF108E">
      <w:pPr>
        <w:spacing w:line="480" w:lineRule="exact"/>
        <w:rPr>
          <w:rFonts w:hint="default" w:eastAsia="宋体"/>
          <w:color w:val="auto"/>
          <w:highlight w:val="none"/>
          <w:lang w:val="en-US" w:eastAsia="zh-CN"/>
        </w:rPr>
      </w:pPr>
      <w:r>
        <w:rPr>
          <w:rFonts w:hint="eastAsia"/>
          <w:color w:val="auto"/>
          <w:highlight w:val="none"/>
          <w:lang w:val="en-US" w:eastAsia="zh-CN"/>
        </w:rPr>
        <w:t>账</w:t>
      </w:r>
      <w:bookmarkStart w:id="10" w:name="_GoBack"/>
      <w:bookmarkEnd w:id="10"/>
      <w:r>
        <w:rPr>
          <w:rFonts w:hint="eastAsia"/>
          <w:color w:val="auto"/>
          <w:highlight w:val="none"/>
        </w:rPr>
        <w:t>号：</w:t>
      </w:r>
    </w:p>
    <w:p w14:paraId="0C5FF601">
      <w:pPr>
        <w:spacing w:line="480" w:lineRule="exact"/>
        <w:ind w:firstLine="480" w:firstLineChars="200"/>
        <w:rPr>
          <w:snapToGrid w:val="0"/>
          <w:color w:val="auto"/>
          <w:highlight w:val="none"/>
        </w:rPr>
      </w:pPr>
      <w:r>
        <w:rPr>
          <w:rFonts w:hint="eastAsia"/>
          <w:snapToGrid w:val="0"/>
          <w:color w:val="auto"/>
          <w:highlight w:val="none"/>
        </w:rPr>
        <w:t>依照《中华人民共和国民法典》及广东省、市有关法律、行政法规，结合本项目的招标文件要求</w:t>
      </w:r>
      <w:r>
        <w:rPr>
          <w:snapToGrid w:val="0"/>
          <w:color w:val="auto"/>
          <w:highlight w:val="none"/>
        </w:rPr>
        <w:t>，</w:t>
      </w:r>
      <w:r>
        <w:rPr>
          <w:rFonts w:hint="eastAsia"/>
          <w:snapToGrid w:val="0"/>
          <w:color w:val="auto"/>
          <w:highlight w:val="none"/>
        </w:rPr>
        <w:t>双方就</w:t>
      </w:r>
      <w:r>
        <w:rPr>
          <w:rFonts w:hint="eastAsia"/>
          <w:snapToGrid w:val="0"/>
          <w:color w:val="auto"/>
          <w:highlight w:val="none"/>
          <w:lang w:eastAsia="zh-Hans"/>
        </w:rPr>
        <w:t>甲方委托乙方就</w:t>
      </w:r>
      <w:r>
        <w:rPr>
          <w:rFonts w:hint="eastAsia"/>
          <w:snapToGrid w:val="0"/>
          <w:color w:val="auto"/>
          <w:highlight w:val="none"/>
          <w:u w:val="single"/>
          <w:lang w:eastAsia="zh-Hans"/>
        </w:rPr>
        <w:t>深圳市南山区住房和建设局2026年度保障性住房专项规划咨询服务项目</w:t>
      </w:r>
      <w:r>
        <w:rPr>
          <w:rFonts w:hint="eastAsia"/>
          <w:snapToGrid w:val="0"/>
          <w:color w:val="auto"/>
          <w:highlight w:val="none"/>
          <w:lang w:eastAsia="zh-Hans"/>
        </w:rPr>
        <w:t>为甲方提供咨询服务一事</w:t>
      </w:r>
      <w:r>
        <w:rPr>
          <w:rFonts w:hint="eastAsia"/>
          <w:snapToGrid w:val="0"/>
          <w:color w:val="auto"/>
          <w:highlight w:val="none"/>
        </w:rPr>
        <w:t>协商一致，订立本合同。</w:t>
      </w:r>
    </w:p>
    <w:p w14:paraId="0578425E">
      <w:pPr>
        <w:spacing w:line="480" w:lineRule="exact"/>
        <w:ind w:firstLine="482" w:firstLineChars="200"/>
        <w:rPr>
          <w:rFonts w:hint="eastAsia"/>
          <w:b/>
          <w:bCs/>
          <w:snapToGrid w:val="0"/>
          <w:color w:val="auto"/>
          <w:highlight w:val="none"/>
        </w:rPr>
      </w:pPr>
      <w:r>
        <w:rPr>
          <w:rFonts w:hint="eastAsia"/>
          <w:b/>
          <w:bCs/>
          <w:snapToGrid w:val="0"/>
          <w:color w:val="auto"/>
          <w:highlight w:val="none"/>
        </w:rPr>
        <w:t>第一条</w:t>
      </w:r>
      <w:r>
        <w:rPr>
          <w:rFonts w:hint="eastAsia"/>
          <w:b/>
          <w:bCs/>
          <w:snapToGrid w:val="0"/>
          <w:color w:val="auto"/>
          <w:highlight w:val="none"/>
          <w:lang w:val="en-US" w:eastAsia="zh-CN"/>
        </w:rPr>
        <w:t xml:space="preserve"> </w:t>
      </w:r>
      <w:r>
        <w:rPr>
          <w:rFonts w:hint="eastAsia"/>
          <w:b/>
          <w:bCs/>
          <w:snapToGrid w:val="0"/>
          <w:color w:val="auto"/>
          <w:highlight w:val="none"/>
        </w:rPr>
        <w:t>基本情况</w:t>
      </w:r>
    </w:p>
    <w:p w14:paraId="6D7CF7DB">
      <w:pPr>
        <w:spacing w:line="480" w:lineRule="exact"/>
        <w:ind w:firstLine="480" w:firstLineChars="200"/>
        <w:rPr>
          <w:rFonts w:hint="eastAsia"/>
          <w:snapToGrid w:val="0"/>
          <w:color w:val="auto"/>
          <w:highlight w:val="none"/>
          <w:u w:val="single"/>
        </w:rPr>
      </w:pPr>
      <w:r>
        <w:rPr>
          <w:rFonts w:hint="eastAsia"/>
          <w:snapToGrid w:val="0"/>
          <w:color w:val="auto"/>
          <w:highlight w:val="none"/>
        </w:rPr>
        <w:t>1、项目名称：</w:t>
      </w:r>
      <w:r>
        <w:rPr>
          <w:rFonts w:hint="eastAsia"/>
          <w:snapToGrid w:val="0"/>
          <w:color w:val="auto"/>
          <w:highlight w:val="none"/>
          <w:u w:val="single"/>
        </w:rPr>
        <w:t>深圳市南山区住房和建设局</w:t>
      </w:r>
      <w:r>
        <w:rPr>
          <w:rFonts w:hint="eastAsia"/>
          <w:snapToGrid w:val="0"/>
          <w:color w:val="auto"/>
          <w:highlight w:val="none"/>
          <w:u w:val="single"/>
          <w:lang w:eastAsia="zh-CN"/>
        </w:rPr>
        <w:t>2026</w:t>
      </w:r>
      <w:r>
        <w:rPr>
          <w:rFonts w:hint="eastAsia"/>
          <w:snapToGrid w:val="0"/>
          <w:color w:val="auto"/>
          <w:highlight w:val="none"/>
          <w:u w:val="single"/>
        </w:rPr>
        <w:t>年度保障性住房专项规划咨询服务</w:t>
      </w:r>
    </w:p>
    <w:p w14:paraId="5528C9AF">
      <w:pPr>
        <w:spacing w:line="480" w:lineRule="exact"/>
        <w:ind w:firstLine="480" w:firstLineChars="200"/>
        <w:rPr>
          <w:rFonts w:hint="eastAsia"/>
          <w:b/>
          <w:bCs/>
          <w:color w:val="auto"/>
          <w:sz w:val="24"/>
          <w:szCs w:val="24"/>
          <w:highlight w:val="none"/>
          <w:lang w:val="en-US" w:eastAsia="zh-CN"/>
        </w:rPr>
      </w:pPr>
      <w:r>
        <w:rPr>
          <w:rFonts w:hint="eastAsia"/>
          <w:snapToGrid w:val="0"/>
          <w:color w:val="auto"/>
          <w:highlight w:val="none"/>
        </w:rPr>
        <w:t xml:space="preserve">2、合同范围： </w:t>
      </w:r>
      <w:r>
        <w:rPr>
          <w:rFonts w:hint="eastAsia"/>
          <w:snapToGrid w:val="0"/>
          <w:color w:val="auto"/>
          <w:highlight w:val="none"/>
          <w:u w:val="single"/>
        </w:rPr>
        <w:t>深圳市南山区住房和建设局管理的保障性住房项目及业务工作中涉及的规划技术咨询与服务。</w:t>
      </w:r>
    </w:p>
    <w:p w14:paraId="2C6D1B27">
      <w:pPr>
        <w:spacing w:line="480" w:lineRule="exact"/>
        <w:ind w:firstLine="482" w:firstLineChars="200"/>
        <w:jc w:val="both"/>
        <w:rPr>
          <w:rFonts w:hint="eastAsia"/>
          <w:b/>
          <w:bCs/>
          <w:color w:val="auto"/>
          <w:sz w:val="24"/>
          <w:szCs w:val="24"/>
          <w:highlight w:val="none"/>
          <w:lang w:val="en-US" w:eastAsia="zh-CN"/>
        </w:rPr>
      </w:pPr>
      <w:r>
        <w:rPr>
          <w:rFonts w:hint="eastAsia"/>
          <w:b/>
          <w:bCs/>
          <w:color w:val="auto"/>
          <w:sz w:val="24"/>
          <w:szCs w:val="24"/>
          <w:highlight w:val="none"/>
          <w:lang w:val="en-US" w:eastAsia="zh-CN"/>
        </w:rPr>
        <w:t>第二条 工作内容</w:t>
      </w:r>
    </w:p>
    <w:p w14:paraId="41C83F9E">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按照甲方需要，本次工作主要服务内容包括但不限于以下事项，同时甲方有权结合今后工作中遇到的实际情况，对工作内容进行适当调整。</w:t>
      </w:r>
    </w:p>
    <w:p w14:paraId="2B7F5C4B">
      <w:pPr>
        <w:spacing w:line="480" w:lineRule="exact"/>
        <w:ind w:firstLine="480" w:firstLineChars="200"/>
        <w:jc w:val="both"/>
        <w:rPr>
          <w:rFonts w:hint="default"/>
          <w:color w:val="auto"/>
          <w:sz w:val="24"/>
          <w:szCs w:val="24"/>
          <w:highlight w:val="none"/>
          <w:lang w:val="en-US" w:eastAsia="zh-CN"/>
        </w:rPr>
      </w:pPr>
      <w:r>
        <w:rPr>
          <w:rFonts w:hint="eastAsia"/>
          <w:color w:val="auto"/>
          <w:sz w:val="24"/>
          <w:szCs w:val="24"/>
          <w:highlight w:val="none"/>
          <w:lang w:val="en-US" w:eastAsia="zh-CN"/>
        </w:rPr>
        <w:t>（一）保障性住房专项规划咨询服务</w:t>
      </w:r>
    </w:p>
    <w:p w14:paraId="200B6CD7">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1、针对土地整备、旧住宅区改造、城市更新等项目涉及保障性住房部分提出专业意见；</w:t>
      </w:r>
    </w:p>
    <w:p w14:paraId="28387E99">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2、针对有意向新建或通过其他方式配建的保障性住房项目进行咨询研判；</w:t>
      </w:r>
    </w:p>
    <w:p w14:paraId="6980F034">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3、针对保障性住房新增地块项目进行规划审核把关；</w:t>
      </w:r>
    </w:p>
    <w:p w14:paraId="287D129C">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4、审核把关涉及保障性住房的概念规划、片区规划及专项规划等相关规划；</w:t>
      </w:r>
    </w:p>
    <w:p w14:paraId="609F4413">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5、对征求我局意见的涉及保障性住房的政策、技术标准及规范等专业内容研提意见；</w:t>
      </w:r>
    </w:p>
    <w:p w14:paraId="378DC7EE">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6、陪同实地查看项目，进行规划分析。</w:t>
      </w:r>
    </w:p>
    <w:p w14:paraId="51EDDBEF">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（二）专职工作服务</w:t>
      </w:r>
    </w:p>
    <w:p w14:paraId="18BC25C5">
      <w:pPr>
        <w:spacing w:line="48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安排一名项目服务人员，开展保障性住房规划技术相关咨询服务、政策标准宣传、甲方指派与保障性住房相关的其他工作。</w:t>
      </w:r>
    </w:p>
    <w:p w14:paraId="183F1290">
      <w:pPr>
        <w:spacing w:line="480" w:lineRule="exact"/>
        <w:ind w:firstLine="482" w:firstLineChars="200"/>
        <w:rPr>
          <w:rFonts w:hint="eastAsia"/>
          <w:b/>
          <w:bCs/>
          <w:snapToGrid w:val="0"/>
          <w:color w:val="auto"/>
          <w:highlight w:val="none"/>
        </w:rPr>
      </w:pPr>
      <w:r>
        <w:rPr>
          <w:rFonts w:hint="eastAsia"/>
          <w:b/>
          <w:bCs/>
          <w:snapToGrid w:val="0"/>
          <w:color w:val="auto"/>
          <w:highlight w:val="none"/>
        </w:rPr>
        <w:t>第三条</w:t>
      </w:r>
      <w:r>
        <w:rPr>
          <w:rFonts w:hint="eastAsia"/>
          <w:b/>
          <w:bCs/>
          <w:snapToGrid w:val="0"/>
          <w:color w:val="auto"/>
          <w:highlight w:val="none"/>
          <w:lang w:val="en-US" w:eastAsia="zh-CN"/>
        </w:rPr>
        <w:t xml:space="preserve"> </w:t>
      </w:r>
      <w:r>
        <w:rPr>
          <w:rFonts w:hint="eastAsia"/>
          <w:b/>
          <w:bCs/>
          <w:snapToGrid w:val="0"/>
          <w:color w:val="auto"/>
          <w:highlight w:val="none"/>
        </w:rPr>
        <w:t>技术及人员要求</w:t>
      </w:r>
    </w:p>
    <w:p w14:paraId="728AEB98">
      <w:pPr>
        <w:spacing w:line="480" w:lineRule="exact"/>
        <w:ind w:firstLine="480" w:firstLineChars="200"/>
        <w:rPr>
          <w:rFonts w:hint="eastAsia"/>
          <w:snapToGrid w:val="0"/>
          <w:color w:val="auto"/>
          <w:highlight w:val="none"/>
        </w:rPr>
      </w:pPr>
      <w:r>
        <w:rPr>
          <w:rFonts w:hint="eastAsia"/>
          <w:snapToGrid w:val="0"/>
          <w:color w:val="auto"/>
          <w:highlight w:val="none"/>
        </w:rPr>
        <w:t>1、主要依据：《城市规划编制办法》、《深圳市城市规划标准与准则》、《深圳市拆除重建类城市更新单元保障性住房配建规定》（深建规〔2025〕11号）等法律法规，以及其它相关技术标准与要求。</w:t>
      </w:r>
    </w:p>
    <w:p w14:paraId="328A061B">
      <w:pPr>
        <w:spacing w:line="480" w:lineRule="exact"/>
        <w:ind w:firstLine="480" w:firstLineChars="200"/>
        <w:rPr>
          <w:rFonts w:hint="eastAsia"/>
          <w:snapToGrid w:val="0"/>
          <w:color w:val="auto"/>
          <w:highlight w:val="none"/>
        </w:rPr>
      </w:pPr>
      <w:r>
        <w:rPr>
          <w:rFonts w:hint="eastAsia"/>
          <w:snapToGrid w:val="0"/>
          <w:color w:val="auto"/>
          <w:highlight w:val="none"/>
        </w:rPr>
        <w:t>2、主要规范标准：设计内容应根据当地规划主管部门的规划要点，按照国家现行设计标准、规范、规程和技术条例以及项目所在地相关主管部门的具体要求。</w:t>
      </w:r>
    </w:p>
    <w:p w14:paraId="0AF15FD9">
      <w:pPr>
        <w:spacing w:line="480" w:lineRule="exact"/>
        <w:ind w:firstLine="480" w:firstLineChars="200"/>
        <w:rPr>
          <w:rFonts w:hint="eastAsia"/>
          <w:snapToGrid w:val="0"/>
          <w:color w:val="auto"/>
          <w:highlight w:val="none"/>
        </w:rPr>
      </w:pPr>
      <w:r>
        <w:rPr>
          <w:rFonts w:hint="eastAsia"/>
          <w:snapToGrid w:val="0"/>
          <w:color w:val="auto"/>
          <w:highlight w:val="none"/>
        </w:rPr>
        <w:t>3、项目人员要求：乙方应成立专门的项目组，设置固定的项目负责人和联系人，满足甲方的工作需求。项目负责人在实施过程中不得更换，如需更换，必须得到甲方的同意；另须安排一名</w:t>
      </w:r>
      <w:r>
        <w:rPr>
          <w:rFonts w:hint="eastAsia"/>
          <w:snapToGrid w:val="0"/>
          <w:color w:val="auto"/>
          <w:highlight w:val="none"/>
          <w:lang w:eastAsia="zh-CN"/>
        </w:rPr>
        <w:t>项目服务</w:t>
      </w:r>
      <w:r>
        <w:rPr>
          <w:rFonts w:hint="eastAsia"/>
          <w:snapToGrid w:val="0"/>
          <w:color w:val="auto"/>
          <w:highlight w:val="none"/>
        </w:rPr>
        <w:t>人员负责处理本项目相关工作。</w:t>
      </w:r>
      <w:r>
        <w:rPr>
          <w:rFonts w:hint="eastAsia"/>
          <w:snapToGrid w:val="0"/>
          <w:color w:val="auto"/>
          <w:highlight w:val="none"/>
          <w:lang w:eastAsia="zh-CN"/>
        </w:rPr>
        <w:t>项目服务</w:t>
      </w:r>
      <w:r>
        <w:rPr>
          <w:rFonts w:hint="eastAsia"/>
          <w:snapToGrid w:val="0"/>
          <w:color w:val="auto"/>
          <w:highlight w:val="none"/>
        </w:rPr>
        <w:t>人员需具备城乡规划等相关专业背景、本科及以上学历、3年及以上相关工作经验。</w:t>
      </w:r>
      <w:r>
        <w:rPr>
          <w:rFonts w:hint="eastAsia"/>
          <w:snapToGrid w:val="0"/>
          <w:color w:val="auto"/>
          <w:highlight w:val="none"/>
          <w:lang w:eastAsia="zh-CN"/>
        </w:rPr>
        <w:t>项目服务</w:t>
      </w:r>
      <w:r>
        <w:rPr>
          <w:rFonts w:hint="eastAsia"/>
          <w:snapToGrid w:val="0"/>
          <w:color w:val="auto"/>
          <w:highlight w:val="none"/>
        </w:rPr>
        <w:t>人员不得更换</w:t>
      </w:r>
      <w:r>
        <w:rPr>
          <w:rFonts w:hint="eastAsia"/>
          <w:snapToGrid w:val="0"/>
          <w:color w:val="auto"/>
          <w:highlight w:val="none"/>
          <w:lang w:eastAsia="zh-CN"/>
        </w:rPr>
        <w:t>，</w:t>
      </w:r>
      <w:r>
        <w:rPr>
          <w:rFonts w:hint="eastAsia"/>
          <w:snapToGrid w:val="0"/>
          <w:color w:val="auto"/>
          <w:highlight w:val="none"/>
        </w:rPr>
        <w:t>如需更换，必须得到甲方的同意。</w:t>
      </w:r>
    </w:p>
    <w:p w14:paraId="0677CA8C">
      <w:pPr>
        <w:spacing w:line="480" w:lineRule="exact"/>
        <w:ind w:firstLine="482" w:firstLineChars="200"/>
        <w:rPr>
          <w:b/>
          <w:snapToGrid w:val="0"/>
          <w:color w:val="auto"/>
          <w:highlight w:val="none"/>
        </w:rPr>
      </w:pPr>
      <w:r>
        <w:rPr>
          <w:rFonts w:hint="eastAsia"/>
          <w:b/>
          <w:snapToGrid w:val="0"/>
          <w:color w:val="auto"/>
          <w:highlight w:val="none"/>
        </w:rPr>
        <w:t>第</w:t>
      </w:r>
      <w:r>
        <w:rPr>
          <w:rFonts w:hint="eastAsia"/>
          <w:b/>
          <w:snapToGrid w:val="0"/>
          <w:color w:val="auto"/>
          <w:highlight w:val="none"/>
          <w:lang w:val="en-US" w:eastAsia="zh-CN"/>
        </w:rPr>
        <w:t>四</w:t>
      </w:r>
      <w:r>
        <w:rPr>
          <w:rFonts w:hint="eastAsia"/>
          <w:b/>
          <w:snapToGrid w:val="0"/>
          <w:color w:val="auto"/>
          <w:highlight w:val="none"/>
        </w:rPr>
        <w:t>条</w:t>
      </w:r>
      <w:r>
        <w:rPr>
          <w:b/>
          <w:snapToGrid w:val="0"/>
          <w:color w:val="auto"/>
          <w:highlight w:val="none"/>
        </w:rPr>
        <w:t xml:space="preserve"> </w:t>
      </w:r>
      <w:r>
        <w:rPr>
          <w:rFonts w:hint="eastAsia"/>
          <w:b/>
          <w:snapToGrid w:val="0"/>
          <w:color w:val="auto"/>
          <w:highlight w:val="none"/>
        </w:rPr>
        <w:t>合同服务期限</w:t>
      </w:r>
    </w:p>
    <w:p w14:paraId="20961061">
      <w:pPr>
        <w:pStyle w:val="7"/>
        <w:spacing w:line="480" w:lineRule="exact"/>
        <w:ind w:firstLine="480" w:firstLineChars="200"/>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本项目服务周期为1年，自2026年1月1日起至2026年12月31日止。(合同期满后可根据乙方履约情况决定是否续签，合同累计期限最长不超过三年)</w:t>
      </w:r>
    </w:p>
    <w:p w14:paraId="01D39EC7">
      <w:pPr>
        <w:spacing w:line="480" w:lineRule="exact"/>
        <w:ind w:firstLine="482" w:firstLineChars="200"/>
        <w:rPr>
          <w:rFonts w:hint="default" w:eastAsia="宋体"/>
          <w:b/>
          <w:bCs/>
          <w:snapToGrid w:val="0"/>
          <w:color w:val="auto"/>
          <w:highlight w:val="none"/>
          <w:lang w:val="en-US" w:eastAsia="zh-CN"/>
        </w:rPr>
      </w:pPr>
      <w:r>
        <w:rPr>
          <w:rFonts w:hint="eastAsia"/>
          <w:b/>
          <w:bCs/>
          <w:snapToGrid w:val="0"/>
          <w:color w:val="auto"/>
          <w:highlight w:val="none"/>
        </w:rPr>
        <w:t>第</w:t>
      </w:r>
      <w:r>
        <w:rPr>
          <w:rFonts w:hint="eastAsia"/>
          <w:b/>
          <w:bCs/>
          <w:snapToGrid w:val="0"/>
          <w:color w:val="auto"/>
          <w:highlight w:val="none"/>
          <w:lang w:val="en-US" w:eastAsia="zh-CN"/>
        </w:rPr>
        <w:t>五</w:t>
      </w:r>
      <w:r>
        <w:rPr>
          <w:rFonts w:hint="eastAsia"/>
          <w:b/>
          <w:bCs/>
          <w:snapToGrid w:val="0"/>
          <w:color w:val="auto"/>
          <w:highlight w:val="none"/>
        </w:rPr>
        <w:t xml:space="preserve">条 </w:t>
      </w:r>
      <w:r>
        <w:rPr>
          <w:rFonts w:hint="eastAsia"/>
          <w:b/>
          <w:bCs/>
          <w:snapToGrid w:val="0"/>
          <w:color w:val="auto"/>
          <w:highlight w:val="none"/>
          <w:lang w:val="en-US" w:eastAsia="zh-CN"/>
        </w:rPr>
        <w:t>合同价款</w:t>
      </w:r>
    </w:p>
    <w:p w14:paraId="6AF8D218">
      <w:pPr>
        <w:pStyle w:val="7"/>
        <w:spacing w:line="480" w:lineRule="exact"/>
        <w:ind w:firstLine="480" w:firstLineChars="200"/>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本合同为总价包干合同，按照《城市规划设计计费指导意见》，确定服务的合同服务费用为：人民币</w:t>
      </w:r>
      <w:r>
        <w:rPr>
          <w:rFonts w:hint="eastAsia"/>
          <w:b w:val="0"/>
          <w:bCs w:val="0"/>
          <w:snapToGrid w:val="0"/>
          <w:color w:val="auto"/>
          <w:highlight w:val="none"/>
          <w:u w:val="single"/>
          <w:lang w:val="en-US" w:eastAsia="zh-CN"/>
        </w:rPr>
        <w:t xml:space="preserve">          </w:t>
      </w:r>
      <w:r>
        <w:rPr>
          <w:rFonts w:hint="eastAsia"/>
          <w:b w:val="0"/>
          <w:bCs w:val="0"/>
          <w:snapToGrid w:val="0"/>
          <w:color w:val="auto"/>
          <w:highlight w:val="none"/>
          <w:lang w:val="en-US" w:eastAsia="zh-CN"/>
        </w:rPr>
        <w:t>，大写</w:t>
      </w:r>
      <w:r>
        <w:rPr>
          <w:rFonts w:hint="eastAsia"/>
          <w:b w:val="0"/>
          <w:bCs w:val="0"/>
          <w:snapToGrid w:val="0"/>
          <w:color w:val="auto"/>
          <w:highlight w:val="none"/>
          <w:u w:val="single"/>
          <w:lang w:val="en-US" w:eastAsia="zh-CN"/>
        </w:rPr>
        <w:t xml:space="preserve">         </w:t>
      </w:r>
      <w:r>
        <w:rPr>
          <w:rFonts w:hint="eastAsia"/>
          <w:b w:val="0"/>
          <w:bCs w:val="0"/>
          <w:snapToGrid w:val="0"/>
          <w:color w:val="auto"/>
          <w:highlight w:val="none"/>
          <w:lang w:val="en-US" w:eastAsia="zh-CN"/>
        </w:rPr>
        <w:t>。本合同服务费用采用包干制，包括但不限于服务成本、项目服务人员伙食补助费用、税费、人员工资、乙方合理利润等。</w:t>
      </w:r>
    </w:p>
    <w:p w14:paraId="597111B6">
      <w:pPr>
        <w:spacing w:line="480" w:lineRule="exact"/>
        <w:ind w:firstLine="482" w:firstLineChars="200"/>
        <w:rPr>
          <w:rFonts w:hint="eastAsia"/>
          <w:snapToGrid w:val="0"/>
          <w:color w:val="auto"/>
          <w:highlight w:val="none"/>
        </w:rPr>
      </w:pPr>
      <w:r>
        <w:rPr>
          <w:rFonts w:hint="eastAsia"/>
          <w:b/>
          <w:bCs/>
          <w:snapToGrid w:val="0"/>
          <w:color w:val="auto"/>
          <w:highlight w:val="none"/>
        </w:rPr>
        <w:t>第</w:t>
      </w:r>
      <w:r>
        <w:rPr>
          <w:rFonts w:hint="eastAsia"/>
          <w:b/>
          <w:bCs/>
          <w:snapToGrid w:val="0"/>
          <w:color w:val="auto"/>
          <w:highlight w:val="none"/>
          <w:lang w:val="en-US" w:eastAsia="zh-CN"/>
        </w:rPr>
        <w:t>五</w:t>
      </w:r>
      <w:r>
        <w:rPr>
          <w:rFonts w:hint="eastAsia"/>
          <w:b/>
          <w:bCs/>
          <w:snapToGrid w:val="0"/>
          <w:color w:val="auto"/>
          <w:highlight w:val="none"/>
        </w:rPr>
        <w:t>条 付款方式</w:t>
      </w:r>
    </w:p>
    <w:p w14:paraId="1A1F0A9D">
      <w:pPr>
        <w:spacing w:line="480" w:lineRule="exact"/>
        <w:ind w:firstLine="480" w:firstLineChars="200"/>
        <w:jc w:val="both"/>
        <w:rPr>
          <w:rFonts w:hint="default"/>
          <w:color w:val="000000" w:themeColor="text1"/>
          <w:highlight w:val="none"/>
          <w:lang w:val="en-US"/>
          <w14:textFill>
            <w14:solidFill>
              <w14:schemeClr w14:val="tx1"/>
            </w14:solidFill>
          </w14:textFill>
        </w:rPr>
      </w:pPr>
      <w:r>
        <w:rPr>
          <w:rFonts w:hint="default"/>
          <w:color w:val="000000" w:themeColor="text1"/>
          <w:highlight w:val="none"/>
          <w:lang w:val="en-US"/>
          <w14:textFill>
            <w14:solidFill>
              <w14:schemeClr w14:val="tx1"/>
            </w14:solidFill>
          </w14:textFill>
        </w:rPr>
        <w:t>经双方协商，分三期付款：</w:t>
      </w:r>
    </w:p>
    <w:p w14:paraId="6CEF6E15">
      <w:pPr>
        <w:spacing w:before="0" w:after="0" w:line="480" w:lineRule="exact"/>
        <w:ind w:firstLine="480" w:firstLineChars="200"/>
        <w:rPr>
          <w:rFonts w:hint="eastAsia"/>
          <w:snapToGrid w:val="0"/>
          <w:color w:val="auto"/>
          <w:szCs w:val="22"/>
          <w:highlight w:val="none"/>
          <w:lang w:eastAsia="zh-Hans"/>
        </w:rPr>
      </w:pPr>
      <w:r>
        <w:rPr>
          <w:rFonts w:hint="eastAsia"/>
          <w:snapToGrid w:val="0"/>
          <w:color w:val="auto"/>
          <w:szCs w:val="22"/>
          <w:highlight w:val="none"/>
          <w:lang w:eastAsia="zh-Hans"/>
        </w:rPr>
        <w:t>第一期：本合同签订之日起 15日内，且收到乙方开具的符合财务要求的发票后，甲方向乙方支付合同服务费用人民币</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元整，大写</w:t>
      </w:r>
      <w:r>
        <w:rPr>
          <w:rFonts w:hint="eastAsia"/>
          <w:snapToGrid w:val="0"/>
          <w:color w:val="auto"/>
          <w:szCs w:val="22"/>
          <w:highlight w:val="none"/>
          <w:u w:val="single"/>
          <w:lang w:eastAsia="zh-Hans"/>
        </w:rPr>
        <w:t xml:space="preserve">              </w:t>
      </w:r>
      <w:r>
        <w:rPr>
          <w:rFonts w:hint="eastAsia"/>
          <w:snapToGrid w:val="0"/>
          <w:color w:val="auto"/>
          <w:szCs w:val="22"/>
          <w:highlight w:val="none"/>
          <w:u w:val="none"/>
          <w:lang w:eastAsia="zh-Hans"/>
        </w:rPr>
        <w:t>（</w:t>
      </w:r>
      <w:r>
        <w:rPr>
          <w:rFonts w:hint="eastAsia"/>
          <w:snapToGrid w:val="0"/>
          <w:color w:val="auto"/>
          <w:szCs w:val="22"/>
          <w:highlight w:val="none"/>
          <w:u w:val="none"/>
          <w:lang w:eastAsia="zh-CN"/>
        </w:rPr>
        <w:t>占</w:t>
      </w:r>
      <w:r>
        <w:rPr>
          <w:rFonts w:hint="eastAsia"/>
          <w:snapToGrid w:val="0"/>
          <w:color w:val="auto"/>
          <w:szCs w:val="22"/>
          <w:highlight w:val="none"/>
          <w:u w:val="none"/>
          <w:lang w:eastAsia="zh-Hans"/>
        </w:rPr>
        <w:t>总服务费用</w:t>
      </w:r>
      <w:r>
        <w:rPr>
          <w:rFonts w:hint="eastAsia"/>
          <w:snapToGrid w:val="0"/>
          <w:color w:val="auto"/>
          <w:szCs w:val="22"/>
          <w:highlight w:val="none"/>
          <w:u w:val="none"/>
          <w:lang w:eastAsia="zh-CN"/>
        </w:rPr>
        <w:t>的</w:t>
      </w:r>
      <w:r>
        <w:rPr>
          <w:rFonts w:hint="eastAsia"/>
          <w:snapToGrid w:val="0"/>
          <w:color w:val="auto"/>
          <w:szCs w:val="22"/>
          <w:highlight w:val="none"/>
          <w:u w:val="none"/>
          <w:lang w:val="en-US" w:eastAsia="zh-CN"/>
        </w:rPr>
        <w:t>30%</w:t>
      </w:r>
      <w:r>
        <w:rPr>
          <w:rFonts w:hint="eastAsia"/>
          <w:snapToGrid w:val="0"/>
          <w:color w:val="auto"/>
          <w:szCs w:val="22"/>
          <w:highlight w:val="none"/>
          <w:u w:val="none"/>
          <w:lang w:eastAsia="zh-Hans"/>
        </w:rPr>
        <w:t>）</w:t>
      </w:r>
      <w:r>
        <w:rPr>
          <w:rFonts w:hint="eastAsia"/>
          <w:snapToGrid w:val="0"/>
          <w:color w:val="auto"/>
          <w:szCs w:val="22"/>
          <w:highlight w:val="none"/>
          <w:lang w:eastAsia="zh-Hans"/>
        </w:rPr>
        <w:t>；</w:t>
      </w:r>
    </w:p>
    <w:p w14:paraId="391313AA">
      <w:pPr>
        <w:spacing w:before="0" w:after="0" w:line="480" w:lineRule="exact"/>
        <w:ind w:firstLine="480" w:firstLineChars="200"/>
        <w:rPr>
          <w:rFonts w:hint="eastAsia"/>
          <w:snapToGrid w:val="0"/>
          <w:color w:val="auto"/>
          <w:szCs w:val="22"/>
          <w:highlight w:val="none"/>
          <w:lang w:eastAsia="zh-Hans"/>
        </w:rPr>
      </w:pPr>
      <w:r>
        <w:rPr>
          <w:rFonts w:hint="eastAsia"/>
          <w:snapToGrid w:val="0"/>
          <w:color w:val="auto"/>
          <w:szCs w:val="22"/>
          <w:highlight w:val="none"/>
          <w:lang w:eastAsia="zh-Hans"/>
        </w:rPr>
        <w:t>第二期：</w:t>
      </w:r>
      <w:r>
        <w:rPr>
          <w:rFonts w:hint="eastAsia"/>
          <w:snapToGrid w:val="0"/>
          <w:color w:val="auto"/>
          <w:szCs w:val="22"/>
          <w:highlight w:val="none"/>
          <w:lang w:eastAsia="zh-CN"/>
        </w:rPr>
        <w:t>2026</w:t>
      </w:r>
      <w:r>
        <w:rPr>
          <w:rFonts w:hint="eastAsia"/>
          <w:snapToGrid w:val="0"/>
          <w:color w:val="auto"/>
          <w:szCs w:val="22"/>
          <w:highlight w:val="none"/>
          <w:lang w:eastAsia="zh-Hans"/>
        </w:rPr>
        <w:t>年</w:t>
      </w:r>
      <w:r>
        <w:rPr>
          <w:rFonts w:hint="eastAsia"/>
          <w:snapToGrid w:val="0"/>
          <w:color w:val="auto"/>
          <w:szCs w:val="22"/>
          <w:highlight w:val="none"/>
          <w:lang w:val="en-US" w:eastAsia="zh-CN"/>
        </w:rPr>
        <w:t>6</w:t>
      </w:r>
      <w:r>
        <w:rPr>
          <w:rFonts w:hint="eastAsia"/>
          <w:snapToGrid w:val="0"/>
          <w:color w:val="auto"/>
          <w:szCs w:val="22"/>
          <w:highlight w:val="none"/>
          <w:lang w:eastAsia="zh-Hans"/>
        </w:rPr>
        <w:t>月</w:t>
      </w:r>
      <w:r>
        <w:rPr>
          <w:rFonts w:hint="eastAsia"/>
          <w:snapToGrid w:val="0"/>
          <w:color w:val="auto"/>
          <w:szCs w:val="22"/>
          <w:highlight w:val="none"/>
          <w:lang w:val="en-US" w:eastAsia="zh-CN"/>
        </w:rPr>
        <w:t>15</w:t>
      </w:r>
      <w:r>
        <w:rPr>
          <w:rFonts w:hint="eastAsia"/>
          <w:snapToGrid w:val="0"/>
          <w:color w:val="auto"/>
          <w:szCs w:val="22"/>
          <w:highlight w:val="none"/>
          <w:lang w:eastAsia="zh-Hans"/>
        </w:rPr>
        <w:t>日前，乙方提供阶段性成果报告及成果文件并在深圳市南山区城市建设智能管理平台上传工作台账、甲方对乙方的抽查记录等电子资料，经甲方复核合格后，甲方在</w:t>
      </w:r>
      <w:r>
        <w:rPr>
          <w:rFonts w:hint="eastAsia"/>
          <w:snapToGrid w:val="0"/>
          <w:color w:val="auto"/>
          <w:szCs w:val="22"/>
          <w:highlight w:val="none"/>
          <w:lang w:eastAsia="zh-CN"/>
        </w:rPr>
        <w:t>2026</w:t>
      </w:r>
      <w:r>
        <w:rPr>
          <w:rFonts w:hint="eastAsia"/>
          <w:snapToGrid w:val="0"/>
          <w:color w:val="auto"/>
          <w:szCs w:val="22"/>
          <w:highlight w:val="none"/>
          <w:lang w:eastAsia="zh-Hans"/>
        </w:rPr>
        <w:t>年</w:t>
      </w:r>
      <w:r>
        <w:rPr>
          <w:rFonts w:hint="eastAsia"/>
          <w:snapToGrid w:val="0"/>
          <w:color w:val="auto"/>
          <w:szCs w:val="22"/>
          <w:highlight w:val="none"/>
          <w:lang w:eastAsia="zh-CN"/>
        </w:rPr>
        <w:t>6</w:t>
      </w:r>
      <w:r>
        <w:rPr>
          <w:rFonts w:hint="eastAsia"/>
          <w:snapToGrid w:val="0"/>
          <w:color w:val="auto"/>
          <w:szCs w:val="22"/>
          <w:highlight w:val="none"/>
          <w:lang w:eastAsia="zh-Hans"/>
        </w:rPr>
        <w:t>月30日前支付乙方人民币</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元整，大写</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（占总服务费用的20%）</w:t>
      </w:r>
      <w:r>
        <w:rPr>
          <w:rFonts w:hint="eastAsia"/>
          <w:snapToGrid w:val="0"/>
          <w:color w:val="auto"/>
          <w:szCs w:val="22"/>
          <w:highlight w:val="none"/>
          <w:lang w:eastAsia="zh-CN"/>
        </w:rPr>
        <w:t>，</w:t>
      </w:r>
      <w:r>
        <w:rPr>
          <w:rFonts w:hint="eastAsia"/>
          <w:snapToGrid w:val="0"/>
          <w:color w:val="auto"/>
          <w:szCs w:val="22"/>
          <w:highlight w:val="none"/>
          <w:lang w:val="en-US" w:eastAsia="zh-CN"/>
        </w:rPr>
        <w:t>若2026年6月30日前未满足复核合格条件的，付款时间相应顺延</w:t>
      </w:r>
      <w:r>
        <w:rPr>
          <w:rFonts w:hint="eastAsia"/>
          <w:snapToGrid w:val="0"/>
          <w:color w:val="auto"/>
          <w:szCs w:val="22"/>
          <w:highlight w:val="none"/>
          <w:lang w:eastAsia="zh-Hans"/>
        </w:rPr>
        <w:t>；</w:t>
      </w:r>
    </w:p>
    <w:p w14:paraId="25EF92DD">
      <w:pPr>
        <w:spacing w:before="0" w:after="0" w:line="480" w:lineRule="exact"/>
        <w:ind w:firstLine="480" w:firstLineChars="200"/>
        <w:rPr>
          <w:rFonts w:hint="eastAsia"/>
          <w:snapToGrid w:val="0"/>
          <w:color w:val="auto"/>
          <w:szCs w:val="22"/>
          <w:highlight w:val="none"/>
          <w:lang w:eastAsia="zh-Hans"/>
        </w:rPr>
      </w:pPr>
      <w:r>
        <w:rPr>
          <w:rFonts w:hint="eastAsia"/>
          <w:snapToGrid w:val="0"/>
          <w:color w:val="auto"/>
          <w:szCs w:val="22"/>
          <w:highlight w:val="none"/>
          <w:lang w:eastAsia="zh-Hans"/>
        </w:rPr>
        <w:t>第三期：服务期到期后15日内，乙方完成本项目全部服务内容由甲方进行验收并进行履约评价，履约评价表（报告）中要完整体现约定的服务内容绩效完成情况。验收通过且履约评价合格的，甲方在15日内向乙方支付合同服务费用人民币</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元整，大写</w:t>
      </w:r>
      <w:r>
        <w:rPr>
          <w:rFonts w:hint="eastAsia"/>
          <w:snapToGrid w:val="0"/>
          <w:color w:val="auto"/>
          <w:szCs w:val="22"/>
          <w:highlight w:val="none"/>
          <w:u w:val="single"/>
          <w:lang w:eastAsia="zh-Hans"/>
        </w:rPr>
        <w:t xml:space="preserve">         </w:t>
      </w:r>
      <w:r>
        <w:rPr>
          <w:rFonts w:hint="eastAsia"/>
          <w:snapToGrid w:val="0"/>
          <w:color w:val="auto"/>
          <w:szCs w:val="22"/>
          <w:highlight w:val="none"/>
          <w:lang w:eastAsia="zh-Hans"/>
        </w:rPr>
        <w:t>（占总服务费用的50%）。</w:t>
      </w:r>
    </w:p>
    <w:p w14:paraId="0452C0A1">
      <w:pPr>
        <w:spacing w:before="0" w:after="0" w:line="480" w:lineRule="exact"/>
        <w:ind w:firstLine="480" w:firstLineChars="200"/>
        <w:rPr>
          <w:rFonts w:hint="eastAsia" w:eastAsia="宋体"/>
          <w:snapToGrid w:val="0"/>
          <w:color w:val="auto"/>
          <w:szCs w:val="22"/>
          <w:highlight w:val="none"/>
          <w:lang w:val="en-US" w:eastAsia="zh-CN"/>
        </w:rPr>
      </w:pPr>
      <w:r>
        <w:rPr>
          <w:rFonts w:hint="eastAsia"/>
          <w:snapToGrid w:val="0"/>
          <w:color w:val="auto"/>
          <w:szCs w:val="22"/>
          <w:highlight w:val="none"/>
          <w:lang w:eastAsia="zh-Hans"/>
        </w:rPr>
        <w:t>合同期间，甲方协助乙方办理</w:t>
      </w:r>
      <w:r>
        <w:rPr>
          <w:rFonts w:hint="eastAsia"/>
          <w:snapToGrid w:val="0"/>
          <w:color w:val="auto"/>
          <w:szCs w:val="22"/>
          <w:highlight w:val="none"/>
          <w:lang w:eastAsia="zh-CN"/>
        </w:rPr>
        <w:t>项目服务</w:t>
      </w:r>
      <w:r>
        <w:rPr>
          <w:rFonts w:hint="eastAsia"/>
          <w:snapToGrid w:val="0"/>
          <w:color w:val="auto"/>
          <w:szCs w:val="22"/>
          <w:highlight w:val="none"/>
          <w:lang w:eastAsia="zh-Hans"/>
        </w:rPr>
        <w:t>人员南山区机关食堂就餐服务，</w:t>
      </w:r>
      <w:r>
        <w:rPr>
          <w:rFonts w:hint="eastAsia"/>
          <w:snapToGrid w:val="0"/>
          <w:color w:val="auto"/>
          <w:szCs w:val="22"/>
          <w:highlight w:val="none"/>
          <w:lang w:eastAsia="zh-CN"/>
        </w:rPr>
        <w:t>项目服务</w:t>
      </w:r>
      <w:r>
        <w:rPr>
          <w:rFonts w:hint="eastAsia"/>
          <w:snapToGrid w:val="0"/>
          <w:color w:val="auto"/>
          <w:szCs w:val="22"/>
          <w:highlight w:val="none"/>
          <w:lang w:eastAsia="zh-Hans"/>
        </w:rPr>
        <w:t>人员在南山机关食堂所产生的伙食补助费用由乙方承担，由甲方代为支付，伙食补充标准费用为990/月/人（</w:t>
      </w:r>
      <w:r>
        <w:rPr>
          <w:rFonts w:hint="eastAsia"/>
          <w:snapToGrid w:val="0"/>
          <w:color w:val="auto"/>
          <w:szCs w:val="22"/>
          <w:highlight w:val="none"/>
          <w:lang w:val="en-US" w:eastAsia="zh-CN"/>
        </w:rPr>
        <w:t>具体以南山区机关后勤服务中心标准为准</w:t>
      </w:r>
      <w:r>
        <w:rPr>
          <w:rFonts w:hint="eastAsia"/>
          <w:snapToGrid w:val="0"/>
          <w:color w:val="auto"/>
          <w:szCs w:val="22"/>
          <w:highlight w:val="none"/>
          <w:lang w:eastAsia="zh-Hans"/>
        </w:rPr>
        <w:t>）。乙方收到甲方的结算要求后，于5个工作日内将费用结算给甲方（</w:t>
      </w:r>
      <w:r>
        <w:rPr>
          <w:rFonts w:hint="eastAsia"/>
          <w:snapToGrid w:val="0"/>
          <w:color w:val="auto"/>
          <w:szCs w:val="22"/>
          <w:highlight w:val="none"/>
          <w:lang w:val="en-US" w:eastAsia="zh-CN"/>
        </w:rPr>
        <w:t>开户行：</w:t>
      </w:r>
      <w:r>
        <w:rPr>
          <w:rFonts w:hint="eastAsia"/>
          <w:snapToGrid w:val="0"/>
          <w:color w:val="auto"/>
          <w:szCs w:val="22"/>
          <w:highlight w:val="none"/>
          <w:u w:val="single"/>
          <w:lang w:val="en-US" w:eastAsia="zh-CN"/>
        </w:rPr>
        <w:t xml:space="preserve">     </w:t>
      </w:r>
      <w:r>
        <w:rPr>
          <w:rFonts w:hint="eastAsia"/>
          <w:snapToGrid w:val="0"/>
          <w:color w:val="auto"/>
          <w:szCs w:val="22"/>
          <w:highlight w:val="none"/>
          <w:lang w:val="en-US" w:eastAsia="zh-CN"/>
        </w:rPr>
        <w:t>，户名：</w:t>
      </w:r>
      <w:r>
        <w:rPr>
          <w:rFonts w:hint="eastAsia"/>
          <w:snapToGrid w:val="0"/>
          <w:color w:val="auto"/>
          <w:szCs w:val="22"/>
          <w:highlight w:val="none"/>
          <w:u w:val="single"/>
          <w:lang w:val="en-US" w:eastAsia="zh-CN"/>
        </w:rPr>
        <w:t>深圳市南山区住房和建设局</w:t>
      </w:r>
      <w:r>
        <w:rPr>
          <w:rFonts w:hint="eastAsia"/>
          <w:snapToGrid w:val="0"/>
          <w:color w:val="auto"/>
          <w:szCs w:val="22"/>
          <w:highlight w:val="none"/>
          <w:lang w:val="en-US" w:eastAsia="zh-CN"/>
        </w:rPr>
        <w:t>，账号：</w:t>
      </w:r>
      <w:r>
        <w:rPr>
          <w:rFonts w:hint="eastAsia"/>
          <w:snapToGrid w:val="0"/>
          <w:color w:val="auto"/>
          <w:szCs w:val="22"/>
          <w:highlight w:val="none"/>
          <w:u w:val="single"/>
          <w:lang w:val="en-US" w:eastAsia="zh-CN"/>
        </w:rPr>
        <w:t xml:space="preserve">         </w:t>
      </w:r>
      <w:r>
        <w:rPr>
          <w:rFonts w:hint="eastAsia"/>
          <w:snapToGrid w:val="0"/>
          <w:color w:val="auto"/>
          <w:szCs w:val="22"/>
          <w:highlight w:val="none"/>
          <w:lang w:eastAsia="zh-Hans"/>
        </w:rPr>
        <w:t>）</w:t>
      </w:r>
      <w:r>
        <w:rPr>
          <w:rFonts w:hint="eastAsia"/>
          <w:snapToGrid w:val="0"/>
          <w:color w:val="auto"/>
          <w:szCs w:val="22"/>
          <w:highlight w:val="none"/>
          <w:lang w:eastAsia="zh-CN"/>
        </w:rPr>
        <w:t>。</w:t>
      </w:r>
    </w:p>
    <w:p w14:paraId="63357920">
      <w:pPr>
        <w:keepNext w:val="0"/>
        <w:keepLines w:val="0"/>
        <w:pageBreakBefore w:val="0"/>
        <w:widowControl/>
        <w:kinsoku/>
        <w:wordWrap/>
        <w:overflowPunct/>
        <w:topLinePunct w:val="0"/>
        <w:autoSpaceDE/>
        <w:autoSpaceDN/>
        <w:bidi w:val="0"/>
        <w:adjustRightInd/>
        <w:snapToGrid/>
        <w:spacing w:before="0" w:after="0" w:line="480" w:lineRule="exact"/>
        <w:ind w:firstLine="480" w:firstLineChars="200"/>
        <w:textAlignment w:val="auto"/>
        <w:rPr>
          <w:rFonts w:hint="eastAsia" w:eastAsia="宋体"/>
          <w:snapToGrid w:val="0"/>
          <w:color w:val="auto"/>
          <w:szCs w:val="22"/>
          <w:highlight w:val="none"/>
          <w:lang w:eastAsia="zh-CN"/>
        </w:rPr>
      </w:pPr>
      <w:r>
        <w:rPr>
          <w:rFonts w:hint="eastAsia"/>
          <w:snapToGrid w:val="0"/>
          <w:color w:val="auto"/>
          <w:szCs w:val="22"/>
          <w:highlight w:val="none"/>
          <w:lang w:eastAsia="zh-Hans"/>
        </w:rPr>
        <w:t>备注：以上金额是乙方正常履约情况下的支付金额，若履行过程中乙方出现本合同所述违约情形的，当期应付合同服务费用须扣除相应违约金后再行支付</w:t>
      </w:r>
      <w:r>
        <w:rPr>
          <w:rFonts w:hint="eastAsia"/>
          <w:snapToGrid w:val="0"/>
          <w:color w:val="auto"/>
          <w:szCs w:val="22"/>
          <w:highlight w:val="none"/>
          <w:lang w:eastAsia="zh-CN"/>
        </w:rPr>
        <w:t>。</w:t>
      </w:r>
    </w:p>
    <w:p w14:paraId="65639153">
      <w:pPr>
        <w:spacing w:before="0" w:after="0" w:line="480" w:lineRule="exact"/>
        <w:ind w:left="0" w:leftChars="0" w:firstLine="480" w:firstLineChars="200"/>
        <w:rPr>
          <w:snapToGrid w:val="0"/>
          <w:color w:val="auto"/>
          <w:szCs w:val="22"/>
          <w:highlight w:val="none"/>
          <w:lang w:eastAsia="zh-Hans"/>
        </w:rPr>
      </w:pPr>
      <w:r>
        <w:rPr>
          <w:rFonts w:hint="eastAsia"/>
          <w:snapToGrid w:val="0"/>
          <w:color w:val="auto"/>
          <w:szCs w:val="22"/>
          <w:highlight w:val="none"/>
          <w:lang w:eastAsia="zh-Hans"/>
        </w:rPr>
        <w:t>除双方重新达成合同外，本合同履行过程中的合同服务费用支付均通过本合同中指定的乙方银行账户进行，乙方向甲方申请付款前，需提供等额增值税发票，否则甲方有权拒付款项</w:t>
      </w:r>
      <w:r>
        <w:rPr>
          <w:snapToGrid w:val="0"/>
          <w:color w:val="auto"/>
          <w:szCs w:val="22"/>
          <w:highlight w:val="none"/>
          <w:lang w:eastAsia="zh-Hans"/>
        </w:rPr>
        <w:t>。</w:t>
      </w:r>
    </w:p>
    <w:p w14:paraId="300E18B0">
      <w:pPr>
        <w:spacing w:before="0" w:after="0" w:line="480" w:lineRule="exact"/>
        <w:ind w:left="0" w:leftChars="0" w:firstLine="480" w:firstLineChars="200"/>
        <w:rPr>
          <w:snapToGrid w:val="0"/>
          <w:color w:val="auto"/>
          <w:szCs w:val="22"/>
          <w:highlight w:val="none"/>
        </w:rPr>
      </w:pPr>
      <w:r>
        <w:rPr>
          <w:rFonts w:hint="eastAsia"/>
          <w:snapToGrid w:val="0"/>
          <w:color w:val="auto"/>
          <w:szCs w:val="22"/>
          <w:highlight w:val="none"/>
        </w:rPr>
        <w:t>乙方指定的收款银行账户信息如下：</w:t>
      </w:r>
    </w:p>
    <w:p w14:paraId="3923A018">
      <w:pPr>
        <w:spacing w:before="0" w:after="0" w:line="480" w:lineRule="exact"/>
        <w:ind w:left="0" w:leftChars="0" w:firstLine="480" w:firstLineChars="200"/>
        <w:rPr>
          <w:snapToGrid w:val="0"/>
          <w:color w:val="auto"/>
          <w:szCs w:val="22"/>
          <w:highlight w:val="none"/>
          <w:u w:val="single"/>
        </w:rPr>
      </w:pPr>
      <w:r>
        <w:rPr>
          <w:rFonts w:hint="eastAsia"/>
          <w:snapToGrid w:val="0"/>
          <w:color w:val="auto"/>
          <w:szCs w:val="22"/>
          <w:highlight w:val="none"/>
        </w:rPr>
        <w:t>开户银行：</w:t>
      </w:r>
      <w:r>
        <w:rPr>
          <w:rFonts w:hint="eastAsia"/>
          <w:snapToGrid w:val="0"/>
          <w:color w:val="auto"/>
          <w:szCs w:val="22"/>
          <w:highlight w:val="none"/>
          <w:u w:val="single"/>
        </w:rPr>
        <w:t xml:space="preserve"> </w:t>
      </w:r>
      <w:r>
        <w:rPr>
          <w:rFonts w:hint="eastAsia"/>
          <w:snapToGrid w:val="0"/>
          <w:color w:val="auto"/>
          <w:szCs w:val="22"/>
          <w:highlight w:val="none"/>
          <w:u w:val="single"/>
          <w:lang w:val="en-US" w:eastAsia="zh-CN"/>
        </w:rPr>
        <w:t xml:space="preserve">                        </w:t>
      </w:r>
      <w:r>
        <w:rPr>
          <w:rFonts w:hint="eastAsia"/>
          <w:snapToGrid w:val="0"/>
          <w:color w:val="auto"/>
          <w:szCs w:val="22"/>
          <w:highlight w:val="none"/>
          <w:u w:val="single"/>
        </w:rPr>
        <w:t xml:space="preserve">       </w:t>
      </w:r>
    </w:p>
    <w:p w14:paraId="4DDD22E7">
      <w:pPr>
        <w:spacing w:before="0" w:after="0" w:line="480" w:lineRule="exact"/>
        <w:ind w:left="0" w:leftChars="0" w:firstLine="480" w:firstLineChars="200"/>
        <w:rPr>
          <w:snapToGrid w:val="0"/>
          <w:color w:val="auto"/>
          <w:szCs w:val="22"/>
          <w:highlight w:val="none"/>
          <w:u w:val="single"/>
        </w:rPr>
      </w:pPr>
      <w:r>
        <w:rPr>
          <w:rFonts w:hint="eastAsia"/>
          <w:snapToGrid w:val="0"/>
          <w:color w:val="auto"/>
          <w:szCs w:val="22"/>
          <w:highlight w:val="none"/>
        </w:rPr>
        <w:t>户名：</w:t>
      </w:r>
      <w:r>
        <w:rPr>
          <w:rFonts w:hint="eastAsia"/>
          <w:snapToGrid w:val="0"/>
          <w:color w:val="auto"/>
          <w:szCs w:val="22"/>
          <w:highlight w:val="none"/>
          <w:u w:val="single"/>
        </w:rPr>
        <w:t xml:space="preserve"> </w:t>
      </w:r>
      <w:r>
        <w:rPr>
          <w:rFonts w:hint="eastAsia"/>
          <w:snapToGrid w:val="0"/>
          <w:color w:val="auto"/>
          <w:szCs w:val="22"/>
          <w:highlight w:val="none"/>
          <w:u w:val="single"/>
          <w:lang w:val="en-US" w:eastAsia="zh-CN"/>
        </w:rPr>
        <w:t xml:space="preserve">                                </w:t>
      </w:r>
      <w:r>
        <w:rPr>
          <w:rFonts w:hint="eastAsia"/>
          <w:snapToGrid w:val="0"/>
          <w:color w:val="auto"/>
          <w:szCs w:val="22"/>
          <w:highlight w:val="none"/>
          <w:u w:val="single"/>
        </w:rPr>
        <w:t xml:space="preserve">   </w:t>
      </w:r>
    </w:p>
    <w:p w14:paraId="0E2612A7">
      <w:pPr>
        <w:spacing w:before="0" w:after="0" w:line="480" w:lineRule="exact"/>
        <w:ind w:left="0" w:leftChars="0" w:firstLine="480" w:firstLineChars="200"/>
        <w:rPr>
          <w:snapToGrid w:val="0"/>
          <w:color w:val="auto"/>
          <w:szCs w:val="22"/>
          <w:highlight w:val="none"/>
          <w:u w:val="single"/>
        </w:rPr>
      </w:pPr>
      <w:r>
        <w:rPr>
          <w:rFonts w:hint="eastAsia"/>
          <w:snapToGrid w:val="0"/>
          <w:color w:val="auto"/>
          <w:szCs w:val="22"/>
          <w:highlight w:val="none"/>
        </w:rPr>
        <w:t>银行账号：</w:t>
      </w:r>
      <w:r>
        <w:rPr>
          <w:rFonts w:hint="eastAsia"/>
          <w:snapToGrid w:val="0"/>
          <w:color w:val="auto"/>
          <w:szCs w:val="22"/>
          <w:highlight w:val="none"/>
          <w:u w:val="single"/>
        </w:rPr>
        <w:t xml:space="preserve"> </w:t>
      </w:r>
      <w:r>
        <w:rPr>
          <w:rFonts w:hint="eastAsia"/>
          <w:snapToGrid w:val="0"/>
          <w:color w:val="auto"/>
          <w:szCs w:val="22"/>
          <w:highlight w:val="none"/>
          <w:u w:val="single"/>
          <w:lang w:val="en-US" w:eastAsia="zh-CN"/>
        </w:rPr>
        <w:t xml:space="preserve">                    </w:t>
      </w:r>
      <w:r>
        <w:rPr>
          <w:rFonts w:hint="eastAsia"/>
          <w:snapToGrid w:val="0"/>
          <w:color w:val="auto"/>
          <w:szCs w:val="22"/>
          <w:highlight w:val="none"/>
          <w:u w:val="single"/>
        </w:rPr>
        <w:t xml:space="preserve">           </w:t>
      </w:r>
    </w:p>
    <w:p w14:paraId="7D79FE6B">
      <w:pPr>
        <w:spacing w:line="480" w:lineRule="exact"/>
        <w:ind w:firstLine="482" w:firstLineChars="200"/>
        <w:rPr>
          <w:rFonts w:hint="eastAsia"/>
          <w:b/>
          <w:snapToGrid w:val="0"/>
          <w:color w:val="auto"/>
          <w:highlight w:val="none"/>
        </w:rPr>
      </w:pPr>
    </w:p>
    <w:p w14:paraId="1E98D3EC">
      <w:pPr>
        <w:spacing w:line="480" w:lineRule="exact"/>
        <w:ind w:firstLine="482" w:firstLineChars="200"/>
        <w:rPr>
          <w:snapToGrid w:val="0"/>
          <w:color w:val="auto"/>
          <w:highlight w:val="none"/>
        </w:rPr>
      </w:pPr>
      <w:r>
        <w:rPr>
          <w:rFonts w:hint="eastAsia"/>
          <w:b/>
          <w:snapToGrid w:val="0"/>
          <w:color w:val="auto"/>
          <w:highlight w:val="none"/>
        </w:rPr>
        <w:t>第七条</w:t>
      </w:r>
      <w:r>
        <w:rPr>
          <w:b/>
          <w:snapToGrid w:val="0"/>
          <w:color w:val="auto"/>
          <w:highlight w:val="none"/>
        </w:rPr>
        <w:t xml:space="preserve"> </w:t>
      </w:r>
      <w:r>
        <w:rPr>
          <w:rFonts w:hint="eastAsia"/>
          <w:b/>
          <w:bCs w:val="0"/>
          <w:snapToGrid w:val="0"/>
          <w:color w:val="auto"/>
          <w:highlight w:val="none"/>
        </w:rPr>
        <w:t>保密条款</w:t>
      </w:r>
    </w:p>
    <w:p w14:paraId="38F4A829">
      <w:pPr>
        <w:spacing w:line="480" w:lineRule="exact"/>
        <w:ind w:firstLine="480" w:firstLineChars="200"/>
        <w:rPr>
          <w:rFonts w:hint="eastAsia"/>
          <w:color w:val="auto"/>
          <w:szCs w:val="21"/>
          <w:highlight w:val="none"/>
        </w:rPr>
      </w:pPr>
      <w:r>
        <w:rPr>
          <w:rFonts w:hint="eastAsia"/>
          <w:color w:val="auto"/>
          <w:szCs w:val="21"/>
          <w:highlight w:val="none"/>
        </w:rPr>
        <w:t>1、任何一方在本合同履行的过程中，或为履行本合同的需要，对本合同和相关附件的所有信息内容及首次从对方所获得的、有关对方或属于对方的内部或秘密信息、未经对方同意，不得泄露给任何第三方。</w:t>
      </w:r>
    </w:p>
    <w:p w14:paraId="4365AE89">
      <w:pPr>
        <w:spacing w:line="480" w:lineRule="exact"/>
        <w:ind w:firstLine="480" w:firstLineChars="200"/>
        <w:rPr>
          <w:rFonts w:hint="eastAsia"/>
          <w:color w:val="auto"/>
          <w:szCs w:val="21"/>
          <w:highlight w:val="none"/>
        </w:rPr>
      </w:pPr>
      <w:r>
        <w:rPr>
          <w:rFonts w:hint="eastAsia"/>
          <w:color w:val="auto"/>
          <w:szCs w:val="21"/>
          <w:highlight w:val="none"/>
        </w:rPr>
        <w:t>2、获取对方内部或秘密信息的一方，应当采取适当有效的方式保护所获取的信息；除非有对方的书面许可，或该信息已被对方认为不再是内部或秘密信息，或已在社会上公开，该所获取的信息不得对外透露。</w:t>
      </w:r>
    </w:p>
    <w:p w14:paraId="6AA4D737">
      <w:pPr>
        <w:spacing w:line="480" w:lineRule="exact"/>
        <w:ind w:firstLine="480" w:firstLineChars="200"/>
        <w:rPr>
          <w:rFonts w:hint="eastAsia"/>
          <w:color w:val="auto"/>
          <w:szCs w:val="21"/>
          <w:highlight w:val="none"/>
        </w:rPr>
      </w:pPr>
      <w:r>
        <w:rPr>
          <w:rFonts w:hint="eastAsia"/>
          <w:color w:val="auto"/>
          <w:szCs w:val="21"/>
          <w:highlight w:val="none"/>
        </w:rPr>
        <w:t>3、乙方对服务的项目名称、服务内容及因而产生的所有资料和台账，不得泄露给任何第三方。</w:t>
      </w:r>
    </w:p>
    <w:p w14:paraId="38A9EE60">
      <w:pPr>
        <w:spacing w:line="480" w:lineRule="exact"/>
        <w:ind w:firstLine="480" w:firstLineChars="200"/>
        <w:rPr>
          <w:rFonts w:hint="eastAsia" w:eastAsia="宋体"/>
          <w:color w:val="auto"/>
          <w:szCs w:val="21"/>
          <w:highlight w:val="none"/>
          <w:lang w:eastAsia="zh-CN"/>
        </w:rPr>
      </w:pPr>
      <w:r>
        <w:rPr>
          <w:rFonts w:hint="eastAsia"/>
          <w:color w:val="auto"/>
          <w:szCs w:val="21"/>
          <w:highlight w:val="none"/>
        </w:rPr>
        <w:t>4、若因乙方原因导致甲方的信息数据或资料被非法窃取或利用，乙方必须承担由此造成的一切损失，甲方有权解除本合同，乙方应按合同服务费用的20%向甲方支付违约金</w:t>
      </w:r>
      <w:r>
        <w:rPr>
          <w:rFonts w:hint="eastAsia"/>
          <w:color w:val="auto"/>
          <w:szCs w:val="21"/>
          <w:highlight w:val="none"/>
          <w:lang w:eastAsia="zh-CN"/>
        </w:rPr>
        <w:t>。</w:t>
      </w:r>
    </w:p>
    <w:p w14:paraId="4E896A7D">
      <w:pPr>
        <w:spacing w:line="480" w:lineRule="exact"/>
        <w:ind w:firstLine="480" w:firstLineChars="200"/>
        <w:rPr>
          <w:rFonts w:hint="eastAsia"/>
          <w:color w:val="auto"/>
          <w:szCs w:val="21"/>
          <w:highlight w:val="none"/>
        </w:rPr>
      </w:pPr>
      <w:r>
        <w:rPr>
          <w:rFonts w:hint="eastAsia"/>
          <w:color w:val="auto"/>
          <w:szCs w:val="21"/>
          <w:highlight w:val="none"/>
        </w:rPr>
        <w:t>5、本合同中涉及的秘密信息保密期限为10年，国家有规定或是甲方认为需要延长保密期限的，乙方必须无条件同意。</w:t>
      </w:r>
    </w:p>
    <w:p w14:paraId="0B97F401">
      <w:pPr>
        <w:spacing w:line="480" w:lineRule="exact"/>
        <w:ind w:firstLine="480" w:firstLineChars="200"/>
        <w:rPr>
          <w:rFonts w:hint="eastAsia"/>
          <w:color w:val="auto"/>
          <w:szCs w:val="21"/>
          <w:highlight w:val="none"/>
        </w:rPr>
      </w:pPr>
      <w:r>
        <w:rPr>
          <w:rFonts w:hint="eastAsia"/>
          <w:color w:val="auto"/>
          <w:szCs w:val="21"/>
          <w:highlight w:val="none"/>
        </w:rPr>
        <w:t>6、任何一方违反本合同规定的其所在保密方面的义务，违约方应按本合同服务费用的20%支付赔偿金，并承担由此造成的其他一切损失。本赔偿金的支付义务是独立于其他违约义务的。</w:t>
      </w:r>
    </w:p>
    <w:p w14:paraId="7008C1C9">
      <w:pPr>
        <w:spacing w:line="480" w:lineRule="exact"/>
        <w:ind w:firstLine="482" w:firstLineChars="200"/>
        <w:rPr>
          <w:rFonts w:hint="eastAsia"/>
          <w:b/>
          <w:bCs/>
          <w:snapToGrid w:val="0"/>
          <w:color w:val="auto"/>
          <w:highlight w:val="none"/>
        </w:rPr>
      </w:pPr>
      <w:r>
        <w:rPr>
          <w:rFonts w:hint="eastAsia"/>
          <w:b/>
          <w:bCs/>
          <w:snapToGrid w:val="0"/>
          <w:color w:val="auto"/>
          <w:highlight w:val="none"/>
        </w:rPr>
        <w:t>第八条 权利义务</w:t>
      </w:r>
    </w:p>
    <w:p w14:paraId="3C0F2772">
      <w:pPr>
        <w:spacing w:line="480" w:lineRule="exact"/>
        <w:ind w:firstLine="480" w:firstLineChars="200"/>
        <w:rPr>
          <w:rFonts w:hint="eastAsia"/>
          <w:color w:val="auto"/>
          <w:szCs w:val="21"/>
          <w:highlight w:val="none"/>
        </w:rPr>
      </w:pPr>
      <w:r>
        <w:rPr>
          <w:rFonts w:hint="eastAsia"/>
          <w:color w:val="auto"/>
          <w:szCs w:val="21"/>
          <w:highlight w:val="none"/>
        </w:rPr>
        <w:t>1、甲方权利</w:t>
      </w:r>
    </w:p>
    <w:p w14:paraId="41970A25">
      <w:pPr>
        <w:spacing w:line="480" w:lineRule="exact"/>
        <w:ind w:firstLine="480" w:firstLineChars="200"/>
        <w:rPr>
          <w:rFonts w:hint="eastAsia"/>
          <w:color w:val="auto"/>
          <w:szCs w:val="21"/>
          <w:highlight w:val="none"/>
        </w:rPr>
      </w:pPr>
      <w:r>
        <w:rPr>
          <w:rFonts w:hint="eastAsia"/>
          <w:color w:val="auto"/>
          <w:szCs w:val="21"/>
          <w:highlight w:val="none"/>
        </w:rPr>
        <w:t>甲方有权根据本合同及甲方制定的各项规章制度、操作流程和技术规范的内容，监督乙方对合同的履行情况及工作质量实施情况,并以此对乙方所提供的服务进行履约评价。</w:t>
      </w:r>
    </w:p>
    <w:p w14:paraId="48F126E1">
      <w:pPr>
        <w:spacing w:line="480" w:lineRule="exact"/>
        <w:ind w:firstLine="480" w:firstLineChars="200"/>
        <w:rPr>
          <w:rFonts w:hint="eastAsia"/>
          <w:color w:val="auto"/>
          <w:szCs w:val="21"/>
          <w:highlight w:val="none"/>
        </w:rPr>
      </w:pPr>
      <w:r>
        <w:rPr>
          <w:rFonts w:hint="eastAsia"/>
          <w:color w:val="auto"/>
          <w:szCs w:val="21"/>
          <w:highlight w:val="none"/>
        </w:rPr>
        <w:t>甲方有权监督乙方项目服务人员工作质量和效率,并根据实际工作情况，要求乙方及时更换不合格的服务人员。</w:t>
      </w:r>
    </w:p>
    <w:p w14:paraId="2AF9C78B">
      <w:pPr>
        <w:spacing w:line="480" w:lineRule="exact"/>
        <w:ind w:firstLine="480" w:firstLineChars="200"/>
        <w:rPr>
          <w:rFonts w:hint="eastAsia"/>
          <w:color w:val="auto"/>
          <w:szCs w:val="21"/>
          <w:highlight w:val="none"/>
        </w:rPr>
      </w:pPr>
      <w:r>
        <w:rPr>
          <w:rFonts w:hint="eastAsia"/>
          <w:color w:val="auto"/>
          <w:szCs w:val="21"/>
          <w:highlight w:val="none"/>
        </w:rPr>
        <w:t>因政府财政预算和上级部门要求等第三方导致的原因，甲方在征得乙方书面同意的前提下，可根据实际工作要求调整合同工作内容、服务时间和服务小组人员及数量，并相应的调整合同费用和付款方式或者取消合同。</w:t>
      </w:r>
    </w:p>
    <w:p w14:paraId="0431CDB5">
      <w:pPr>
        <w:spacing w:line="480" w:lineRule="exact"/>
        <w:ind w:firstLine="480" w:firstLineChars="200"/>
        <w:rPr>
          <w:rFonts w:hint="eastAsia"/>
          <w:color w:val="auto"/>
          <w:szCs w:val="21"/>
          <w:highlight w:val="none"/>
        </w:rPr>
      </w:pPr>
      <w:r>
        <w:rPr>
          <w:rFonts w:hint="eastAsia"/>
          <w:color w:val="auto"/>
          <w:szCs w:val="21"/>
          <w:highlight w:val="none"/>
        </w:rPr>
        <w:t>2、甲方义务</w:t>
      </w:r>
    </w:p>
    <w:p w14:paraId="24E34546">
      <w:pPr>
        <w:spacing w:line="480" w:lineRule="exact"/>
        <w:ind w:firstLine="480" w:firstLineChars="200"/>
        <w:rPr>
          <w:rFonts w:hint="eastAsia"/>
          <w:color w:val="auto"/>
          <w:szCs w:val="21"/>
          <w:highlight w:val="none"/>
        </w:rPr>
      </w:pPr>
      <w:r>
        <w:rPr>
          <w:rFonts w:hint="eastAsia"/>
          <w:color w:val="auto"/>
          <w:szCs w:val="21"/>
          <w:highlight w:val="none"/>
        </w:rPr>
        <w:t>甲方负责协调相关单位给予便利支持和配合，并统筹安排工作进度。</w:t>
      </w:r>
    </w:p>
    <w:p w14:paraId="267CB8DE">
      <w:pPr>
        <w:spacing w:line="480" w:lineRule="exact"/>
        <w:ind w:firstLine="480" w:firstLineChars="200"/>
        <w:rPr>
          <w:rFonts w:hint="eastAsia"/>
          <w:color w:val="auto"/>
          <w:szCs w:val="21"/>
          <w:highlight w:val="none"/>
        </w:rPr>
      </w:pPr>
      <w:r>
        <w:rPr>
          <w:rFonts w:hint="eastAsia"/>
          <w:color w:val="auto"/>
          <w:szCs w:val="21"/>
          <w:highlight w:val="none"/>
        </w:rPr>
        <w:t>甲方应当按照本合同约定按时向乙方支付合同服务费用。</w:t>
      </w:r>
    </w:p>
    <w:p w14:paraId="5009EC25">
      <w:pPr>
        <w:spacing w:line="480" w:lineRule="exact"/>
        <w:ind w:firstLine="480" w:firstLineChars="200"/>
        <w:rPr>
          <w:rFonts w:hint="eastAsia"/>
          <w:color w:val="auto"/>
          <w:szCs w:val="21"/>
          <w:highlight w:val="none"/>
        </w:rPr>
      </w:pPr>
      <w:r>
        <w:rPr>
          <w:rFonts w:hint="eastAsia"/>
          <w:color w:val="auto"/>
          <w:szCs w:val="21"/>
          <w:highlight w:val="none"/>
        </w:rPr>
        <w:t>甲方指定</w:t>
      </w:r>
      <w:r>
        <w:rPr>
          <w:rFonts w:hint="eastAsia"/>
          <w:color w:val="auto"/>
          <w:szCs w:val="21"/>
          <w:highlight w:val="none"/>
          <w:u w:val="single"/>
          <w:lang w:val="en-US" w:eastAsia="zh-CN"/>
        </w:rPr>
        <w:t xml:space="preserve">   </w:t>
      </w:r>
      <w:r>
        <w:rPr>
          <w:rFonts w:hint="eastAsia"/>
          <w:color w:val="auto"/>
          <w:szCs w:val="21"/>
          <w:highlight w:val="none"/>
        </w:rPr>
        <w:t>全权代表甲方作为本项目联系人，与乙方专项对接人建立协作关系，负责转达甲方的指示和要求，并根据乙方要求及时提供文件和资料等。甲方更换联系人应当及时通知乙方。</w:t>
      </w:r>
    </w:p>
    <w:p w14:paraId="3D1B098F">
      <w:pPr>
        <w:spacing w:line="480" w:lineRule="exact"/>
        <w:ind w:firstLine="480" w:firstLineChars="200"/>
        <w:rPr>
          <w:rFonts w:hint="eastAsia"/>
          <w:color w:val="auto"/>
          <w:szCs w:val="21"/>
          <w:highlight w:val="none"/>
        </w:rPr>
      </w:pPr>
      <w:r>
        <w:rPr>
          <w:rFonts w:hint="eastAsia"/>
          <w:color w:val="auto"/>
          <w:szCs w:val="21"/>
          <w:highlight w:val="none"/>
        </w:rPr>
        <w:t>3、乙方权利</w:t>
      </w:r>
    </w:p>
    <w:p w14:paraId="78E15313">
      <w:pPr>
        <w:spacing w:line="480" w:lineRule="exact"/>
        <w:ind w:firstLine="480" w:firstLineChars="200"/>
        <w:rPr>
          <w:rFonts w:hint="eastAsia"/>
          <w:color w:val="auto"/>
          <w:szCs w:val="21"/>
          <w:highlight w:val="none"/>
        </w:rPr>
      </w:pPr>
      <w:r>
        <w:rPr>
          <w:rFonts w:hint="eastAsia"/>
          <w:color w:val="auto"/>
          <w:szCs w:val="21"/>
          <w:highlight w:val="none"/>
        </w:rPr>
        <w:t>乙方有权按照本合同约定要求甲方按时足额支付合同服务费用。</w:t>
      </w:r>
    </w:p>
    <w:p w14:paraId="554FD1EB">
      <w:pPr>
        <w:spacing w:line="480" w:lineRule="exact"/>
        <w:ind w:firstLine="480" w:firstLineChars="200"/>
        <w:rPr>
          <w:rFonts w:hint="eastAsia"/>
          <w:color w:val="auto"/>
          <w:szCs w:val="21"/>
          <w:highlight w:val="none"/>
        </w:rPr>
      </w:pPr>
      <w:r>
        <w:rPr>
          <w:rFonts w:hint="eastAsia"/>
          <w:color w:val="auto"/>
          <w:szCs w:val="21"/>
          <w:highlight w:val="none"/>
        </w:rPr>
        <w:t>乙方在开展工作过程中需要甲方协调相关单位的，有权要求甲方予以配合并提供便利。</w:t>
      </w:r>
    </w:p>
    <w:p w14:paraId="6C724B42">
      <w:pPr>
        <w:spacing w:line="480" w:lineRule="exact"/>
        <w:ind w:firstLine="480" w:firstLineChars="200"/>
        <w:rPr>
          <w:rFonts w:hint="eastAsia"/>
          <w:color w:val="auto"/>
          <w:szCs w:val="21"/>
          <w:highlight w:val="none"/>
        </w:rPr>
      </w:pPr>
      <w:r>
        <w:rPr>
          <w:rFonts w:hint="eastAsia"/>
          <w:color w:val="auto"/>
          <w:szCs w:val="21"/>
          <w:highlight w:val="none"/>
        </w:rPr>
        <w:t>4、乙方的义务</w:t>
      </w:r>
    </w:p>
    <w:p w14:paraId="362AC1A5">
      <w:pPr>
        <w:spacing w:line="480" w:lineRule="exact"/>
        <w:ind w:firstLine="480" w:firstLineChars="200"/>
        <w:rPr>
          <w:rFonts w:hint="eastAsia"/>
          <w:color w:val="auto"/>
          <w:szCs w:val="21"/>
          <w:highlight w:val="none"/>
        </w:rPr>
      </w:pPr>
      <w:r>
        <w:rPr>
          <w:rFonts w:hint="eastAsia"/>
          <w:color w:val="auto"/>
          <w:szCs w:val="21"/>
          <w:highlight w:val="none"/>
        </w:rPr>
        <w:t>乙方承诺并保证具备履行本合同服务事项的各项法定资格、并提供相关证明文件。</w:t>
      </w:r>
    </w:p>
    <w:p w14:paraId="064C1838">
      <w:pPr>
        <w:spacing w:line="480" w:lineRule="exact"/>
        <w:ind w:firstLine="480" w:firstLineChars="200"/>
        <w:rPr>
          <w:rFonts w:hint="eastAsia"/>
          <w:color w:val="auto"/>
          <w:szCs w:val="21"/>
          <w:highlight w:val="none"/>
        </w:rPr>
      </w:pPr>
      <w:r>
        <w:rPr>
          <w:rFonts w:hint="eastAsia"/>
          <w:color w:val="auto"/>
          <w:szCs w:val="21"/>
          <w:highlight w:val="none"/>
        </w:rPr>
        <w:t>乙方不得将其承接的本合同项下的全部或部分服务转包、违法分包给第三人。</w:t>
      </w:r>
    </w:p>
    <w:p w14:paraId="736353E9">
      <w:pPr>
        <w:spacing w:line="480" w:lineRule="exact"/>
        <w:ind w:firstLine="480" w:firstLineChars="200"/>
        <w:rPr>
          <w:rFonts w:hint="eastAsia"/>
          <w:color w:val="auto"/>
          <w:szCs w:val="21"/>
          <w:highlight w:val="none"/>
        </w:rPr>
      </w:pPr>
      <w:r>
        <w:rPr>
          <w:rFonts w:hint="eastAsia"/>
          <w:color w:val="auto"/>
          <w:szCs w:val="21"/>
          <w:highlight w:val="none"/>
        </w:rPr>
        <w:t>乙方按合同约定的工作内容与工作周期，按现行规范、标准、条例及专业要求提供规划技术与咨询服务，并对所提供技术与服务的质量负责。</w:t>
      </w:r>
    </w:p>
    <w:p w14:paraId="46A5C79D">
      <w:pPr>
        <w:spacing w:line="480" w:lineRule="exact"/>
        <w:ind w:firstLine="480" w:firstLineChars="200"/>
        <w:rPr>
          <w:rFonts w:hint="eastAsia"/>
          <w:color w:val="auto"/>
          <w:szCs w:val="21"/>
          <w:highlight w:val="none"/>
        </w:rPr>
      </w:pPr>
      <w:r>
        <w:rPr>
          <w:rFonts w:hint="eastAsia"/>
          <w:color w:val="auto"/>
          <w:szCs w:val="21"/>
          <w:highlight w:val="none"/>
        </w:rPr>
        <w:t>乙方须以保密方式处理甲方提供的资料、图纸、文件，不得向第三方扩散、转让甲方提供的资料、图纸、文件等。</w:t>
      </w:r>
    </w:p>
    <w:p w14:paraId="47AAE774">
      <w:pPr>
        <w:spacing w:line="480" w:lineRule="exact"/>
        <w:ind w:firstLine="480" w:firstLineChars="200"/>
        <w:rPr>
          <w:rFonts w:hint="eastAsia"/>
          <w:color w:val="auto"/>
          <w:szCs w:val="21"/>
          <w:highlight w:val="none"/>
        </w:rPr>
      </w:pPr>
      <w:r>
        <w:rPr>
          <w:rFonts w:hint="eastAsia"/>
          <w:color w:val="auto"/>
          <w:szCs w:val="21"/>
          <w:highlight w:val="none"/>
        </w:rPr>
        <w:t>乙方应当按照投标文件人员名单，建立项目小组，未经甲方同意，不得随意更换。乙方可根据实际项目情况及项目完成时间要求，增加服务小组和人员数量，增加的人员须经甲方书面签字盖章同意。</w:t>
      </w:r>
    </w:p>
    <w:p w14:paraId="773A39B4">
      <w:pPr>
        <w:spacing w:line="480" w:lineRule="exact"/>
        <w:ind w:firstLine="480" w:firstLineChars="200"/>
        <w:rPr>
          <w:rFonts w:hint="eastAsia"/>
          <w:color w:val="auto"/>
          <w:szCs w:val="21"/>
          <w:highlight w:val="none"/>
        </w:rPr>
      </w:pPr>
      <w:r>
        <w:rPr>
          <w:rFonts w:hint="eastAsia"/>
          <w:color w:val="auto"/>
          <w:szCs w:val="21"/>
          <w:highlight w:val="none"/>
        </w:rPr>
        <w:t>乙方应当自行准备工作所需的设备、仪器、车辆、食宿、工作报酬等。</w:t>
      </w:r>
    </w:p>
    <w:p w14:paraId="7949E689">
      <w:pPr>
        <w:spacing w:line="480" w:lineRule="exact"/>
        <w:ind w:firstLine="480" w:firstLineChars="200"/>
        <w:rPr>
          <w:rFonts w:hint="eastAsia"/>
          <w:color w:val="auto"/>
          <w:szCs w:val="21"/>
          <w:highlight w:val="none"/>
        </w:rPr>
      </w:pPr>
      <w:r>
        <w:rPr>
          <w:rFonts w:hint="eastAsia"/>
          <w:color w:val="auto"/>
          <w:szCs w:val="21"/>
          <w:highlight w:val="none"/>
        </w:rPr>
        <w:t>乙方人员不得利用工作关系开展私人业务及违反廉洁的有关规定，一经发现，甲方有权解除合同。</w:t>
      </w:r>
    </w:p>
    <w:p w14:paraId="3FB95F8E">
      <w:pPr>
        <w:spacing w:line="480" w:lineRule="exact"/>
        <w:ind w:firstLine="480" w:firstLineChars="200"/>
        <w:rPr>
          <w:rFonts w:hint="eastAsia"/>
          <w:color w:val="auto"/>
          <w:szCs w:val="21"/>
          <w:highlight w:val="none"/>
        </w:rPr>
      </w:pPr>
      <w:r>
        <w:rPr>
          <w:rFonts w:hint="eastAsia"/>
          <w:color w:val="auto"/>
          <w:szCs w:val="21"/>
          <w:highlight w:val="none"/>
        </w:rPr>
        <w:t>乙方应当建立本服务项目台账，依照有关规定或本合同约定记录保存付款所需支付证明及项目履约记录，并向甲方提供项目实施相关成果等重要资料信息。</w:t>
      </w:r>
    </w:p>
    <w:p w14:paraId="36D24EF7">
      <w:pPr>
        <w:numPr>
          <w:ilvl w:val="0"/>
          <w:numId w:val="3"/>
        </w:numPr>
        <w:spacing w:line="480" w:lineRule="exact"/>
        <w:ind w:firstLine="482" w:firstLineChars="200"/>
        <w:rPr>
          <w:rFonts w:hint="eastAsia"/>
          <w:b/>
          <w:bCs/>
          <w:snapToGrid w:val="0"/>
          <w:color w:val="auto"/>
          <w:highlight w:val="none"/>
        </w:rPr>
      </w:pPr>
      <w:r>
        <w:rPr>
          <w:rFonts w:hint="eastAsia"/>
          <w:b/>
          <w:bCs/>
          <w:snapToGrid w:val="0"/>
          <w:color w:val="auto"/>
          <w:highlight w:val="none"/>
        </w:rPr>
        <w:t>违约责任</w:t>
      </w:r>
    </w:p>
    <w:p w14:paraId="708BD948">
      <w:pPr>
        <w:spacing w:line="480" w:lineRule="exact"/>
        <w:ind w:firstLine="480" w:firstLineChars="200"/>
        <w:rPr>
          <w:rFonts w:hint="eastAsia"/>
          <w:color w:val="auto"/>
          <w:szCs w:val="21"/>
          <w:highlight w:val="none"/>
        </w:rPr>
      </w:pPr>
      <w:r>
        <w:rPr>
          <w:rFonts w:hint="eastAsia"/>
          <w:color w:val="auto"/>
          <w:szCs w:val="21"/>
          <w:highlight w:val="none"/>
        </w:rPr>
        <w:t>1、乙方应按照甲方的指示，按照甲方指定的时间完成相关工作的，每逾期一日，支付合同服务费用万分之五的违约金；乙方逾期完成工作超过15日的，或者未经甲方同意，乙方擅自解除本合同的，或者未经甲方同意，乙方擅自将本合同权利义务全部或部分转让给第三方的，甲方有权解除合同，并有权要求乙方支付合同服务费用20%的违约金。</w:t>
      </w:r>
    </w:p>
    <w:p w14:paraId="777B7F3F">
      <w:pPr>
        <w:spacing w:line="480" w:lineRule="exact"/>
        <w:ind w:firstLine="480" w:firstLineChars="200"/>
        <w:rPr>
          <w:rFonts w:hint="eastAsia"/>
          <w:color w:val="auto"/>
          <w:szCs w:val="21"/>
          <w:highlight w:val="none"/>
        </w:rPr>
      </w:pPr>
      <w:r>
        <w:rPr>
          <w:rFonts w:hint="eastAsia"/>
          <w:color w:val="auto"/>
          <w:szCs w:val="21"/>
          <w:highlight w:val="none"/>
        </w:rPr>
        <w:t>2、乙方应按照法律法规和本合同约定，保证所提供服务的质量。除本合同有明确约定乙方违约情形下的违约金标准的事项外，乙方违反本合同约定的其他条款或未履行约定的其他职责或义务亦视为乙方违约，乙方该等违约行为经甲方提出后，仍未按照甲方的要求在甲方指定期限内予以纠正的，应按照2000元</w:t>
      </w:r>
      <w:r>
        <w:rPr>
          <w:rFonts w:hint="eastAsia"/>
          <w:color w:val="auto"/>
          <w:szCs w:val="21"/>
          <w:highlight w:val="none"/>
          <w:lang w:val="en-US" w:eastAsia="zh-CN"/>
        </w:rPr>
        <w:t>/</w:t>
      </w:r>
      <w:r>
        <w:rPr>
          <w:rFonts w:hint="eastAsia"/>
          <w:color w:val="auto"/>
          <w:szCs w:val="21"/>
          <w:highlight w:val="none"/>
        </w:rPr>
        <w:t>次的标准向甲方支付违约金，并赔偿由此导致甲方的损失。</w:t>
      </w:r>
    </w:p>
    <w:p w14:paraId="0CAC78F6">
      <w:pPr>
        <w:spacing w:line="480" w:lineRule="exact"/>
        <w:ind w:firstLine="480" w:firstLineChars="200"/>
        <w:rPr>
          <w:rFonts w:hint="eastAsia"/>
          <w:color w:val="auto"/>
          <w:szCs w:val="21"/>
          <w:highlight w:val="none"/>
        </w:rPr>
      </w:pPr>
      <w:r>
        <w:rPr>
          <w:rFonts w:hint="eastAsia"/>
          <w:color w:val="auto"/>
          <w:szCs w:val="21"/>
          <w:highlight w:val="none"/>
        </w:rPr>
        <w:t>3、甲方抽查乙方工作情况，若抽查发现未按合同约定内容及保障性住房相关政策文件</w:t>
      </w:r>
      <w:r>
        <w:rPr>
          <w:rFonts w:hint="eastAsia"/>
          <w:color w:val="auto"/>
          <w:szCs w:val="21"/>
          <w:highlight w:val="none"/>
          <w:lang w:eastAsia="zh-CN"/>
        </w:rPr>
        <w:t>、</w:t>
      </w:r>
      <w:r>
        <w:rPr>
          <w:rFonts w:hint="eastAsia"/>
          <w:color w:val="auto"/>
          <w:szCs w:val="21"/>
          <w:highlight w:val="none"/>
        </w:rPr>
        <w:t>标准规范开展工作，甲方有权按照合同约定扣除合同服务费总额的20%作为违约金。</w:t>
      </w:r>
    </w:p>
    <w:p w14:paraId="49FE014E">
      <w:pPr>
        <w:spacing w:line="480" w:lineRule="exact"/>
        <w:ind w:firstLine="480" w:firstLineChars="200"/>
        <w:rPr>
          <w:rFonts w:hint="eastAsia"/>
          <w:color w:val="auto"/>
          <w:szCs w:val="21"/>
          <w:highlight w:val="none"/>
        </w:rPr>
      </w:pPr>
      <w:r>
        <w:rPr>
          <w:rFonts w:hint="eastAsia"/>
          <w:color w:val="auto"/>
          <w:szCs w:val="21"/>
          <w:highlight w:val="none"/>
        </w:rPr>
        <w:t>4、乙方提交的阶段性成果报告、年度总结报告等工作成果文件不符合要求的，每个报告甲方将按照合同约定扣除合同服务费总额的10%。</w:t>
      </w:r>
    </w:p>
    <w:p w14:paraId="4B3D35E2">
      <w:pPr>
        <w:spacing w:line="480" w:lineRule="exact"/>
        <w:ind w:firstLine="480" w:firstLineChars="200"/>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乙方提供的人员应保持固定，不得随意更换，如需更换人员</w:t>
      </w:r>
      <w:r>
        <w:rPr>
          <w:rFonts w:hint="eastAsia"/>
          <w:color w:val="auto"/>
          <w:szCs w:val="21"/>
          <w:highlight w:val="none"/>
          <w:lang w:val="en-US" w:eastAsia="zh-CN"/>
        </w:rPr>
        <w:t>需征得甲方同意</w:t>
      </w:r>
      <w:r>
        <w:rPr>
          <w:rFonts w:hint="eastAsia"/>
          <w:color w:val="auto"/>
          <w:szCs w:val="21"/>
          <w:highlight w:val="none"/>
        </w:rPr>
        <w:t>，未经甲方同意更换人员的，每更换一次，甲方有权按合同服务费总额的20%收取违约金。</w:t>
      </w:r>
    </w:p>
    <w:p w14:paraId="38F7B3F5">
      <w:pPr>
        <w:spacing w:line="480" w:lineRule="exact"/>
        <w:ind w:firstLine="480" w:firstLineChars="200"/>
        <w:rPr>
          <w:rFonts w:hint="eastAsia"/>
          <w:color w:val="auto"/>
          <w:szCs w:val="21"/>
          <w:highlight w:val="none"/>
        </w:rPr>
      </w:pPr>
      <w:r>
        <w:rPr>
          <w:rFonts w:hint="eastAsia"/>
          <w:color w:val="auto"/>
          <w:szCs w:val="21"/>
          <w:highlight w:val="none"/>
        </w:rPr>
        <w:t>6、合同结束后，甲方对乙方工作进行履约评价，验收合格后，给乙方按约定支付合同服务费用，如不合格，甲方有权要求乙方支付合同服务费用20%的违约金。</w:t>
      </w:r>
    </w:p>
    <w:p w14:paraId="0CD8C546">
      <w:pPr>
        <w:spacing w:line="480" w:lineRule="exact"/>
        <w:ind w:firstLine="480" w:firstLineChars="200"/>
        <w:rPr>
          <w:rFonts w:hint="eastAsia"/>
          <w:color w:val="auto"/>
          <w:szCs w:val="21"/>
          <w:highlight w:val="none"/>
        </w:rPr>
      </w:pPr>
      <w:r>
        <w:rPr>
          <w:rFonts w:hint="eastAsia"/>
          <w:color w:val="auto"/>
          <w:szCs w:val="21"/>
          <w:highlight w:val="none"/>
        </w:rPr>
        <w:t>7、乙方之违约行为虽未达到甲方依据本合同约定或法律法规规定解除合同条件，但乙方连续二次或累计五次违反合同约定或法律法规规定之义务，甲方有权单方面解除合同，合同解除后，乙方还应向甲方承担合同总价款20%的违约金。</w:t>
      </w:r>
    </w:p>
    <w:p w14:paraId="730716FC">
      <w:pPr>
        <w:spacing w:line="480" w:lineRule="exact"/>
        <w:ind w:firstLine="480" w:firstLineChars="200"/>
        <w:rPr>
          <w:rFonts w:hint="eastAsia"/>
          <w:color w:val="auto"/>
          <w:szCs w:val="21"/>
          <w:highlight w:val="none"/>
        </w:rPr>
      </w:pPr>
      <w:r>
        <w:rPr>
          <w:rFonts w:hint="eastAsia"/>
          <w:color w:val="auto"/>
          <w:szCs w:val="21"/>
          <w:highlight w:val="none"/>
        </w:rPr>
        <w:t>8、上述违约金如果无法弥补甲方损失，甲方保留要求乙方赔偿全部损失的权利。</w:t>
      </w:r>
    </w:p>
    <w:p w14:paraId="0C925090">
      <w:pPr>
        <w:spacing w:line="480" w:lineRule="exact"/>
        <w:ind w:firstLine="482" w:firstLineChars="200"/>
        <w:rPr>
          <w:b/>
          <w:bCs/>
          <w:snapToGrid w:val="0"/>
          <w:color w:val="auto"/>
          <w:highlight w:val="none"/>
        </w:rPr>
      </w:pPr>
      <w:r>
        <w:rPr>
          <w:rFonts w:hint="eastAsia"/>
          <w:b/>
          <w:bCs/>
          <w:snapToGrid w:val="0"/>
          <w:color w:val="auto"/>
          <w:highlight w:val="none"/>
        </w:rPr>
        <w:t>第</w:t>
      </w:r>
      <w:r>
        <w:rPr>
          <w:rFonts w:hint="eastAsia"/>
          <w:b/>
          <w:bCs/>
          <w:snapToGrid w:val="0"/>
          <w:color w:val="auto"/>
          <w:highlight w:val="none"/>
          <w:lang w:val="en-US" w:eastAsia="zh-CN"/>
        </w:rPr>
        <w:t>十</w:t>
      </w:r>
      <w:r>
        <w:rPr>
          <w:rFonts w:hint="eastAsia"/>
          <w:b/>
          <w:bCs/>
          <w:snapToGrid w:val="0"/>
          <w:color w:val="auto"/>
          <w:highlight w:val="none"/>
        </w:rPr>
        <w:t>条 成果验收</w:t>
      </w:r>
    </w:p>
    <w:p w14:paraId="162F1BE8">
      <w:pPr>
        <w:spacing w:line="480" w:lineRule="exact"/>
        <w:ind w:firstLine="420"/>
        <w:rPr>
          <w:color w:val="auto"/>
          <w:szCs w:val="21"/>
          <w:highlight w:val="none"/>
        </w:rPr>
      </w:pPr>
      <w:r>
        <w:rPr>
          <w:rFonts w:hint="eastAsia"/>
          <w:color w:val="auto"/>
          <w:szCs w:val="21"/>
          <w:highlight w:val="none"/>
        </w:rPr>
        <w:t>乙方应在第二期付款前，向甲方提交阶段性咨询服务成果报告；合同履约完成后，在支付合同尾款前，乙方应向甲方提交全部服务成果报告，甲方对乙方提供的书面成果和技术支持服务进行审查，并出具履约评价。</w:t>
      </w:r>
    </w:p>
    <w:p w14:paraId="2CFF333D">
      <w:pPr>
        <w:spacing w:line="480" w:lineRule="exact"/>
        <w:ind w:firstLine="482" w:firstLineChars="200"/>
        <w:rPr>
          <w:rFonts w:hint="eastAsia"/>
          <w:b/>
          <w:bCs w:val="0"/>
          <w:snapToGrid w:val="0"/>
          <w:color w:val="auto"/>
          <w:highlight w:val="none"/>
        </w:rPr>
      </w:pPr>
    </w:p>
    <w:p w14:paraId="55627857">
      <w:pPr>
        <w:spacing w:line="480" w:lineRule="exact"/>
        <w:ind w:firstLine="482" w:firstLineChars="200"/>
        <w:rPr>
          <w:rFonts w:hint="eastAsia"/>
          <w:b/>
          <w:bCs w:val="0"/>
          <w:snapToGrid w:val="0"/>
          <w:color w:val="auto"/>
          <w:highlight w:val="none"/>
        </w:rPr>
      </w:pPr>
    </w:p>
    <w:p w14:paraId="4F0966AF">
      <w:pPr>
        <w:spacing w:line="480" w:lineRule="exact"/>
        <w:ind w:firstLine="482" w:firstLineChars="200"/>
        <w:rPr>
          <w:b/>
          <w:bCs w:val="0"/>
          <w:snapToGrid w:val="0"/>
          <w:color w:val="auto"/>
          <w:highlight w:val="none"/>
        </w:rPr>
      </w:pPr>
      <w:r>
        <w:rPr>
          <w:rFonts w:hint="eastAsia"/>
          <w:b/>
          <w:bCs w:val="0"/>
          <w:snapToGrid w:val="0"/>
          <w:color w:val="auto"/>
          <w:highlight w:val="none"/>
        </w:rPr>
        <w:t>第十</w:t>
      </w:r>
      <w:r>
        <w:rPr>
          <w:rFonts w:hint="eastAsia"/>
          <w:b/>
          <w:bCs w:val="0"/>
          <w:snapToGrid w:val="0"/>
          <w:color w:val="auto"/>
          <w:highlight w:val="none"/>
          <w:lang w:val="en-US" w:eastAsia="zh-CN"/>
        </w:rPr>
        <w:t>一</w:t>
      </w:r>
      <w:r>
        <w:rPr>
          <w:rFonts w:hint="eastAsia"/>
          <w:b/>
          <w:bCs w:val="0"/>
          <w:snapToGrid w:val="0"/>
          <w:color w:val="auto"/>
          <w:highlight w:val="none"/>
        </w:rPr>
        <w:t>条</w:t>
      </w:r>
      <w:r>
        <w:rPr>
          <w:b/>
          <w:bCs w:val="0"/>
          <w:snapToGrid w:val="0"/>
          <w:color w:val="auto"/>
          <w:highlight w:val="none"/>
        </w:rPr>
        <w:t xml:space="preserve"> </w:t>
      </w:r>
      <w:r>
        <w:rPr>
          <w:rFonts w:hint="eastAsia"/>
          <w:b/>
          <w:bCs w:val="0"/>
          <w:snapToGrid w:val="0"/>
          <w:color w:val="auto"/>
          <w:highlight w:val="none"/>
        </w:rPr>
        <w:t>合同终止</w:t>
      </w:r>
    </w:p>
    <w:p w14:paraId="36961032">
      <w:pPr>
        <w:spacing w:line="480" w:lineRule="exact"/>
        <w:ind w:firstLine="480" w:firstLineChars="200"/>
        <w:rPr>
          <w:rFonts w:hint="eastAsia"/>
          <w:snapToGrid w:val="0"/>
          <w:color w:val="auto"/>
          <w:highlight w:val="none"/>
        </w:rPr>
      </w:pPr>
      <w:r>
        <w:rPr>
          <w:rFonts w:hint="eastAsia"/>
          <w:snapToGrid w:val="0"/>
          <w:color w:val="auto"/>
          <w:highlight w:val="none"/>
        </w:rPr>
        <w:t>1、甲方因自身原因终止委托、解除本合同，对乙方已完成并提交相应成果的工作，甲方应按乙方的实际工作量支付相应的合同服务费用。</w:t>
      </w:r>
    </w:p>
    <w:p w14:paraId="2622A0A8">
      <w:pPr>
        <w:spacing w:line="480" w:lineRule="exact"/>
        <w:ind w:firstLine="480" w:firstLineChars="200"/>
        <w:rPr>
          <w:rFonts w:hint="eastAsia"/>
          <w:snapToGrid w:val="0"/>
          <w:color w:val="auto"/>
          <w:highlight w:val="none"/>
        </w:rPr>
      </w:pPr>
      <w:r>
        <w:rPr>
          <w:rFonts w:hint="eastAsia"/>
          <w:snapToGrid w:val="0"/>
          <w:color w:val="auto"/>
          <w:highlight w:val="none"/>
        </w:rPr>
        <w:t>2、乙方因自身原因无法履行合同，应退还已支付的全部合同服务费用。</w:t>
      </w:r>
    </w:p>
    <w:p w14:paraId="0987CFB7">
      <w:pPr>
        <w:spacing w:line="480" w:lineRule="exact"/>
        <w:ind w:firstLine="480" w:firstLineChars="200"/>
        <w:rPr>
          <w:rFonts w:hint="eastAsia"/>
          <w:snapToGrid w:val="0"/>
          <w:color w:val="auto"/>
          <w:highlight w:val="none"/>
        </w:rPr>
      </w:pPr>
      <w:r>
        <w:rPr>
          <w:rFonts w:hint="eastAsia"/>
          <w:snapToGrid w:val="0"/>
          <w:color w:val="auto"/>
          <w:highlight w:val="none"/>
        </w:rPr>
        <w:t>3、不可抗力导致的终止合同：如果不可抗力发生，如行政命令、政策法规、罢工、故意破坏、资方停工、禁运、战争、自然灾害（如洪水和地震）或其他超出协议双方控制的事件，因而一方无法履行合同，受到不可抗力影响的一方可以提前十五天书面通知对方终止合同。</w:t>
      </w:r>
    </w:p>
    <w:p w14:paraId="6B485EE1">
      <w:pPr>
        <w:spacing w:line="480" w:lineRule="exact"/>
        <w:ind w:firstLine="480" w:firstLineChars="200"/>
        <w:rPr>
          <w:rFonts w:hint="eastAsia"/>
          <w:snapToGrid w:val="0"/>
          <w:color w:val="auto"/>
          <w:highlight w:val="none"/>
        </w:rPr>
      </w:pPr>
      <w:r>
        <w:rPr>
          <w:rFonts w:hint="eastAsia"/>
          <w:snapToGrid w:val="0"/>
          <w:color w:val="auto"/>
          <w:highlight w:val="none"/>
        </w:rPr>
        <w:t>4、本合同因不可抗力终止的，甲方应按乙方实际完成并提交成功的工作量支付报酬。</w:t>
      </w:r>
    </w:p>
    <w:p w14:paraId="20634669">
      <w:pPr>
        <w:spacing w:line="480" w:lineRule="exact"/>
        <w:ind w:firstLine="480" w:firstLineChars="200"/>
        <w:rPr>
          <w:rFonts w:hint="eastAsia"/>
          <w:snapToGrid w:val="0"/>
          <w:color w:val="auto"/>
          <w:highlight w:val="none"/>
        </w:rPr>
      </w:pPr>
      <w:r>
        <w:rPr>
          <w:rFonts w:hint="eastAsia"/>
          <w:snapToGrid w:val="0"/>
          <w:color w:val="auto"/>
          <w:highlight w:val="none"/>
        </w:rPr>
        <w:t>5、本合同因任何原因终止的，已完成的审核评价报告的著作权等所有权利属于甲方所有，但甲方在自己的宣传材料中，应写明乙方为审核单位。乙方在取得甲方书面同意后，可以使用审核报告成果。</w:t>
      </w:r>
    </w:p>
    <w:p w14:paraId="2AEB8E7F">
      <w:pPr>
        <w:spacing w:line="480" w:lineRule="exact"/>
        <w:ind w:firstLine="482" w:firstLineChars="200"/>
        <w:rPr>
          <w:rFonts w:hint="eastAsia"/>
          <w:b/>
          <w:bCs w:val="0"/>
          <w:snapToGrid w:val="0"/>
          <w:color w:val="auto"/>
          <w:highlight w:val="none"/>
        </w:rPr>
      </w:pPr>
      <w:r>
        <w:rPr>
          <w:rFonts w:hint="eastAsia"/>
          <w:b/>
          <w:bCs w:val="0"/>
          <w:snapToGrid w:val="0"/>
          <w:color w:val="auto"/>
          <w:highlight w:val="none"/>
        </w:rPr>
        <w:t>第十二条 合同争议的解决方式</w:t>
      </w:r>
    </w:p>
    <w:p w14:paraId="532DCD92">
      <w:pPr>
        <w:spacing w:line="480" w:lineRule="exact"/>
        <w:ind w:firstLine="480" w:firstLineChars="200"/>
        <w:rPr>
          <w:rFonts w:hint="eastAsia"/>
          <w:snapToGrid w:val="0"/>
          <w:color w:val="auto"/>
          <w:highlight w:val="none"/>
        </w:rPr>
      </w:pPr>
      <w:r>
        <w:rPr>
          <w:rFonts w:hint="eastAsia"/>
          <w:snapToGrid w:val="0"/>
          <w:color w:val="auto"/>
          <w:highlight w:val="none"/>
        </w:rPr>
        <w:t>凡因本合同引起的或与本合同有关的任何争议、索赔和纠纷（以下合称“争议”），应首先由双方以友好协商方式解决。协商不成或者不予协商的，甲乙双方均有权向深圳市南山区人民法院提起诉讼。</w:t>
      </w:r>
    </w:p>
    <w:p w14:paraId="1A43D2EB">
      <w:pPr>
        <w:spacing w:line="480" w:lineRule="exact"/>
        <w:ind w:firstLine="480"/>
        <w:rPr>
          <w:rFonts w:hint="eastAsia" w:eastAsia="宋体"/>
          <w:snapToGrid w:val="0"/>
          <w:color w:val="auto"/>
          <w:highlight w:val="none"/>
          <w:lang w:val="en-US" w:eastAsia="zh-CN"/>
        </w:rPr>
      </w:pPr>
      <w:r>
        <w:rPr>
          <w:rFonts w:hint="eastAsia"/>
          <w:snapToGrid w:val="0"/>
          <w:color w:val="auto"/>
          <w:highlight w:val="none"/>
        </w:rPr>
        <w:t>乙方向甲方提出赔偿要求不能成立时，则应补偿由于该赔偿或其他要</w:t>
      </w:r>
      <w:r>
        <w:rPr>
          <w:rFonts w:hint="eastAsia"/>
          <w:snapToGrid w:val="0"/>
          <w:color w:val="auto"/>
          <w:highlight w:val="none"/>
          <w:lang w:val="en-US" w:eastAsia="zh-CN"/>
        </w:rPr>
        <w:t>求所导致甲方的各种费用的支出。（包括但不限于诉讼费、律师费、担保费、财产保全费、调查费、执行费等）</w:t>
      </w:r>
    </w:p>
    <w:p w14:paraId="36FFC71C">
      <w:pPr>
        <w:spacing w:line="480" w:lineRule="exact"/>
        <w:ind w:firstLine="482" w:firstLineChars="200"/>
        <w:rPr>
          <w:rFonts w:hint="eastAsia"/>
          <w:b/>
          <w:bCs/>
          <w:snapToGrid w:val="0"/>
          <w:color w:val="auto"/>
          <w:highlight w:val="none"/>
        </w:rPr>
      </w:pPr>
      <w:r>
        <w:rPr>
          <w:rFonts w:hint="eastAsia"/>
          <w:b/>
          <w:bCs/>
          <w:snapToGrid w:val="0"/>
          <w:color w:val="auto"/>
          <w:highlight w:val="none"/>
        </w:rPr>
        <w:t>第十三条 其它约定</w:t>
      </w:r>
    </w:p>
    <w:p w14:paraId="35E46704">
      <w:pPr>
        <w:spacing w:line="480" w:lineRule="exact"/>
        <w:ind w:firstLine="480" w:firstLineChars="200"/>
        <w:rPr>
          <w:rFonts w:hint="eastAsia"/>
          <w:snapToGrid w:val="0"/>
          <w:color w:val="auto"/>
          <w:highlight w:val="none"/>
        </w:rPr>
      </w:pPr>
      <w:r>
        <w:rPr>
          <w:rFonts w:hint="eastAsia"/>
          <w:snapToGrid w:val="0"/>
          <w:color w:val="auto"/>
          <w:highlight w:val="none"/>
        </w:rPr>
        <w:t>1、合同未尽事宜，由双方协商签订补充协议，补充协议与本合同具有同等法律效力。</w:t>
      </w:r>
    </w:p>
    <w:p w14:paraId="375A9BAE">
      <w:pPr>
        <w:spacing w:line="480" w:lineRule="exact"/>
        <w:ind w:firstLine="480" w:firstLineChars="200"/>
        <w:rPr>
          <w:rFonts w:hint="eastAsia"/>
          <w:snapToGrid w:val="0"/>
          <w:color w:val="auto"/>
          <w:highlight w:val="none"/>
        </w:rPr>
      </w:pPr>
      <w:r>
        <w:rPr>
          <w:rFonts w:hint="eastAsia"/>
          <w:snapToGrid w:val="0"/>
          <w:color w:val="auto"/>
          <w:highlight w:val="none"/>
        </w:rPr>
        <w:t>2、本合同有效期为1年，自</w:t>
      </w:r>
      <w:r>
        <w:rPr>
          <w:rFonts w:hint="eastAsia"/>
          <w:snapToGrid w:val="0"/>
          <w:color w:val="auto"/>
          <w:highlight w:val="none"/>
          <w:lang w:eastAsia="zh-CN"/>
        </w:rPr>
        <w:t>2026</w:t>
      </w:r>
      <w:r>
        <w:rPr>
          <w:rFonts w:hint="eastAsia"/>
          <w:snapToGrid w:val="0"/>
          <w:color w:val="auto"/>
          <w:highlight w:val="none"/>
        </w:rPr>
        <w:t>年1月1日起至</w:t>
      </w:r>
      <w:r>
        <w:rPr>
          <w:rFonts w:hint="eastAsia"/>
          <w:snapToGrid w:val="0"/>
          <w:color w:val="auto"/>
          <w:highlight w:val="none"/>
          <w:lang w:eastAsia="zh-CN"/>
        </w:rPr>
        <w:t>2026</w:t>
      </w:r>
      <w:r>
        <w:rPr>
          <w:rFonts w:hint="eastAsia"/>
          <w:snapToGrid w:val="0"/>
          <w:color w:val="auto"/>
          <w:highlight w:val="none"/>
        </w:rPr>
        <w:t>年12月31日止。</w:t>
      </w:r>
    </w:p>
    <w:p w14:paraId="54D4E714">
      <w:pPr>
        <w:spacing w:line="480" w:lineRule="exact"/>
        <w:ind w:firstLine="480" w:firstLineChars="200"/>
        <w:rPr>
          <w:rFonts w:hint="default" w:eastAsia="宋体"/>
          <w:snapToGrid w:val="0"/>
          <w:color w:val="auto"/>
          <w:highlight w:val="none"/>
          <w:lang w:val="en-US" w:eastAsia="zh-CN"/>
        </w:rPr>
      </w:pPr>
      <w:r>
        <w:rPr>
          <w:rFonts w:hint="eastAsia"/>
          <w:snapToGrid w:val="0"/>
          <w:color w:val="auto"/>
          <w:highlight w:val="none"/>
        </w:rPr>
        <w:t>3、本合同壹式</w:t>
      </w:r>
      <w:r>
        <w:rPr>
          <w:rFonts w:hint="eastAsia"/>
          <w:snapToGrid w:val="0"/>
          <w:color w:val="auto"/>
          <w:highlight w:val="none"/>
          <w:u w:val="single"/>
        </w:rPr>
        <w:t xml:space="preserve"> 捌 </w:t>
      </w:r>
      <w:r>
        <w:rPr>
          <w:rFonts w:hint="eastAsia"/>
          <w:snapToGrid w:val="0"/>
          <w:color w:val="auto"/>
          <w:highlight w:val="none"/>
        </w:rPr>
        <w:t>份，甲</w:t>
      </w:r>
      <w:r>
        <w:rPr>
          <w:rFonts w:hint="eastAsia"/>
          <w:snapToGrid w:val="0"/>
          <w:color w:val="auto"/>
          <w:highlight w:val="none"/>
          <w:lang w:eastAsia="zh-CN"/>
        </w:rPr>
        <w:t>方</w:t>
      </w:r>
      <w:r>
        <w:rPr>
          <w:rFonts w:hint="eastAsia"/>
          <w:snapToGrid w:val="0"/>
          <w:color w:val="auto"/>
          <w:highlight w:val="none"/>
        </w:rPr>
        <w:t>执</w:t>
      </w:r>
      <w:r>
        <w:rPr>
          <w:rFonts w:hint="eastAsia"/>
          <w:snapToGrid w:val="0"/>
          <w:color w:val="auto"/>
          <w:highlight w:val="none"/>
          <w:u w:val="single"/>
        </w:rPr>
        <w:t xml:space="preserve"> </w:t>
      </w:r>
      <w:r>
        <w:rPr>
          <w:rFonts w:hint="eastAsia"/>
          <w:snapToGrid w:val="0"/>
          <w:color w:val="auto"/>
          <w:highlight w:val="none"/>
          <w:u w:val="single"/>
          <w:lang w:eastAsia="zh-CN"/>
        </w:rPr>
        <w:t>伍</w:t>
      </w:r>
      <w:r>
        <w:rPr>
          <w:rFonts w:hint="eastAsia"/>
          <w:snapToGrid w:val="0"/>
          <w:color w:val="auto"/>
          <w:highlight w:val="none"/>
          <w:u w:val="single"/>
        </w:rPr>
        <w:t xml:space="preserve"> </w:t>
      </w:r>
      <w:r>
        <w:rPr>
          <w:rFonts w:hint="eastAsia"/>
          <w:snapToGrid w:val="0"/>
          <w:color w:val="auto"/>
          <w:highlight w:val="none"/>
        </w:rPr>
        <w:t>份</w:t>
      </w:r>
      <w:r>
        <w:rPr>
          <w:rFonts w:hint="eastAsia"/>
          <w:snapToGrid w:val="0"/>
          <w:color w:val="auto"/>
          <w:highlight w:val="none"/>
          <w:lang w:eastAsia="zh-CN"/>
        </w:rPr>
        <w:t>，</w:t>
      </w:r>
      <w:r>
        <w:rPr>
          <w:rFonts w:hint="eastAsia"/>
          <w:snapToGrid w:val="0"/>
          <w:color w:val="auto"/>
          <w:highlight w:val="none"/>
        </w:rPr>
        <w:t>乙方执</w:t>
      </w:r>
      <w:r>
        <w:rPr>
          <w:rFonts w:hint="eastAsia"/>
          <w:snapToGrid w:val="0"/>
          <w:color w:val="auto"/>
          <w:highlight w:val="none"/>
          <w:u w:val="single"/>
        </w:rPr>
        <w:t xml:space="preserve"> </w:t>
      </w:r>
      <w:r>
        <w:rPr>
          <w:rFonts w:hint="eastAsia"/>
          <w:snapToGrid w:val="0"/>
          <w:color w:val="auto"/>
          <w:highlight w:val="none"/>
          <w:u w:val="single"/>
          <w:lang w:eastAsia="zh-CN"/>
        </w:rPr>
        <w:t>叁</w:t>
      </w:r>
      <w:r>
        <w:rPr>
          <w:rFonts w:hint="eastAsia"/>
          <w:snapToGrid w:val="0"/>
          <w:color w:val="auto"/>
          <w:highlight w:val="none"/>
          <w:u w:val="single"/>
        </w:rPr>
        <w:t xml:space="preserve"> </w:t>
      </w:r>
      <w:r>
        <w:rPr>
          <w:rFonts w:hint="eastAsia"/>
          <w:snapToGrid w:val="0"/>
          <w:color w:val="auto"/>
          <w:highlight w:val="none"/>
        </w:rPr>
        <w:t>份。</w:t>
      </w:r>
      <w:r>
        <w:rPr>
          <w:rFonts w:hint="eastAsia"/>
          <w:snapToGrid w:val="0"/>
          <w:color w:val="auto"/>
          <w:highlight w:val="none"/>
          <w:lang w:val="en-US" w:eastAsia="zh-CN"/>
        </w:rPr>
        <w:t>本合同自甲、乙双方签字、盖章之日生效。</w:t>
      </w:r>
    </w:p>
    <w:p w14:paraId="2632CEEF">
      <w:pPr>
        <w:spacing w:line="480" w:lineRule="exact"/>
        <w:ind w:firstLine="480" w:firstLineChars="200"/>
        <w:rPr>
          <w:rFonts w:hint="eastAsia"/>
          <w:snapToGrid w:val="0"/>
          <w:color w:val="auto"/>
          <w:highlight w:val="none"/>
        </w:rPr>
      </w:pPr>
      <w:r>
        <w:rPr>
          <w:rFonts w:hint="eastAsia"/>
          <w:snapToGrid w:val="0"/>
          <w:color w:val="auto"/>
          <w:highlight w:val="none"/>
        </w:rPr>
        <w:t>4、本合同双方所留联系信息均可用于送达文件。根据本合同发出的通知、信函、同意书、批准或其他通讯文件应由发出方签字盖章并送达至接收方或项目联系人。任何一方在本合同所留联系信息发生变化的，应当在发生变化后的三个工作日内按要求通知对方。因一方联系信息变更未履行提前书面告知义务的，导致对方所发送的文件、资料无法送达、送达被拒收、邮件返回的，视为该文件、资料已送达相对方，且相对方已知悉其中所记载的内容。</w:t>
      </w:r>
    </w:p>
    <w:p w14:paraId="2C4120C1">
      <w:pPr>
        <w:spacing w:line="480" w:lineRule="exact"/>
        <w:ind w:firstLine="480" w:firstLineChars="200"/>
        <w:rPr>
          <w:rFonts w:hint="eastAsia"/>
          <w:snapToGrid w:val="0"/>
          <w:color w:val="auto"/>
          <w:highlight w:val="none"/>
        </w:rPr>
      </w:pPr>
      <w:r>
        <w:rPr>
          <w:rFonts w:hint="eastAsia"/>
          <w:snapToGrid w:val="0"/>
          <w:color w:val="auto"/>
          <w:highlight w:val="none"/>
        </w:rPr>
        <w:t>5、下列文件是本合同的组成部分，应该认为是一个整体，彼此相互解释，相互补充。组成合同的多个文件的优先地位次序如下：(1)本合同书；（2）中标通知书 ；（3）投标文件；（4）解释、联络文件。</w:t>
      </w:r>
    </w:p>
    <w:p w14:paraId="4AA7699D">
      <w:pPr>
        <w:spacing w:line="480" w:lineRule="exact"/>
        <w:ind w:firstLine="480" w:firstLineChars="200"/>
        <w:rPr>
          <w:rFonts w:hint="eastAsia"/>
          <w:snapToGrid w:val="0"/>
          <w:color w:val="auto"/>
          <w:highlight w:val="none"/>
        </w:rPr>
      </w:pPr>
    </w:p>
    <w:p w14:paraId="30132A34">
      <w:pPr>
        <w:pStyle w:val="2"/>
        <w:rPr>
          <w:rFonts w:hint="eastAsia"/>
          <w:snapToGrid w:val="0"/>
          <w:color w:val="auto"/>
          <w:highlight w:val="none"/>
        </w:rPr>
      </w:pPr>
    </w:p>
    <w:p w14:paraId="22FA8432">
      <w:pPr>
        <w:pStyle w:val="2"/>
        <w:rPr>
          <w:rFonts w:hint="eastAsia"/>
          <w:snapToGrid w:val="0"/>
          <w:color w:val="auto"/>
          <w:highlight w:val="none"/>
        </w:rPr>
      </w:pPr>
    </w:p>
    <w:p w14:paraId="4A967D61">
      <w:pPr>
        <w:pStyle w:val="2"/>
        <w:rPr>
          <w:rFonts w:hint="eastAsia"/>
          <w:snapToGrid w:val="0"/>
          <w:color w:val="auto"/>
          <w:highlight w:val="none"/>
        </w:rPr>
      </w:pPr>
    </w:p>
    <w:p w14:paraId="6EBAAB15">
      <w:pPr>
        <w:pStyle w:val="2"/>
        <w:rPr>
          <w:rFonts w:hint="eastAsia"/>
          <w:snapToGrid w:val="0"/>
          <w:color w:val="auto"/>
          <w:highlight w:val="none"/>
        </w:rPr>
      </w:pPr>
    </w:p>
    <w:p w14:paraId="617BBC03">
      <w:pPr>
        <w:pStyle w:val="2"/>
        <w:rPr>
          <w:rFonts w:hint="eastAsia"/>
          <w:snapToGrid w:val="0"/>
          <w:color w:val="auto"/>
          <w:highlight w:val="none"/>
        </w:rPr>
      </w:pPr>
    </w:p>
    <w:p w14:paraId="2DBCE75E">
      <w:pPr>
        <w:pStyle w:val="2"/>
        <w:rPr>
          <w:rFonts w:hint="eastAsia"/>
          <w:snapToGrid w:val="0"/>
          <w:color w:val="auto"/>
          <w:highlight w:val="none"/>
        </w:rPr>
      </w:pPr>
    </w:p>
    <w:p w14:paraId="4A54DD44">
      <w:pPr>
        <w:pStyle w:val="2"/>
        <w:rPr>
          <w:rFonts w:hint="eastAsia"/>
          <w:snapToGrid w:val="0"/>
          <w:color w:val="auto"/>
          <w:highlight w:val="none"/>
        </w:rPr>
      </w:pPr>
    </w:p>
    <w:p w14:paraId="0BF4774F">
      <w:pPr>
        <w:pStyle w:val="2"/>
        <w:rPr>
          <w:rFonts w:hint="eastAsia"/>
          <w:snapToGrid w:val="0"/>
          <w:color w:val="auto"/>
          <w:highlight w:val="none"/>
        </w:rPr>
      </w:pPr>
    </w:p>
    <w:p w14:paraId="5BF8A1CD">
      <w:pPr>
        <w:pStyle w:val="2"/>
        <w:rPr>
          <w:rFonts w:hint="eastAsia"/>
          <w:snapToGrid w:val="0"/>
          <w:color w:val="auto"/>
          <w:highlight w:val="none"/>
        </w:rPr>
      </w:pPr>
    </w:p>
    <w:p w14:paraId="484316B1">
      <w:pPr>
        <w:pStyle w:val="2"/>
        <w:rPr>
          <w:rFonts w:hint="eastAsia"/>
          <w:snapToGrid w:val="0"/>
          <w:color w:val="auto"/>
          <w:highlight w:val="none"/>
        </w:rPr>
      </w:pPr>
    </w:p>
    <w:p w14:paraId="28922B95">
      <w:pPr>
        <w:pStyle w:val="2"/>
        <w:rPr>
          <w:rFonts w:hint="eastAsia"/>
          <w:snapToGrid w:val="0"/>
          <w:color w:val="auto"/>
          <w:highlight w:val="none"/>
        </w:rPr>
      </w:pPr>
    </w:p>
    <w:p w14:paraId="4467D552">
      <w:pPr>
        <w:pStyle w:val="2"/>
        <w:rPr>
          <w:rFonts w:hint="eastAsia"/>
          <w:snapToGrid w:val="0"/>
          <w:color w:val="auto"/>
          <w:highlight w:val="none"/>
        </w:rPr>
      </w:pPr>
    </w:p>
    <w:p w14:paraId="4516FC43">
      <w:pPr>
        <w:pStyle w:val="2"/>
        <w:rPr>
          <w:rFonts w:hint="eastAsia"/>
          <w:snapToGrid w:val="0"/>
          <w:color w:val="auto"/>
          <w:highlight w:val="none"/>
        </w:rPr>
      </w:pPr>
    </w:p>
    <w:p w14:paraId="72D3CFE2">
      <w:pPr>
        <w:pStyle w:val="2"/>
        <w:rPr>
          <w:rFonts w:hint="eastAsia"/>
          <w:snapToGrid w:val="0"/>
          <w:color w:val="auto"/>
          <w:highlight w:val="none"/>
        </w:rPr>
      </w:pPr>
    </w:p>
    <w:p w14:paraId="38E504F5">
      <w:pPr>
        <w:pStyle w:val="2"/>
        <w:rPr>
          <w:rFonts w:hint="eastAsia"/>
          <w:snapToGrid w:val="0"/>
          <w:color w:val="auto"/>
          <w:highlight w:val="none"/>
        </w:rPr>
      </w:pPr>
    </w:p>
    <w:p w14:paraId="3DC40A5E">
      <w:pPr>
        <w:pStyle w:val="2"/>
        <w:rPr>
          <w:rFonts w:hint="eastAsia"/>
          <w:snapToGrid w:val="0"/>
          <w:color w:val="auto"/>
          <w:highlight w:val="none"/>
        </w:rPr>
      </w:pPr>
    </w:p>
    <w:p w14:paraId="1E428393">
      <w:pPr>
        <w:pStyle w:val="2"/>
        <w:rPr>
          <w:rFonts w:hint="eastAsia"/>
          <w:snapToGrid w:val="0"/>
          <w:color w:val="auto"/>
          <w:highlight w:val="none"/>
        </w:rPr>
      </w:pPr>
    </w:p>
    <w:p w14:paraId="53CC3F52">
      <w:pPr>
        <w:pStyle w:val="2"/>
        <w:rPr>
          <w:rFonts w:hint="eastAsia"/>
          <w:snapToGrid w:val="0"/>
          <w:color w:val="auto"/>
          <w:highlight w:val="none"/>
        </w:rPr>
      </w:pPr>
    </w:p>
    <w:p w14:paraId="057217FA">
      <w:pPr>
        <w:pStyle w:val="2"/>
        <w:rPr>
          <w:rFonts w:hint="eastAsia"/>
          <w:snapToGrid w:val="0"/>
          <w:color w:val="auto"/>
          <w:highlight w:val="none"/>
        </w:rPr>
      </w:pPr>
    </w:p>
    <w:p w14:paraId="45D726C8">
      <w:pPr>
        <w:pStyle w:val="2"/>
        <w:rPr>
          <w:rFonts w:hint="eastAsia"/>
          <w:snapToGrid w:val="0"/>
          <w:color w:val="auto"/>
          <w:highlight w:val="none"/>
        </w:rPr>
      </w:pPr>
    </w:p>
    <w:p w14:paraId="3F0CC6E3">
      <w:pPr>
        <w:pStyle w:val="2"/>
        <w:rPr>
          <w:rFonts w:hint="eastAsia"/>
          <w:snapToGrid w:val="0"/>
          <w:color w:val="auto"/>
          <w:highlight w:val="none"/>
        </w:rPr>
      </w:pPr>
    </w:p>
    <w:p w14:paraId="08973DA3">
      <w:pPr>
        <w:pStyle w:val="2"/>
        <w:rPr>
          <w:rFonts w:hint="eastAsia"/>
          <w:snapToGrid w:val="0"/>
          <w:color w:val="auto"/>
          <w:highlight w:val="none"/>
        </w:rPr>
      </w:pPr>
    </w:p>
    <w:p w14:paraId="663B8EA2">
      <w:pPr>
        <w:pStyle w:val="2"/>
        <w:rPr>
          <w:rFonts w:hint="eastAsia"/>
          <w:snapToGrid w:val="0"/>
          <w:color w:val="auto"/>
          <w:highlight w:val="none"/>
        </w:rPr>
      </w:pPr>
    </w:p>
    <w:p w14:paraId="634C68F2">
      <w:pPr>
        <w:pStyle w:val="2"/>
        <w:rPr>
          <w:rFonts w:hint="eastAsia" w:ascii="宋体" w:hAnsi="宋体" w:eastAsia="宋体" w:cs="宋体"/>
          <w:snapToGrid w:val="0"/>
          <w:color w:val="auto"/>
          <w:kern w:val="0"/>
          <w:sz w:val="24"/>
          <w:szCs w:val="24"/>
          <w:highlight w:val="none"/>
          <w:lang w:val="en-US" w:eastAsia="zh-CN" w:bidi="ar-SA"/>
        </w:rPr>
      </w:pPr>
    </w:p>
    <w:p w14:paraId="5B3CF279">
      <w:pPr>
        <w:pStyle w:val="2"/>
        <w:rPr>
          <w:rFonts w:hint="eastAsia" w:ascii="宋体" w:hAnsi="宋体" w:eastAsia="宋体" w:cs="宋体"/>
          <w:snapToGrid w:val="0"/>
          <w:color w:val="auto"/>
          <w:kern w:val="0"/>
          <w:sz w:val="24"/>
          <w:szCs w:val="24"/>
          <w:highlight w:val="none"/>
          <w:lang w:val="en-US" w:eastAsia="zh-CN" w:bidi="ar-SA"/>
        </w:rPr>
      </w:pPr>
    </w:p>
    <w:p w14:paraId="28192746">
      <w:pPr>
        <w:pStyle w:val="2"/>
        <w:rPr>
          <w:rFonts w:hint="eastAsia" w:ascii="宋体" w:hAnsi="宋体" w:eastAsia="宋体" w:cs="宋体"/>
          <w:snapToGrid w:val="0"/>
          <w:color w:val="auto"/>
          <w:kern w:val="0"/>
          <w:sz w:val="24"/>
          <w:szCs w:val="24"/>
          <w:highlight w:val="none"/>
          <w:lang w:val="en-US" w:eastAsia="zh-CN" w:bidi="ar-SA"/>
        </w:rPr>
      </w:pPr>
    </w:p>
    <w:p w14:paraId="4779F4FB">
      <w:pPr>
        <w:pStyle w:val="2"/>
        <w:rPr>
          <w:rFonts w:hint="eastAsia" w:ascii="宋体" w:hAnsi="宋体" w:eastAsia="宋体" w:cs="宋体"/>
          <w:snapToGrid w:val="0"/>
          <w:color w:val="auto"/>
          <w:kern w:val="0"/>
          <w:sz w:val="24"/>
          <w:szCs w:val="24"/>
          <w:highlight w:val="none"/>
          <w:lang w:val="en-US" w:eastAsia="zh-CN" w:bidi="ar-SA"/>
        </w:rPr>
      </w:pPr>
    </w:p>
    <w:p w14:paraId="60245231">
      <w:pPr>
        <w:pStyle w:val="2"/>
        <w:rPr>
          <w:rFonts w:hint="eastAsia" w:ascii="宋体" w:hAnsi="宋体" w:eastAsia="宋体" w:cs="宋体"/>
          <w:snapToGrid w:val="0"/>
          <w:color w:val="auto"/>
          <w:kern w:val="0"/>
          <w:sz w:val="24"/>
          <w:szCs w:val="24"/>
          <w:highlight w:val="none"/>
          <w:lang w:val="en-US" w:eastAsia="zh-CN" w:bidi="ar-SA"/>
        </w:rPr>
      </w:pPr>
    </w:p>
    <w:p w14:paraId="291A8AFE">
      <w:pPr>
        <w:pStyle w:val="2"/>
        <w:rPr>
          <w:rFonts w:hint="eastAsia" w:ascii="宋体" w:hAnsi="宋体" w:eastAsia="宋体" w:cs="宋体"/>
          <w:snapToGrid w:val="0"/>
          <w:color w:val="auto"/>
          <w:kern w:val="0"/>
          <w:sz w:val="24"/>
          <w:szCs w:val="24"/>
          <w:highlight w:val="none"/>
          <w:lang w:val="en-US" w:eastAsia="zh-CN" w:bidi="ar-SA"/>
        </w:rPr>
      </w:pPr>
    </w:p>
    <w:p w14:paraId="5856409F">
      <w:pPr>
        <w:pStyle w:val="2"/>
        <w:rPr>
          <w:rFonts w:hint="eastAsia" w:ascii="宋体" w:hAnsi="宋体" w:eastAsia="宋体" w:cs="宋体"/>
          <w:snapToGrid w:val="0"/>
          <w:color w:val="auto"/>
          <w:kern w:val="0"/>
          <w:sz w:val="24"/>
          <w:szCs w:val="24"/>
          <w:highlight w:val="none"/>
          <w:lang w:val="en-US" w:eastAsia="zh-CN" w:bidi="ar-SA"/>
        </w:rPr>
      </w:pPr>
    </w:p>
    <w:p w14:paraId="720281C2">
      <w:pPr>
        <w:pStyle w:val="2"/>
        <w:rPr>
          <w:rFonts w:hint="eastAsia" w:ascii="宋体" w:hAnsi="宋体" w:eastAsia="宋体" w:cs="宋体"/>
          <w:snapToGrid w:val="0"/>
          <w:color w:val="auto"/>
          <w:kern w:val="0"/>
          <w:sz w:val="24"/>
          <w:szCs w:val="24"/>
          <w:highlight w:val="none"/>
          <w:lang w:val="en-US" w:eastAsia="zh-CN" w:bidi="ar-SA"/>
        </w:rPr>
      </w:pPr>
    </w:p>
    <w:p w14:paraId="5931ABEA">
      <w:pPr>
        <w:pStyle w:val="2"/>
        <w:rPr>
          <w:rFonts w:hint="eastAsia" w:ascii="宋体" w:hAnsi="宋体" w:eastAsia="宋体" w:cs="宋体"/>
          <w:snapToGrid w:val="0"/>
          <w:color w:val="auto"/>
          <w:kern w:val="0"/>
          <w:sz w:val="24"/>
          <w:szCs w:val="24"/>
          <w:highlight w:val="none"/>
          <w:lang w:val="en-US" w:eastAsia="zh-CN" w:bidi="ar-SA"/>
        </w:rPr>
      </w:pPr>
    </w:p>
    <w:p w14:paraId="691C8D69">
      <w:pPr>
        <w:pStyle w:val="2"/>
        <w:rPr>
          <w:rFonts w:hint="eastAsia" w:ascii="宋体" w:hAnsi="宋体" w:eastAsia="宋体" w:cs="宋体"/>
          <w:snapToGrid w:val="0"/>
          <w:color w:val="auto"/>
          <w:kern w:val="0"/>
          <w:sz w:val="24"/>
          <w:szCs w:val="24"/>
          <w:highlight w:val="none"/>
          <w:lang w:val="en-US" w:eastAsia="zh-CN" w:bidi="ar-SA"/>
        </w:rPr>
      </w:pPr>
    </w:p>
    <w:p w14:paraId="726C880A">
      <w:pPr>
        <w:pStyle w:val="2"/>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（此页无正文）</w:t>
      </w:r>
    </w:p>
    <w:p w14:paraId="6DCE6F4C">
      <w:pPr>
        <w:pStyle w:val="2"/>
        <w:rPr>
          <w:rFonts w:hint="eastAsia" w:ascii="宋体" w:hAnsi="宋体" w:eastAsia="宋体" w:cs="宋体"/>
          <w:snapToGrid w:val="0"/>
          <w:color w:val="auto"/>
          <w:kern w:val="0"/>
          <w:sz w:val="24"/>
          <w:szCs w:val="24"/>
          <w:highlight w:val="none"/>
          <w:lang w:val="en-US" w:eastAsia="zh-CN" w:bidi="ar-SA"/>
        </w:rPr>
      </w:pPr>
    </w:p>
    <w:p w14:paraId="38E0CAC2">
      <w:pPr>
        <w:spacing w:line="480" w:lineRule="exact"/>
        <w:ind w:firstLine="480" w:firstLineChars="200"/>
        <w:rPr>
          <w:rFonts w:hint="eastAsia"/>
          <w:snapToGrid w:val="0"/>
          <w:color w:val="auto"/>
          <w:highlight w:val="none"/>
        </w:rPr>
      </w:pPr>
      <w:r>
        <w:rPr>
          <w:rFonts w:hint="eastAsia"/>
          <w:snapToGrid w:val="0"/>
          <w:color w:val="auto"/>
          <w:highlight w:val="none"/>
        </w:rPr>
        <w:t>委托方（甲方）名称（盖章）：</w:t>
      </w:r>
    </w:p>
    <w:p w14:paraId="6C8FBE57">
      <w:pPr>
        <w:spacing w:line="480" w:lineRule="exact"/>
        <w:ind w:firstLine="480" w:firstLineChars="200"/>
        <w:rPr>
          <w:rFonts w:hint="eastAsia"/>
          <w:snapToGrid w:val="0"/>
          <w:color w:val="auto"/>
          <w:highlight w:val="none"/>
        </w:rPr>
      </w:pPr>
      <w:r>
        <w:rPr>
          <w:rFonts w:hint="eastAsia"/>
          <w:snapToGrid w:val="0"/>
          <w:color w:val="auto"/>
          <w:highlight w:val="none"/>
        </w:rPr>
        <w:t>单位：深圳市南山区住房和建设局</w:t>
      </w:r>
    </w:p>
    <w:p w14:paraId="400E1CEB">
      <w:pPr>
        <w:spacing w:line="480" w:lineRule="exact"/>
        <w:ind w:firstLine="480" w:firstLineChars="200"/>
        <w:rPr>
          <w:rFonts w:hint="eastAsia"/>
          <w:snapToGrid w:val="0"/>
          <w:color w:val="auto"/>
          <w:highlight w:val="none"/>
        </w:rPr>
      </w:pPr>
      <w:r>
        <w:rPr>
          <w:rFonts w:hint="eastAsia"/>
          <w:snapToGrid w:val="0"/>
          <w:color w:val="auto"/>
          <w:highlight w:val="none"/>
        </w:rPr>
        <w:t>地址：深圳市南山区桃园路2号区委大楼3楼</w:t>
      </w:r>
    </w:p>
    <w:p w14:paraId="1D646E9B">
      <w:pPr>
        <w:spacing w:line="480" w:lineRule="exact"/>
        <w:ind w:firstLine="480" w:firstLineChars="200"/>
        <w:rPr>
          <w:rFonts w:hint="eastAsia"/>
          <w:snapToGrid w:val="0"/>
          <w:color w:val="auto"/>
          <w:highlight w:val="none"/>
        </w:rPr>
      </w:pPr>
      <w:r>
        <w:rPr>
          <w:rFonts w:hint="eastAsia"/>
          <w:snapToGrid w:val="0"/>
          <w:color w:val="auto"/>
          <w:highlight w:val="none"/>
        </w:rPr>
        <w:t>法定代表人（签名或盖章）：</w:t>
      </w:r>
    </w:p>
    <w:p w14:paraId="227D9985">
      <w:pPr>
        <w:spacing w:line="480" w:lineRule="exact"/>
        <w:ind w:firstLine="480" w:firstLineChars="200"/>
        <w:rPr>
          <w:rFonts w:hint="eastAsia"/>
          <w:snapToGrid w:val="0"/>
          <w:color w:val="auto"/>
          <w:highlight w:val="none"/>
        </w:rPr>
      </w:pPr>
      <w:r>
        <w:rPr>
          <w:rFonts w:hint="eastAsia"/>
          <w:snapToGrid w:val="0"/>
          <w:color w:val="auto"/>
          <w:highlight w:val="none"/>
        </w:rPr>
        <w:t>委托代理人（签名或盖章）：</w:t>
      </w:r>
    </w:p>
    <w:p w14:paraId="01520785">
      <w:pPr>
        <w:spacing w:line="480" w:lineRule="exact"/>
        <w:ind w:firstLine="480" w:firstLineChars="200"/>
        <w:rPr>
          <w:rFonts w:hint="eastAsia"/>
          <w:snapToGrid w:val="0"/>
          <w:color w:val="auto"/>
          <w:highlight w:val="none"/>
        </w:rPr>
      </w:pPr>
      <w:r>
        <w:rPr>
          <w:rFonts w:hint="eastAsia"/>
          <w:snapToGrid w:val="0"/>
          <w:color w:val="auto"/>
          <w:highlight w:val="none"/>
        </w:rPr>
        <w:t xml:space="preserve">联系人： </w:t>
      </w:r>
    </w:p>
    <w:p w14:paraId="211C3FDC">
      <w:pPr>
        <w:spacing w:line="480" w:lineRule="exact"/>
        <w:ind w:firstLine="480" w:firstLineChars="200"/>
        <w:rPr>
          <w:rFonts w:hint="default"/>
          <w:snapToGrid w:val="0"/>
          <w:color w:val="auto"/>
          <w:highlight w:val="none"/>
          <w:lang w:val="en-US" w:eastAsia="zh-CN"/>
        </w:rPr>
      </w:pPr>
      <w:r>
        <w:rPr>
          <w:rFonts w:hint="eastAsia"/>
          <w:snapToGrid w:val="0"/>
          <w:color w:val="auto"/>
          <w:highlight w:val="none"/>
        </w:rPr>
        <w:t>电  话：0755-</w:t>
      </w:r>
      <w:r>
        <w:rPr>
          <w:rFonts w:hint="eastAsia"/>
          <w:snapToGrid w:val="0"/>
          <w:color w:val="auto"/>
          <w:highlight w:val="none"/>
          <w:lang w:val="en-US" w:eastAsia="zh-CN"/>
        </w:rPr>
        <w:t>88167612</w:t>
      </w:r>
    </w:p>
    <w:p w14:paraId="4167E777">
      <w:pPr>
        <w:spacing w:line="480" w:lineRule="exact"/>
        <w:ind w:firstLine="480" w:firstLineChars="200"/>
        <w:rPr>
          <w:rFonts w:hint="default" w:eastAsia="宋体"/>
          <w:snapToGrid w:val="0"/>
          <w:color w:val="auto"/>
          <w:highlight w:val="none"/>
          <w:lang w:val="en-US" w:eastAsia="zh-CN"/>
        </w:rPr>
      </w:pPr>
      <w:r>
        <w:rPr>
          <w:rFonts w:hint="eastAsia"/>
          <w:snapToGrid w:val="0"/>
          <w:color w:val="auto"/>
          <w:highlight w:val="none"/>
          <w:lang w:val="en-US" w:eastAsia="zh-CN"/>
        </w:rPr>
        <w:t>时</w:t>
      </w:r>
      <w:r>
        <w:rPr>
          <w:rFonts w:hint="eastAsia"/>
          <w:snapToGrid w:val="0"/>
          <w:color w:val="auto"/>
          <w:highlight w:val="none"/>
        </w:rPr>
        <w:t xml:space="preserve">  </w:t>
      </w:r>
      <w:r>
        <w:rPr>
          <w:rFonts w:hint="eastAsia"/>
          <w:snapToGrid w:val="0"/>
          <w:color w:val="auto"/>
          <w:highlight w:val="none"/>
          <w:lang w:val="en-US" w:eastAsia="zh-CN"/>
        </w:rPr>
        <w:t>间</w:t>
      </w:r>
      <w:r>
        <w:rPr>
          <w:rFonts w:hint="eastAsia"/>
          <w:snapToGrid w:val="0"/>
          <w:color w:val="auto"/>
          <w:highlight w:val="none"/>
        </w:rPr>
        <w:t>：</w:t>
      </w:r>
      <w:r>
        <w:rPr>
          <w:rFonts w:hint="eastAsia"/>
          <w:snapToGrid w:val="0"/>
          <w:color w:val="auto"/>
          <w:highlight w:val="none"/>
          <w:lang w:val="en-US" w:eastAsia="zh-CN"/>
        </w:rPr>
        <w:t>2025年   月   日</w:t>
      </w:r>
    </w:p>
    <w:p w14:paraId="3A8C0A31">
      <w:pPr>
        <w:spacing w:line="480" w:lineRule="exact"/>
        <w:rPr>
          <w:rFonts w:hint="eastAsia"/>
          <w:snapToGrid w:val="0"/>
          <w:color w:val="auto"/>
          <w:highlight w:val="none"/>
        </w:rPr>
      </w:pPr>
    </w:p>
    <w:p w14:paraId="2D4FD963">
      <w:pPr>
        <w:pStyle w:val="2"/>
        <w:rPr>
          <w:rFonts w:hint="eastAsia"/>
          <w:highlight w:val="none"/>
        </w:rPr>
      </w:pPr>
    </w:p>
    <w:p w14:paraId="444911A6">
      <w:pPr>
        <w:spacing w:line="480" w:lineRule="exact"/>
        <w:ind w:firstLine="480" w:firstLineChars="200"/>
        <w:rPr>
          <w:rFonts w:hint="eastAsia"/>
          <w:snapToGrid w:val="0"/>
          <w:color w:val="auto"/>
          <w:highlight w:val="none"/>
        </w:rPr>
      </w:pPr>
      <w:r>
        <w:rPr>
          <w:rFonts w:hint="eastAsia"/>
          <w:snapToGrid w:val="0"/>
          <w:color w:val="auto"/>
          <w:highlight w:val="none"/>
        </w:rPr>
        <w:t>受托方（乙方）名称（盖章）：</w:t>
      </w:r>
    </w:p>
    <w:p w14:paraId="49DDE8DE">
      <w:pPr>
        <w:spacing w:line="480" w:lineRule="exact"/>
        <w:ind w:firstLine="480" w:firstLineChars="200"/>
        <w:rPr>
          <w:rFonts w:hint="eastAsia"/>
          <w:snapToGrid w:val="0"/>
          <w:color w:val="auto"/>
          <w:highlight w:val="none"/>
          <w:lang w:val="en-US" w:eastAsia="zh-CN"/>
        </w:rPr>
      </w:pPr>
      <w:r>
        <w:rPr>
          <w:rFonts w:hint="eastAsia"/>
          <w:snapToGrid w:val="0"/>
          <w:color w:val="auto"/>
          <w:highlight w:val="none"/>
          <w:lang w:val="en-US" w:eastAsia="zh-CN"/>
        </w:rPr>
        <w:t>单位：</w:t>
      </w:r>
    </w:p>
    <w:p w14:paraId="1E86855F">
      <w:pPr>
        <w:spacing w:line="480" w:lineRule="exact"/>
        <w:ind w:firstLine="480" w:firstLineChars="200"/>
        <w:rPr>
          <w:rFonts w:hint="eastAsia"/>
          <w:snapToGrid w:val="0"/>
          <w:color w:val="auto"/>
          <w:highlight w:val="none"/>
        </w:rPr>
      </w:pPr>
      <w:r>
        <w:rPr>
          <w:rFonts w:hint="eastAsia"/>
          <w:snapToGrid w:val="0"/>
          <w:color w:val="auto"/>
          <w:highlight w:val="none"/>
        </w:rPr>
        <w:t>地址：</w:t>
      </w:r>
    </w:p>
    <w:p w14:paraId="3B1AC8D3">
      <w:pPr>
        <w:spacing w:line="480" w:lineRule="exact"/>
        <w:ind w:firstLine="480" w:firstLineChars="200"/>
        <w:rPr>
          <w:rFonts w:hint="eastAsia"/>
          <w:snapToGrid w:val="0"/>
          <w:color w:val="auto"/>
          <w:highlight w:val="none"/>
        </w:rPr>
      </w:pPr>
      <w:r>
        <w:rPr>
          <w:rFonts w:hint="eastAsia"/>
          <w:snapToGrid w:val="0"/>
          <w:color w:val="auto"/>
          <w:highlight w:val="none"/>
        </w:rPr>
        <w:t>法定代表人（签名或盖章）：</w:t>
      </w:r>
    </w:p>
    <w:p w14:paraId="7383EE68">
      <w:pPr>
        <w:spacing w:line="480" w:lineRule="exact"/>
        <w:ind w:firstLine="480" w:firstLineChars="200"/>
        <w:rPr>
          <w:rFonts w:hint="eastAsia"/>
          <w:snapToGrid w:val="0"/>
          <w:color w:val="auto"/>
          <w:highlight w:val="none"/>
        </w:rPr>
      </w:pPr>
      <w:r>
        <w:rPr>
          <w:rFonts w:hint="eastAsia"/>
          <w:snapToGrid w:val="0"/>
          <w:color w:val="auto"/>
          <w:highlight w:val="none"/>
        </w:rPr>
        <w:t>委托代理人（签名或盖章）：</w:t>
      </w:r>
    </w:p>
    <w:p w14:paraId="7F278C47">
      <w:pPr>
        <w:spacing w:line="480" w:lineRule="exact"/>
        <w:ind w:firstLine="480" w:firstLineChars="200"/>
        <w:rPr>
          <w:rFonts w:hint="eastAsia"/>
          <w:snapToGrid w:val="0"/>
          <w:color w:val="auto"/>
          <w:highlight w:val="none"/>
        </w:rPr>
      </w:pPr>
      <w:r>
        <w:rPr>
          <w:rFonts w:hint="eastAsia"/>
          <w:snapToGrid w:val="0"/>
          <w:color w:val="auto"/>
          <w:highlight w:val="none"/>
        </w:rPr>
        <w:t>联系人：</w:t>
      </w:r>
    </w:p>
    <w:p w14:paraId="4ED5863E">
      <w:pPr>
        <w:spacing w:line="480" w:lineRule="exact"/>
        <w:ind w:firstLine="480" w:firstLineChars="200"/>
        <w:rPr>
          <w:rFonts w:hint="eastAsia"/>
          <w:snapToGrid w:val="0"/>
          <w:color w:val="auto"/>
          <w:highlight w:val="none"/>
        </w:rPr>
      </w:pPr>
      <w:r>
        <w:rPr>
          <w:rFonts w:hint="eastAsia"/>
          <w:snapToGrid w:val="0"/>
          <w:color w:val="auto"/>
          <w:highlight w:val="none"/>
        </w:rPr>
        <w:t>电  话：</w:t>
      </w:r>
    </w:p>
    <w:p w14:paraId="0D7D6D69">
      <w:pPr>
        <w:spacing w:line="480" w:lineRule="exact"/>
        <w:ind w:firstLine="480" w:firstLineChars="200"/>
        <w:rPr>
          <w:rFonts w:hint="eastAsia"/>
          <w:snapToGrid w:val="0"/>
          <w:color w:val="auto"/>
          <w:highlight w:val="none"/>
        </w:rPr>
      </w:pPr>
      <w:r>
        <w:rPr>
          <w:rFonts w:hint="eastAsia"/>
          <w:snapToGrid w:val="0"/>
          <w:color w:val="auto"/>
          <w:highlight w:val="none"/>
          <w:lang w:val="en-US" w:eastAsia="zh-CN"/>
        </w:rPr>
        <w:t>时</w:t>
      </w:r>
      <w:r>
        <w:rPr>
          <w:rFonts w:hint="eastAsia"/>
          <w:snapToGrid w:val="0"/>
          <w:color w:val="auto"/>
          <w:highlight w:val="none"/>
        </w:rPr>
        <w:t xml:space="preserve">  </w:t>
      </w:r>
      <w:r>
        <w:rPr>
          <w:rFonts w:hint="eastAsia"/>
          <w:snapToGrid w:val="0"/>
          <w:color w:val="auto"/>
          <w:highlight w:val="none"/>
          <w:lang w:val="en-US" w:eastAsia="zh-CN"/>
        </w:rPr>
        <w:t>间</w:t>
      </w:r>
      <w:r>
        <w:rPr>
          <w:rFonts w:hint="eastAsia"/>
          <w:snapToGrid w:val="0"/>
          <w:color w:val="auto"/>
          <w:highlight w:val="none"/>
        </w:rPr>
        <w:t>：202</w:t>
      </w:r>
      <w:r>
        <w:rPr>
          <w:rFonts w:hint="eastAsia"/>
          <w:snapToGrid w:val="0"/>
          <w:color w:val="auto"/>
          <w:highlight w:val="none"/>
          <w:lang w:val="en-US" w:eastAsia="zh-CN"/>
        </w:rPr>
        <w:t>5</w:t>
      </w:r>
      <w:r>
        <w:rPr>
          <w:rFonts w:hint="eastAsia"/>
          <w:snapToGrid w:val="0"/>
          <w:color w:val="auto"/>
          <w:highlight w:val="none"/>
        </w:rPr>
        <w:t>年   月   日</w:t>
      </w:r>
    </w:p>
    <w:p w14:paraId="5A5032CC">
      <w:pPr>
        <w:rPr>
          <w:rFonts w:hint="eastAsia"/>
          <w:snapToGrid w:val="0"/>
          <w:color w:val="auto"/>
          <w:highlight w:val="none"/>
        </w:rPr>
      </w:pPr>
      <w:r>
        <w:rPr>
          <w:rFonts w:hint="eastAsia"/>
          <w:snapToGrid w:val="0"/>
          <w:color w:val="auto"/>
          <w:highlight w:val="none"/>
        </w:rPr>
        <w:br w:type="page"/>
      </w:r>
    </w:p>
    <w:p w14:paraId="4A05F92D">
      <w:pPr>
        <w:pStyle w:val="6"/>
        <w:jc w:val="center"/>
        <w:outlineLvl w:val="1"/>
        <w:rPr>
          <w:rFonts w:hint="eastAsia" w:ascii="Times New Roman" w:hAnsi="Times New Roman" w:eastAsia="宋体" w:cs="Times New Roman"/>
          <w:b/>
          <w:bCs/>
          <w:color w:val="auto"/>
          <w:kern w:val="44"/>
          <w:sz w:val="32"/>
          <w:szCs w:val="52"/>
          <w:highlight w:val="none"/>
          <w:lang w:val="en-US" w:eastAsia="zh-CN" w:bidi="ar-SA"/>
        </w:rPr>
      </w:pPr>
      <w:r>
        <w:rPr>
          <w:rFonts w:hint="eastAsia" w:ascii="Times New Roman" w:hAnsi="Times New Roman" w:eastAsia="宋体" w:cs="Times New Roman"/>
          <w:b/>
          <w:bCs/>
          <w:color w:val="auto"/>
          <w:kern w:val="44"/>
          <w:sz w:val="32"/>
          <w:szCs w:val="52"/>
          <w:highlight w:val="none"/>
          <w:lang w:val="en-US" w:eastAsia="zh-CN" w:bidi="ar-SA"/>
        </w:rPr>
        <w:t>第五章  投标文件格式</w:t>
      </w:r>
    </w:p>
    <w:p w14:paraId="67FAAA1C">
      <w:pPr>
        <w:pStyle w:val="3"/>
        <w:spacing w:before="120" w:after="120" w:line="600" w:lineRule="exact"/>
        <w:jc w:val="both"/>
        <w:rPr>
          <w:color w:val="auto"/>
          <w:highlight w:val="none"/>
        </w:rPr>
      </w:pPr>
      <w:r>
        <w:rPr>
          <w:rFonts w:hint="eastAsia" w:ascii="宋体" w:hAnsi="宋体"/>
          <w:b/>
          <w:bCs/>
          <w:color w:val="auto"/>
          <w:highlight w:val="none"/>
          <w:lang w:val="en-US" w:eastAsia="zh-CN"/>
        </w:rPr>
        <w:t>一</w:t>
      </w:r>
      <w:r>
        <w:rPr>
          <w:rFonts w:hint="eastAsia" w:ascii="宋体" w:hAnsi="宋体"/>
          <w:b/>
          <w:bCs/>
          <w:color w:val="auto"/>
          <w:highlight w:val="none"/>
        </w:rPr>
        <w:t>、招标文件响应声明书</w:t>
      </w:r>
      <w:r>
        <w:rPr>
          <w:rFonts w:hint="eastAsia" w:ascii="宋体" w:hAnsi="宋体"/>
          <w:b/>
          <w:bCs/>
          <w:color w:val="auto"/>
          <w:highlight w:val="none"/>
          <w:lang w:eastAsia="zh-CN"/>
        </w:rPr>
        <w:t>模板</w:t>
      </w:r>
      <w:r>
        <w:rPr>
          <w:rFonts w:hint="eastAsia" w:ascii="宋体" w:hAnsi="宋体"/>
          <w:b/>
          <w:bCs/>
          <w:color w:val="auto"/>
          <w:highlight w:val="none"/>
        </w:rPr>
        <w:t>版）</w:t>
      </w:r>
    </w:p>
    <w:p w14:paraId="2C7C2CE8">
      <w:pPr>
        <w:autoSpaceDE w:val="0"/>
        <w:autoSpaceDN w:val="0"/>
        <w:adjustRightInd w:val="0"/>
        <w:snapToGrid w:val="0"/>
        <w:spacing w:line="30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eastAsia="zh-CN"/>
        </w:rPr>
        <w:t>招标单位</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w:t>
      </w:r>
    </w:p>
    <w:p w14:paraId="4961B388">
      <w:p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（投标单位全称）</w:t>
      </w:r>
      <w:r>
        <w:rPr>
          <w:rFonts w:hint="eastAsia" w:ascii="仿宋_GB2312" w:hAnsi="仿宋_GB2312" w:eastAsia="仿宋_GB2312" w:cs="仿宋_GB2312"/>
          <w:color w:val="auto"/>
          <w:sz w:val="24"/>
          <w:szCs w:val="24"/>
          <w:highlight w:val="none"/>
        </w:rPr>
        <w:t>授权</w:t>
      </w:r>
      <w:r>
        <w:rPr>
          <w:rFonts w:hint="eastAsia" w:ascii="仿宋_GB2312" w:hAnsi="仿宋_GB2312" w:eastAsia="仿宋_GB2312" w:cs="仿宋_GB2312"/>
          <w:color w:val="auto"/>
          <w:sz w:val="24"/>
          <w:szCs w:val="24"/>
          <w:highlight w:val="none"/>
          <w:u w:val="single"/>
        </w:rPr>
        <w:t>（全名、职务）</w:t>
      </w:r>
      <w:r>
        <w:rPr>
          <w:rFonts w:hint="eastAsia" w:ascii="仿宋_GB2312" w:hAnsi="仿宋_GB2312" w:eastAsia="仿宋_GB2312" w:cs="仿宋_GB2312"/>
          <w:color w:val="auto"/>
          <w:sz w:val="24"/>
          <w:szCs w:val="24"/>
          <w:highlight w:val="none"/>
        </w:rPr>
        <w:t>为全权代表，参加贵方组织的</w:t>
      </w:r>
      <w:r>
        <w:rPr>
          <w:rFonts w:hint="eastAsia" w:ascii="仿宋_GB2312" w:hAnsi="仿宋_GB2312" w:eastAsia="仿宋_GB2312" w:cs="仿宋_GB2312"/>
          <w:color w:val="auto"/>
          <w:sz w:val="24"/>
          <w:szCs w:val="24"/>
          <w:highlight w:val="none"/>
          <w:u w:val="single"/>
        </w:rPr>
        <w:t>（项目）</w:t>
      </w:r>
      <w:r>
        <w:rPr>
          <w:rFonts w:hint="eastAsia" w:ascii="仿宋_GB2312" w:hAnsi="仿宋_GB2312" w:eastAsia="仿宋_GB2312" w:cs="仿宋_GB2312"/>
          <w:color w:val="auto"/>
          <w:sz w:val="24"/>
          <w:szCs w:val="24"/>
          <w:highlight w:val="none"/>
        </w:rPr>
        <w:t>招标活动并投标，根据贵方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的招标文件，我方针对该项目的投标报价为</w:t>
      </w:r>
      <w:r>
        <w:rPr>
          <w:rFonts w:hint="eastAsia" w:ascii="仿宋_GB2312" w:hAnsi="仿宋_GB2312" w:eastAsia="仿宋_GB2312" w:cs="仿宋_GB2312"/>
          <w:color w:val="auto"/>
          <w:sz w:val="24"/>
          <w:szCs w:val="24"/>
          <w:highlight w:val="none"/>
          <w:lang w:val="en-US" w:eastAsia="zh-CN"/>
        </w:rPr>
        <w:t>人民币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元（大写</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元</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服务周期为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日历天。</w:t>
      </w:r>
    </w:p>
    <w:p w14:paraId="031F83E2">
      <w:p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为此：</w:t>
      </w:r>
    </w:p>
    <w:p w14:paraId="0A9DFCF2">
      <w:pPr>
        <w:numPr>
          <w:ilvl w:val="0"/>
          <w:numId w:val="4"/>
        </w:num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我方已详细阅读了全部招标文件，包括修改文件（如有）及全部参考资料和附件。我们完全理解并同意放弃对这方面有不明及误解的权利。愿意接受招标文件中的各项要求。</w:t>
      </w:r>
    </w:p>
    <w:p w14:paraId="41A78BB2">
      <w:pPr>
        <w:numPr>
          <w:ilvl w:val="0"/>
          <w:numId w:val="4"/>
        </w:num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我方提供招标文件要求的全部资料，并保证真实性、合法性。</w:t>
      </w:r>
    </w:p>
    <w:p w14:paraId="611412E5">
      <w:pPr>
        <w:numPr>
          <w:ilvl w:val="0"/>
          <w:numId w:val="4"/>
        </w:num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若中标，我方将按照招标文件规定，履行合同责任和义务。</w:t>
      </w:r>
    </w:p>
    <w:p w14:paraId="486F36E7">
      <w:pPr>
        <w:numPr>
          <w:ilvl w:val="0"/>
          <w:numId w:val="4"/>
        </w:num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询价响应书自开标日起有效期为30天。</w:t>
      </w:r>
    </w:p>
    <w:p w14:paraId="62138636">
      <w:pPr>
        <w:numPr>
          <w:ilvl w:val="0"/>
          <w:numId w:val="4"/>
        </w:num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我方与本招标文件响应有关的一切正式往来通讯请寄：</w:t>
      </w:r>
    </w:p>
    <w:p w14:paraId="6C79A305">
      <w:pPr>
        <w:autoSpaceDE w:val="0"/>
        <w:autoSpaceDN w:val="0"/>
        <w:adjustRightInd w:val="0"/>
        <w:snapToGrid w:val="0"/>
        <w:spacing w:line="300" w:lineRule="auto"/>
        <w:ind w:firstLine="960" w:firstLineChars="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邮编：</w:t>
      </w:r>
    </w:p>
    <w:p w14:paraId="59F51A79">
      <w:pPr>
        <w:autoSpaceDE w:val="0"/>
        <w:autoSpaceDN w:val="0"/>
        <w:adjustRightInd w:val="0"/>
        <w:snapToGrid w:val="0"/>
        <w:spacing w:line="300" w:lineRule="auto"/>
        <w:ind w:firstLine="960" w:firstLineChars="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传真：</w:t>
      </w:r>
    </w:p>
    <w:p w14:paraId="2FF9DC10">
      <w:pPr>
        <w:numPr>
          <w:ilvl w:val="0"/>
          <w:numId w:val="4"/>
        </w:numPr>
        <w:autoSpaceDE w:val="0"/>
        <w:autoSpaceDN w:val="0"/>
        <w:adjustRightInd w:val="0"/>
        <w:snapToGrid w:val="0"/>
        <w:spacing w:line="300" w:lineRule="auto"/>
        <w:ind w:firstLine="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我方同意</w:t>
      </w:r>
      <w:r>
        <w:rPr>
          <w:rFonts w:hint="eastAsia" w:ascii="仿宋_GB2312" w:hAnsi="仿宋_GB2312" w:eastAsia="仿宋_GB2312" w:cs="仿宋_GB2312"/>
          <w:color w:val="auto"/>
          <w:sz w:val="24"/>
          <w:szCs w:val="24"/>
          <w:highlight w:val="none"/>
          <w:lang w:eastAsia="zh-CN"/>
        </w:rPr>
        <w:t>招标单位</w:t>
      </w:r>
      <w:r>
        <w:rPr>
          <w:rFonts w:hint="eastAsia" w:ascii="仿宋_GB2312" w:hAnsi="仿宋_GB2312" w:eastAsia="仿宋_GB2312" w:cs="仿宋_GB2312"/>
          <w:color w:val="auto"/>
          <w:sz w:val="24"/>
          <w:szCs w:val="24"/>
          <w:highlight w:val="none"/>
        </w:rPr>
        <w:t>不一定接受最低报价的投标。</w:t>
      </w:r>
    </w:p>
    <w:p w14:paraId="5903905C">
      <w:p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投标单位名称（公章）：</w:t>
      </w:r>
    </w:p>
    <w:p w14:paraId="0577F884">
      <w:p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授权代表签字：</w:t>
      </w:r>
    </w:p>
    <w:p w14:paraId="54FE7D40">
      <w:pPr>
        <w:autoSpaceDE w:val="0"/>
        <w:autoSpaceDN w:val="0"/>
        <w:adjustRightInd w:val="0"/>
        <w:snapToGrid w:val="0"/>
        <w:spacing w:line="30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投标响应日期：</w:t>
      </w:r>
      <w:r>
        <w:rPr>
          <w:rFonts w:hint="eastAsia" w:ascii="仿宋_GB2312" w:hAnsi="仿宋_GB2312" w:eastAsia="仿宋_GB2312" w:cs="仿宋_GB2312"/>
          <w:color w:val="auto"/>
          <w:sz w:val="24"/>
          <w:szCs w:val="24"/>
          <w:highlight w:val="none"/>
          <w:lang w:val="en-US" w:eastAsia="zh-CN"/>
        </w:rPr>
        <w:t xml:space="preserve">  </w:t>
      </w:r>
    </w:p>
    <w:p w14:paraId="4E7C0B4D">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15D05904">
      <w:pPr>
        <w:pStyle w:val="3"/>
        <w:spacing w:before="120" w:after="120" w:line="600" w:lineRule="exact"/>
        <w:ind w:left="480" w:leftChars="200"/>
        <w:jc w:val="left"/>
        <w:rPr>
          <w:rFonts w:ascii="宋体"/>
          <w:b/>
          <w:bCs/>
          <w:color w:val="auto"/>
          <w:highlight w:val="none"/>
        </w:rPr>
      </w:pPr>
      <w:r>
        <w:rPr>
          <w:rFonts w:hint="eastAsia" w:ascii="宋体" w:hAnsi="宋体"/>
          <w:b/>
          <w:bCs/>
          <w:color w:val="auto"/>
          <w:highlight w:val="none"/>
          <w:lang w:val="en-US" w:eastAsia="zh-CN"/>
        </w:rPr>
        <w:t>二</w:t>
      </w:r>
      <w:r>
        <w:rPr>
          <w:rFonts w:hint="eastAsia" w:ascii="宋体" w:hAnsi="宋体"/>
          <w:b/>
          <w:bCs/>
          <w:color w:val="auto"/>
          <w:highlight w:val="none"/>
        </w:rPr>
        <w:t>、投标一览表</w:t>
      </w:r>
    </w:p>
    <w:p w14:paraId="052B1A89">
      <w:pPr>
        <w:spacing w:line="600" w:lineRule="exact"/>
        <w:ind w:left="480" w:leftChars="200"/>
        <w:rPr>
          <w:rStyle w:val="12"/>
          <w:rFonts w:hint="eastAsia" w:ascii="仿宋_GB2312" w:hAnsi="仿宋_GB2312" w:eastAsia="仿宋_GB2312" w:cs="仿宋_GB2312"/>
          <w:color w:val="auto"/>
          <w:sz w:val="24"/>
          <w:szCs w:val="24"/>
          <w:highlight w:val="none"/>
          <w:u w:val="single"/>
        </w:rPr>
      </w:pPr>
      <w:r>
        <w:rPr>
          <w:rStyle w:val="12"/>
          <w:rFonts w:hint="eastAsia" w:ascii="仿宋_GB2312" w:hAnsi="仿宋_GB2312" w:eastAsia="仿宋_GB2312" w:cs="仿宋_GB2312"/>
          <w:color w:val="auto"/>
          <w:sz w:val="24"/>
          <w:szCs w:val="24"/>
          <w:highlight w:val="none"/>
        </w:rPr>
        <w:t>项目名称：</w:t>
      </w:r>
    </w:p>
    <w:p w14:paraId="3EE392D3">
      <w:pPr>
        <w:spacing w:line="600" w:lineRule="exact"/>
        <w:ind w:left="480" w:leftChars="200"/>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lang w:eastAsia="zh-CN"/>
        </w:rPr>
        <w:t>投标单位</w:t>
      </w:r>
      <w:r>
        <w:rPr>
          <w:rStyle w:val="12"/>
          <w:rFonts w:hint="eastAsia" w:ascii="仿宋_GB2312" w:hAnsi="仿宋_GB2312" w:eastAsia="仿宋_GB2312" w:cs="仿宋_GB2312"/>
          <w:color w:val="auto"/>
          <w:sz w:val="24"/>
          <w:szCs w:val="24"/>
          <w:highlight w:val="none"/>
        </w:rPr>
        <w:t>名称：</w:t>
      </w:r>
    </w:p>
    <w:tbl>
      <w:tblPr>
        <w:tblStyle w:val="9"/>
        <w:tblW w:w="8522" w:type="dxa"/>
        <w:jc w:val="center"/>
        <w:tblLayout w:type="fixed"/>
        <w:tblCellMar>
          <w:top w:w="0" w:type="dxa"/>
          <w:left w:w="108" w:type="dxa"/>
          <w:bottom w:w="0" w:type="dxa"/>
          <w:right w:w="108" w:type="dxa"/>
        </w:tblCellMar>
      </w:tblPr>
      <w:tblGrid>
        <w:gridCol w:w="5407"/>
        <w:gridCol w:w="1816"/>
        <w:gridCol w:w="1299"/>
      </w:tblGrid>
      <w:tr w14:paraId="6E152304">
        <w:tblPrEx>
          <w:tblCellMar>
            <w:top w:w="0" w:type="dxa"/>
            <w:left w:w="108" w:type="dxa"/>
            <w:bottom w:w="0" w:type="dxa"/>
            <w:right w:w="108" w:type="dxa"/>
          </w:tblCellMar>
        </w:tblPrEx>
        <w:trPr>
          <w:cantSplit/>
          <w:trHeight w:val="490" w:hRule="atLeast"/>
          <w:jc w:val="center"/>
        </w:trPr>
        <w:tc>
          <w:tcPr>
            <w:tcW w:w="5407" w:type="dxa"/>
            <w:tcBorders>
              <w:top w:val="single" w:color="auto" w:sz="4" w:space="0"/>
              <w:left w:val="single" w:color="auto" w:sz="4" w:space="0"/>
              <w:bottom w:val="single" w:color="auto" w:sz="4" w:space="0"/>
              <w:right w:val="single" w:color="auto" w:sz="4" w:space="0"/>
            </w:tcBorders>
            <w:noWrap w:val="0"/>
            <w:vAlign w:val="center"/>
          </w:tcPr>
          <w:p w14:paraId="77411280">
            <w:pPr>
              <w:spacing w:line="400" w:lineRule="exact"/>
              <w:jc w:val="center"/>
              <w:rPr>
                <w:rStyle w:val="12"/>
                <w:rFonts w:hint="eastAsia" w:ascii="仿宋_GB2312" w:hAnsi="仿宋_GB2312" w:eastAsia="仿宋_GB2312" w:cs="仿宋_GB2312"/>
                <w:color w:val="auto"/>
                <w:sz w:val="22"/>
                <w:szCs w:val="22"/>
                <w:highlight w:val="none"/>
              </w:rPr>
            </w:pPr>
            <w:r>
              <w:rPr>
                <w:rStyle w:val="12"/>
                <w:rFonts w:hint="eastAsia" w:ascii="仿宋_GB2312" w:hAnsi="仿宋_GB2312" w:eastAsia="仿宋_GB2312" w:cs="仿宋_GB2312"/>
                <w:color w:val="auto"/>
                <w:sz w:val="22"/>
                <w:szCs w:val="22"/>
                <w:highlight w:val="none"/>
              </w:rPr>
              <w:t>项目名称</w:t>
            </w:r>
          </w:p>
        </w:tc>
        <w:tc>
          <w:tcPr>
            <w:tcW w:w="1816" w:type="dxa"/>
            <w:tcBorders>
              <w:top w:val="single" w:color="auto" w:sz="4" w:space="0"/>
              <w:left w:val="nil"/>
              <w:bottom w:val="single" w:color="auto" w:sz="4" w:space="0"/>
              <w:right w:val="single" w:color="auto" w:sz="4" w:space="0"/>
            </w:tcBorders>
            <w:noWrap w:val="0"/>
            <w:vAlign w:val="center"/>
          </w:tcPr>
          <w:p w14:paraId="52E4706C">
            <w:pPr>
              <w:spacing w:line="400" w:lineRule="exact"/>
              <w:jc w:val="center"/>
              <w:rPr>
                <w:rStyle w:val="12"/>
                <w:rFonts w:hint="eastAsia" w:ascii="仿宋_GB2312" w:hAnsi="仿宋_GB2312" w:eastAsia="仿宋_GB2312" w:cs="仿宋_GB2312"/>
                <w:color w:val="auto"/>
                <w:sz w:val="22"/>
                <w:szCs w:val="22"/>
                <w:highlight w:val="none"/>
              </w:rPr>
            </w:pPr>
            <w:r>
              <w:rPr>
                <w:rStyle w:val="12"/>
                <w:rFonts w:hint="eastAsia" w:ascii="仿宋_GB2312" w:hAnsi="仿宋_GB2312" w:eastAsia="仿宋_GB2312" w:cs="仿宋_GB2312"/>
                <w:color w:val="auto"/>
                <w:sz w:val="22"/>
                <w:szCs w:val="22"/>
                <w:highlight w:val="none"/>
              </w:rPr>
              <w:t>投标总价</w:t>
            </w:r>
          </w:p>
        </w:tc>
        <w:tc>
          <w:tcPr>
            <w:tcW w:w="1299" w:type="dxa"/>
            <w:tcBorders>
              <w:top w:val="single" w:color="auto" w:sz="4" w:space="0"/>
              <w:left w:val="nil"/>
              <w:bottom w:val="single" w:color="auto" w:sz="4" w:space="0"/>
              <w:right w:val="single" w:color="auto" w:sz="4" w:space="0"/>
            </w:tcBorders>
            <w:noWrap w:val="0"/>
            <w:vAlign w:val="center"/>
          </w:tcPr>
          <w:p w14:paraId="6C68B061">
            <w:pPr>
              <w:spacing w:line="400" w:lineRule="exact"/>
              <w:jc w:val="center"/>
              <w:rPr>
                <w:rStyle w:val="12"/>
                <w:rFonts w:hint="eastAsia" w:ascii="仿宋_GB2312" w:hAnsi="仿宋_GB2312" w:eastAsia="仿宋_GB2312" w:cs="仿宋_GB2312"/>
                <w:color w:val="auto"/>
                <w:sz w:val="22"/>
                <w:szCs w:val="22"/>
                <w:highlight w:val="none"/>
              </w:rPr>
            </w:pPr>
            <w:r>
              <w:rPr>
                <w:rStyle w:val="12"/>
                <w:rFonts w:hint="eastAsia" w:ascii="仿宋_GB2312" w:hAnsi="仿宋_GB2312" w:eastAsia="仿宋_GB2312" w:cs="仿宋_GB2312"/>
                <w:color w:val="auto"/>
                <w:sz w:val="22"/>
                <w:szCs w:val="22"/>
                <w:highlight w:val="none"/>
              </w:rPr>
              <w:t>备注</w:t>
            </w:r>
          </w:p>
        </w:tc>
      </w:tr>
      <w:tr w14:paraId="75614DFE">
        <w:tblPrEx>
          <w:tblCellMar>
            <w:top w:w="0" w:type="dxa"/>
            <w:left w:w="108" w:type="dxa"/>
            <w:bottom w:w="0" w:type="dxa"/>
            <w:right w:w="108" w:type="dxa"/>
          </w:tblCellMar>
        </w:tblPrEx>
        <w:trPr>
          <w:cantSplit/>
          <w:trHeight w:val="593" w:hRule="atLeast"/>
          <w:jc w:val="center"/>
        </w:trPr>
        <w:tc>
          <w:tcPr>
            <w:tcW w:w="5407" w:type="dxa"/>
            <w:tcBorders>
              <w:top w:val="single" w:color="auto" w:sz="4" w:space="0"/>
              <w:left w:val="single" w:color="auto" w:sz="4" w:space="0"/>
              <w:bottom w:val="single" w:color="auto" w:sz="4" w:space="0"/>
              <w:right w:val="single" w:color="auto" w:sz="4" w:space="0"/>
            </w:tcBorders>
            <w:noWrap w:val="0"/>
            <w:vAlign w:val="center"/>
          </w:tcPr>
          <w:p w14:paraId="660687B2">
            <w:pPr>
              <w:spacing w:line="400" w:lineRule="exact"/>
              <w:ind w:firstLine="0" w:firstLineChars="0"/>
              <w:jc w:val="center"/>
              <w:rPr>
                <w:rStyle w:val="12"/>
                <w:color w:val="auto"/>
                <w:highlight w:val="none"/>
              </w:rPr>
            </w:pPr>
          </w:p>
        </w:tc>
        <w:tc>
          <w:tcPr>
            <w:tcW w:w="1816" w:type="dxa"/>
            <w:tcBorders>
              <w:top w:val="single" w:color="auto" w:sz="4" w:space="0"/>
              <w:left w:val="nil"/>
              <w:bottom w:val="single" w:color="auto" w:sz="4" w:space="0"/>
              <w:right w:val="single" w:color="auto" w:sz="4" w:space="0"/>
            </w:tcBorders>
            <w:noWrap w:val="0"/>
            <w:vAlign w:val="center"/>
          </w:tcPr>
          <w:p w14:paraId="6CA2C69B">
            <w:pPr>
              <w:spacing w:line="400" w:lineRule="exact"/>
              <w:ind w:firstLine="0" w:firstLineChars="0"/>
              <w:jc w:val="center"/>
              <w:rPr>
                <w:rStyle w:val="12"/>
                <w:color w:val="auto"/>
                <w:highlight w:val="none"/>
              </w:rPr>
            </w:pPr>
          </w:p>
        </w:tc>
        <w:tc>
          <w:tcPr>
            <w:tcW w:w="1299" w:type="dxa"/>
            <w:tcBorders>
              <w:top w:val="single" w:color="auto" w:sz="4" w:space="0"/>
              <w:left w:val="nil"/>
              <w:bottom w:val="single" w:color="auto" w:sz="4" w:space="0"/>
              <w:right w:val="single" w:color="auto" w:sz="4" w:space="0"/>
            </w:tcBorders>
            <w:noWrap w:val="0"/>
            <w:vAlign w:val="center"/>
          </w:tcPr>
          <w:p w14:paraId="7B855F69">
            <w:pPr>
              <w:spacing w:line="400" w:lineRule="exact"/>
              <w:ind w:firstLine="0" w:firstLineChars="0"/>
              <w:jc w:val="center"/>
              <w:rPr>
                <w:rStyle w:val="12"/>
                <w:color w:val="auto"/>
                <w:highlight w:val="none"/>
              </w:rPr>
            </w:pPr>
          </w:p>
        </w:tc>
      </w:tr>
    </w:tbl>
    <w:p w14:paraId="325D34DC">
      <w:pPr>
        <w:keepNext w:val="0"/>
        <w:keepLines w:val="0"/>
        <w:widowControl/>
        <w:adjustRightInd/>
        <w:spacing w:before="0" w:beforeLines="0" w:after="0" w:afterLines="0" w:line="600" w:lineRule="exact"/>
        <w:ind w:left="480" w:leftChars="200"/>
        <w:textAlignment w:val="auto"/>
        <w:outlineLvl w:val="9"/>
        <w:rPr>
          <w:rStyle w:val="12"/>
          <w:rFonts w:ascii="仿宋_GB2312" w:hAnsi="仿宋_GB2312" w:eastAsia="仿宋_GB2312" w:cs="仿宋_GB2312"/>
          <w:color w:val="auto"/>
          <w:szCs w:val="24"/>
          <w:highlight w:val="none"/>
        </w:rPr>
      </w:pPr>
      <w:r>
        <w:rPr>
          <w:rStyle w:val="12"/>
          <w:rFonts w:ascii="仿宋_GB2312" w:hAnsi="仿宋_GB2312" w:eastAsia="仿宋_GB2312" w:cs="仿宋_GB2312"/>
          <w:color w:val="auto"/>
          <w:szCs w:val="24"/>
          <w:highlight w:val="none"/>
        </w:rPr>
        <w:t>拟安排的项目负责人情况（仅限</w:t>
      </w:r>
      <w:r>
        <w:rPr>
          <w:rStyle w:val="12"/>
          <w:rFonts w:hint="eastAsia" w:ascii="仿宋_GB2312" w:hAnsi="仿宋_GB2312" w:eastAsia="仿宋_GB2312" w:cs="仿宋_GB2312"/>
          <w:color w:val="auto"/>
          <w:szCs w:val="24"/>
          <w:highlight w:val="none"/>
        </w:rPr>
        <w:t>1人）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14:paraId="08DA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noWrap w:val="0"/>
            <w:vAlign w:val="center"/>
          </w:tcPr>
          <w:p w14:paraId="3E869397">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序号</w:t>
            </w:r>
          </w:p>
        </w:tc>
        <w:tc>
          <w:tcPr>
            <w:tcW w:w="1601" w:type="dxa"/>
            <w:noWrap w:val="0"/>
            <w:vAlign w:val="center"/>
          </w:tcPr>
          <w:p w14:paraId="0F5DE868">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姓名</w:t>
            </w:r>
          </w:p>
        </w:tc>
        <w:tc>
          <w:tcPr>
            <w:tcW w:w="2141" w:type="dxa"/>
            <w:noWrap w:val="0"/>
            <w:vAlign w:val="center"/>
          </w:tcPr>
          <w:p w14:paraId="6FF69589">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职称</w:t>
            </w:r>
          </w:p>
        </w:tc>
        <w:tc>
          <w:tcPr>
            <w:tcW w:w="2190" w:type="dxa"/>
            <w:noWrap w:val="0"/>
            <w:vAlign w:val="center"/>
          </w:tcPr>
          <w:p w14:paraId="4E222BCE">
            <w:pPr>
              <w:widowControl w:val="0"/>
              <w:spacing w:line="400" w:lineRule="exact"/>
              <w:jc w:val="center"/>
              <w:rPr>
                <w:rStyle w:val="12"/>
                <w:rFonts w:hint="eastAsia" w:ascii="仿宋_GB2312" w:hAnsi="仿宋_GB2312" w:eastAsia="仿宋_GB2312" w:cs="仿宋_GB2312"/>
                <w:color w:val="auto"/>
                <w:highlight w:val="none"/>
              </w:rPr>
            </w:pPr>
            <w:r>
              <w:rPr>
                <w:rStyle w:val="12"/>
                <w:rFonts w:ascii="仿宋_GB2312" w:hAnsi="仿宋_GB2312" w:eastAsia="仿宋_GB2312" w:cs="仿宋_GB2312"/>
                <w:color w:val="auto"/>
                <w:highlight w:val="none"/>
              </w:rPr>
              <w:t>学历</w:t>
            </w:r>
          </w:p>
        </w:tc>
        <w:tc>
          <w:tcPr>
            <w:tcW w:w="1594" w:type="dxa"/>
            <w:noWrap w:val="0"/>
            <w:vAlign w:val="center"/>
          </w:tcPr>
          <w:p w14:paraId="35054B3A">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备注</w:t>
            </w:r>
          </w:p>
        </w:tc>
      </w:tr>
      <w:tr w14:paraId="2D75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noWrap w:val="0"/>
            <w:vAlign w:val="top"/>
          </w:tcPr>
          <w:p w14:paraId="6DC63FB4">
            <w:pPr>
              <w:widowControl/>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1</w:t>
            </w:r>
          </w:p>
        </w:tc>
        <w:tc>
          <w:tcPr>
            <w:tcW w:w="1601" w:type="dxa"/>
            <w:noWrap w:val="0"/>
            <w:vAlign w:val="top"/>
          </w:tcPr>
          <w:p w14:paraId="4C1D8D5B">
            <w:pPr>
              <w:widowControl/>
              <w:spacing w:line="400" w:lineRule="exact"/>
              <w:jc w:val="center"/>
              <w:rPr>
                <w:rStyle w:val="12"/>
                <w:rFonts w:hint="eastAsia" w:ascii="仿宋_GB2312" w:hAnsi="仿宋_GB2312" w:eastAsia="仿宋_GB2312" w:cs="仿宋_GB2312"/>
                <w:color w:val="auto"/>
                <w:highlight w:val="none"/>
              </w:rPr>
            </w:pPr>
          </w:p>
        </w:tc>
        <w:tc>
          <w:tcPr>
            <w:tcW w:w="2141" w:type="dxa"/>
            <w:noWrap w:val="0"/>
            <w:vAlign w:val="top"/>
          </w:tcPr>
          <w:p w14:paraId="2E25439F">
            <w:pPr>
              <w:widowControl/>
              <w:spacing w:line="400" w:lineRule="exact"/>
              <w:jc w:val="center"/>
              <w:rPr>
                <w:rStyle w:val="12"/>
                <w:rFonts w:hint="eastAsia" w:ascii="仿宋_GB2312" w:hAnsi="仿宋_GB2312" w:eastAsia="仿宋_GB2312" w:cs="仿宋_GB2312"/>
                <w:color w:val="auto"/>
                <w:highlight w:val="none"/>
              </w:rPr>
            </w:pPr>
          </w:p>
        </w:tc>
        <w:tc>
          <w:tcPr>
            <w:tcW w:w="2190" w:type="dxa"/>
            <w:noWrap w:val="0"/>
            <w:vAlign w:val="top"/>
          </w:tcPr>
          <w:p w14:paraId="711ABCA0">
            <w:pPr>
              <w:widowControl/>
              <w:spacing w:line="400" w:lineRule="exact"/>
              <w:jc w:val="center"/>
              <w:rPr>
                <w:rStyle w:val="12"/>
                <w:rFonts w:hint="eastAsia" w:ascii="仿宋_GB2312" w:hAnsi="仿宋_GB2312" w:eastAsia="仿宋_GB2312" w:cs="仿宋_GB2312"/>
                <w:color w:val="auto"/>
                <w:highlight w:val="none"/>
              </w:rPr>
            </w:pPr>
          </w:p>
        </w:tc>
        <w:tc>
          <w:tcPr>
            <w:tcW w:w="1594" w:type="dxa"/>
            <w:noWrap w:val="0"/>
            <w:vAlign w:val="top"/>
          </w:tcPr>
          <w:p w14:paraId="0C134B31">
            <w:pPr>
              <w:widowControl/>
              <w:spacing w:line="400" w:lineRule="exact"/>
              <w:jc w:val="center"/>
              <w:rPr>
                <w:rStyle w:val="12"/>
                <w:rFonts w:hint="eastAsia" w:ascii="仿宋_GB2312" w:hAnsi="仿宋_GB2312" w:eastAsia="仿宋_GB2312" w:cs="仿宋_GB2312"/>
                <w:color w:val="auto"/>
                <w:highlight w:val="none"/>
              </w:rPr>
            </w:pPr>
          </w:p>
        </w:tc>
      </w:tr>
    </w:tbl>
    <w:p w14:paraId="4A90C4F7">
      <w:pPr>
        <w:keepNext w:val="0"/>
        <w:keepLines w:val="0"/>
        <w:widowControl/>
        <w:adjustRightInd/>
        <w:spacing w:before="0" w:beforeLines="0" w:after="0" w:afterLines="0" w:line="600" w:lineRule="exact"/>
        <w:ind w:left="480" w:leftChars="200"/>
        <w:textAlignment w:val="auto"/>
        <w:outlineLvl w:val="9"/>
        <w:rPr>
          <w:rStyle w:val="12"/>
          <w:rFonts w:ascii="仿宋_GB2312" w:hAnsi="仿宋_GB2312" w:eastAsia="仿宋_GB2312" w:cs="仿宋_GB2312"/>
          <w:color w:val="auto"/>
          <w:szCs w:val="24"/>
          <w:highlight w:val="none"/>
        </w:rPr>
      </w:pPr>
      <w:r>
        <w:rPr>
          <w:rStyle w:val="12"/>
          <w:rFonts w:hint="eastAsia" w:ascii="仿宋_GB2312" w:hAnsi="仿宋_GB2312" w:eastAsia="仿宋_GB2312" w:cs="仿宋_GB2312"/>
          <w:color w:val="auto"/>
          <w:szCs w:val="24"/>
          <w:highlight w:val="none"/>
          <w:lang w:val="en-US" w:eastAsia="zh-CN"/>
        </w:rPr>
        <w:t>拟</w:t>
      </w:r>
      <w:r>
        <w:rPr>
          <w:rStyle w:val="12"/>
          <w:rFonts w:ascii="仿宋_GB2312" w:hAnsi="仿宋_GB2312" w:eastAsia="仿宋_GB2312" w:cs="仿宋_GB2312"/>
          <w:color w:val="auto"/>
          <w:szCs w:val="24"/>
          <w:highlight w:val="none"/>
        </w:rPr>
        <w:t>安排的项目团队成员（项目负责人除外）情况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14:paraId="7AB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noWrap w:val="0"/>
            <w:vAlign w:val="center"/>
          </w:tcPr>
          <w:p w14:paraId="5945CD59">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序号</w:t>
            </w:r>
          </w:p>
        </w:tc>
        <w:tc>
          <w:tcPr>
            <w:tcW w:w="1601" w:type="dxa"/>
            <w:noWrap w:val="0"/>
            <w:vAlign w:val="center"/>
          </w:tcPr>
          <w:p w14:paraId="08651A0A">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姓名</w:t>
            </w:r>
          </w:p>
        </w:tc>
        <w:tc>
          <w:tcPr>
            <w:tcW w:w="2141" w:type="dxa"/>
            <w:noWrap w:val="0"/>
            <w:vAlign w:val="center"/>
          </w:tcPr>
          <w:p w14:paraId="11A5FFF3">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职称</w:t>
            </w:r>
          </w:p>
        </w:tc>
        <w:tc>
          <w:tcPr>
            <w:tcW w:w="2190" w:type="dxa"/>
            <w:noWrap w:val="0"/>
            <w:vAlign w:val="center"/>
          </w:tcPr>
          <w:p w14:paraId="309BFD75">
            <w:pPr>
              <w:widowControl w:val="0"/>
              <w:spacing w:line="400" w:lineRule="exact"/>
              <w:jc w:val="center"/>
              <w:rPr>
                <w:rStyle w:val="12"/>
                <w:rFonts w:hint="eastAsia" w:ascii="仿宋_GB2312" w:hAnsi="仿宋_GB2312" w:eastAsia="仿宋_GB2312" w:cs="仿宋_GB2312"/>
                <w:color w:val="auto"/>
                <w:highlight w:val="none"/>
              </w:rPr>
            </w:pPr>
            <w:r>
              <w:rPr>
                <w:rStyle w:val="12"/>
                <w:rFonts w:ascii="仿宋_GB2312" w:hAnsi="仿宋_GB2312" w:eastAsia="仿宋_GB2312" w:cs="仿宋_GB2312"/>
                <w:color w:val="auto"/>
                <w:highlight w:val="none"/>
              </w:rPr>
              <w:t>学历</w:t>
            </w:r>
          </w:p>
        </w:tc>
        <w:tc>
          <w:tcPr>
            <w:tcW w:w="1594" w:type="dxa"/>
            <w:noWrap w:val="0"/>
            <w:vAlign w:val="center"/>
          </w:tcPr>
          <w:p w14:paraId="00192E52">
            <w:pPr>
              <w:widowControl w:val="0"/>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备注</w:t>
            </w:r>
          </w:p>
        </w:tc>
      </w:tr>
      <w:tr w14:paraId="7D97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noWrap w:val="0"/>
            <w:vAlign w:val="top"/>
          </w:tcPr>
          <w:p w14:paraId="4F55D92B">
            <w:pPr>
              <w:widowControl/>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1</w:t>
            </w:r>
          </w:p>
        </w:tc>
        <w:tc>
          <w:tcPr>
            <w:tcW w:w="1601" w:type="dxa"/>
            <w:noWrap w:val="0"/>
            <w:vAlign w:val="top"/>
          </w:tcPr>
          <w:p w14:paraId="15822595">
            <w:pPr>
              <w:widowControl/>
              <w:spacing w:line="400" w:lineRule="exact"/>
              <w:jc w:val="center"/>
              <w:rPr>
                <w:rStyle w:val="12"/>
                <w:rFonts w:hint="eastAsia" w:ascii="仿宋_GB2312" w:hAnsi="仿宋_GB2312" w:eastAsia="仿宋_GB2312" w:cs="仿宋_GB2312"/>
                <w:color w:val="auto"/>
                <w:highlight w:val="none"/>
              </w:rPr>
            </w:pPr>
          </w:p>
        </w:tc>
        <w:tc>
          <w:tcPr>
            <w:tcW w:w="2141" w:type="dxa"/>
            <w:noWrap w:val="0"/>
            <w:vAlign w:val="top"/>
          </w:tcPr>
          <w:p w14:paraId="6222751C">
            <w:pPr>
              <w:widowControl/>
              <w:spacing w:line="400" w:lineRule="exact"/>
              <w:jc w:val="center"/>
              <w:rPr>
                <w:rStyle w:val="12"/>
                <w:rFonts w:hint="eastAsia" w:ascii="仿宋_GB2312" w:hAnsi="仿宋_GB2312" w:eastAsia="仿宋_GB2312" w:cs="仿宋_GB2312"/>
                <w:color w:val="auto"/>
                <w:highlight w:val="none"/>
              </w:rPr>
            </w:pPr>
          </w:p>
        </w:tc>
        <w:tc>
          <w:tcPr>
            <w:tcW w:w="2190" w:type="dxa"/>
            <w:noWrap w:val="0"/>
            <w:vAlign w:val="top"/>
          </w:tcPr>
          <w:p w14:paraId="401A03CC">
            <w:pPr>
              <w:widowControl/>
              <w:spacing w:line="400" w:lineRule="exact"/>
              <w:jc w:val="center"/>
              <w:rPr>
                <w:rStyle w:val="12"/>
                <w:rFonts w:hint="eastAsia" w:ascii="仿宋_GB2312" w:hAnsi="仿宋_GB2312" w:eastAsia="仿宋_GB2312" w:cs="仿宋_GB2312"/>
                <w:color w:val="auto"/>
                <w:highlight w:val="none"/>
              </w:rPr>
            </w:pPr>
          </w:p>
        </w:tc>
        <w:tc>
          <w:tcPr>
            <w:tcW w:w="1594" w:type="dxa"/>
            <w:noWrap w:val="0"/>
            <w:vAlign w:val="top"/>
          </w:tcPr>
          <w:p w14:paraId="675E4712">
            <w:pPr>
              <w:widowControl/>
              <w:spacing w:line="400" w:lineRule="exact"/>
              <w:jc w:val="center"/>
              <w:rPr>
                <w:rStyle w:val="12"/>
                <w:rFonts w:hint="eastAsia" w:ascii="仿宋_GB2312" w:hAnsi="仿宋_GB2312" w:eastAsia="仿宋_GB2312" w:cs="仿宋_GB2312"/>
                <w:color w:val="auto"/>
                <w:highlight w:val="none"/>
              </w:rPr>
            </w:pPr>
          </w:p>
        </w:tc>
      </w:tr>
      <w:tr w14:paraId="4FFB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6" w:type="dxa"/>
            <w:noWrap w:val="0"/>
            <w:vAlign w:val="top"/>
          </w:tcPr>
          <w:p w14:paraId="7C004DD0">
            <w:pPr>
              <w:widowControl/>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2</w:t>
            </w:r>
          </w:p>
        </w:tc>
        <w:tc>
          <w:tcPr>
            <w:tcW w:w="1601" w:type="dxa"/>
            <w:noWrap w:val="0"/>
            <w:vAlign w:val="top"/>
          </w:tcPr>
          <w:p w14:paraId="0EC624BC">
            <w:pPr>
              <w:widowControl/>
              <w:spacing w:line="400" w:lineRule="exact"/>
              <w:jc w:val="center"/>
              <w:rPr>
                <w:rStyle w:val="12"/>
                <w:rFonts w:hint="eastAsia" w:ascii="仿宋_GB2312" w:hAnsi="仿宋_GB2312" w:eastAsia="仿宋_GB2312" w:cs="仿宋_GB2312"/>
                <w:color w:val="auto"/>
                <w:highlight w:val="none"/>
              </w:rPr>
            </w:pPr>
          </w:p>
        </w:tc>
        <w:tc>
          <w:tcPr>
            <w:tcW w:w="2141" w:type="dxa"/>
            <w:noWrap w:val="0"/>
            <w:vAlign w:val="top"/>
          </w:tcPr>
          <w:p w14:paraId="38EB338F">
            <w:pPr>
              <w:widowControl/>
              <w:spacing w:line="400" w:lineRule="exact"/>
              <w:jc w:val="center"/>
              <w:rPr>
                <w:rStyle w:val="12"/>
                <w:rFonts w:hint="eastAsia" w:ascii="仿宋_GB2312" w:hAnsi="仿宋_GB2312" w:eastAsia="仿宋_GB2312" w:cs="仿宋_GB2312"/>
                <w:color w:val="auto"/>
                <w:highlight w:val="none"/>
              </w:rPr>
            </w:pPr>
          </w:p>
        </w:tc>
        <w:tc>
          <w:tcPr>
            <w:tcW w:w="2190" w:type="dxa"/>
            <w:noWrap w:val="0"/>
            <w:vAlign w:val="top"/>
          </w:tcPr>
          <w:p w14:paraId="656F823A">
            <w:pPr>
              <w:widowControl/>
              <w:spacing w:line="400" w:lineRule="exact"/>
              <w:jc w:val="center"/>
              <w:rPr>
                <w:rStyle w:val="12"/>
                <w:rFonts w:hint="eastAsia" w:ascii="仿宋_GB2312" w:hAnsi="仿宋_GB2312" w:eastAsia="仿宋_GB2312" w:cs="仿宋_GB2312"/>
                <w:color w:val="auto"/>
                <w:highlight w:val="none"/>
              </w:rPr>
            </w:pPr>
          </w:p>
        </w:tc>
        <w:tc>
          <w:tcPr>
            <w:tcW w:w="1594" w:type="dxa"/>
            <w:noWrap w:val="0"/>
            <w:vAlign w:val="top"/>
          </w:tcPr>
          <w:p w14:paraId="2124BA2A">
            <w:pPr>
              <w:widowControl/>
              <w:spacing w:line="400" w:lineRule="exact"/>
              <w:jc w:val="center"/>
              <w:rPr>
                <w:rStyle w:val="12"/>
                <w:rFonts w:hint="eastAsia" w:ascii="仿宋_GB2312" w:hAnsi="仿宋_GB2312" w:eastAsia="仿宋_GB2312" w:cs="仿宋_GB2312"/>
                <w:color w:val="auto"/>
                <w:highlight w:val="none"/>
              </w:rPr>
            </w:pPr>
          </w:p>
        </w:tc>
      </w:tr>
      <w:tr w14:paraId="171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6" w:type="dxa"/>
            <w:noWrap w:val="0"/>
            <w:vAlign w:val="top"/>
          </w:tcPr>
          <w:p w14:paraId="32C6EA70">
            <w:pPr>
              <w:widowControl/>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3</w:t>
            </w:r>
          </w:p>
        </w:tc>
        <w:tc>
          <w:tcPr>
            <w:tcW w:w="1601" w:type="dxa"/>
            <w:noWrap w:val="0"/>
            <w:vAlign w:val="top"/>
          </w:tcPr>
          <w:p w14:paraId="29E1C36F">
            <w:pPr>
              <w:widowControl/>
              <w:spacing w:line="400" w:lineRule="exact"/>
              <w:jc w:val="center"/>
              <w:rPr>
                <w:rStyle w:val="12"/>
                <w:rFonts w:hint="eastAsia" w:ascii="仿宋_GB2312" w:hAnsi="仿宋_GB2312" w:eastAsia="仿宋_GB2312" w:cs="仿宋_GB2312"/>
                <w:color w:val="auto"/>
                <w:highlight w:val="none"/>
              </w:rPr>
            </w:pPr>
          </w:p>
        </w:tc>
        <w:tc>
          <w:tcPr>
            <w:tcW w:w="2141" w:type="dxa"/>
            <w:noWrap w:val="0"/>
            <w:vAlign w:val="top"/>
          </w:tcPr>
          <w:p w14:paraId="7074EF0D">
            <w:pPr>
              <w:widowControl/>
              <w:spacing w:line="400" w:lineRule="exact"/>
              <w:jc w:val="center"/>
              <w:rPr>
                <w:rStyle w:val="12"/>
                <w:rFonts w:hint="eastAsia" w:ascii="仿宋_GB2312" w:hAnsi="仿宋_GB2312" w:eastAsia="仿宋_GB2312" w:cs="仿宋_GB2312"/>
                <w:color w:val="auto"/>
                <w:highlight w:val="none"/>
              </w:rPr>
            </w:pPr>
          </w:p>
        </w:tc>
        <w:tc>
          <w:tcPr>
            <w:tcW w:w="2190" w:type="dxa"/>
            <w:noWrap w:val="0"/>
            <w:vAlign w:val="top"/>
          </w:tcPr>
          <w:p w14:paraId="2149900E">
            <w:pPr>
              <w:widowControl/>
              <w:spacing w:line="400" w:lineRule="exact"/>
              <w:jc w:val="center"/>
              <w:rPr>
                <w:rStyle w:val="12"/>
                <w:rFonts w:hint="eastAsia" w:ascii="仿宋_GB2312" w:hAnsi="仿宋_GB2312" w:eastAsia="仿宋_GB2312" w:cs="仿宋_GB2312"/>
                <w:color w:val="auto"/>
                <w:highlight w:val="none"/>
              </w:rPr>
            </w:pPr>
          </w:p>
        </w:tc>
        <w:tc>
          <w:tcPr>
            <w:tcW w:w="1594" w:type="dxa"/>
            <w:noWrap w:val="0"/>
            <w:vAlign w:val="top"/>
          </w:tcPr>
          <w:p w14:paraId="7493F2D1">
            <w:pPr>
              <w:widowControl/>
              <w:spacing w:line="400" w:lineRule="exact"/>
              <w:jc w:val="center"/>
              <w:rPr>
                <w:rStyle w:val="12"/>
                <w:rFonts w:hint="eastAsia" w:ascii="仿宋_GB2312" w:hAnsi="仿宋_GB2312" w:eastAsia="仿宋_GB2312" w:cs="仿宋_GB2312"/>
                <w:color w:val="auto"/>
                <w:highlight w:val="none"/>
              </w:rPr>
            </w:pPr>
          </w:p>
        </w:tc>
      </w:tr>
      <w:tr w14:paraId="1FE1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96" w:type="dxa"/>
            <w:noWrap w:val="0"/>
            <w:vAlign w:val="top"/>
          </w:tcPr>
          <w:p w14:paraId="5C4E5E85">
            <w:pPr>
              <w:widowControl/>
              <w:spacing w:line="400" w:lineRule="exact"/>
              <w:jc w:val="center"/>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highlight w:val="none"/>
              </w:rPr>
              <w:t>…</w:t>
            </w:r>
          </w:p>
        </w:tc>
        <w:tc>
          <w:tcPr>
            <w:tcW w:w="1601" w:type="dxa"/>
            <w:noWrap w:val="0"/>
            <w:vAlign w:val="top"/>
          </w:tcPr>
          <w:p w14:paraId="1D62B985">
            <w:pPr>
              <w:widowControl/>
              <w:spacing w:line="400" w:lineRule="exact"/>
              <w:jc w:val="center"/>
              <w:rPr>
                <w:rStyle w:val="12"/>
                <w:rFonts w:hint="eastAsia" w:ascii="仿宋_GB2312" w:hAnsi="仿宋_GB2312" w:eastAsia="仿宋_GB2312" w:cs="仿宋_GB2312"/>
                <w:color w:val="auto"/>
                <w:highlight w:val="none"/>
              </w:rPr>
            </w:pPr>
          </w:p>
        </w:tc>
        <w:tc>
          <w:tcPr>
            <w:tcW w:w="2141" w:type="dxa"/>
            <w:noWrap w:val="0"/>
            <w:vAlign w:val="top"/>
          </w:tcPr>
          <w:p w14:paraId="7E345A6A">
            <w:pPr>
              <w:widowControl/>
              <w:spacing w:line="400" w:lineRule="exact"/>
              <w:jc w:val="center"/>
              <w:rPr>
                <w:rStyle w:val="12"/>
                <w:rFonts w:hint="eastAsia" w:ascii="仿宋_GB2312" w:hAnsi="仿宋_GB2312" w:eastAsia="仿宋_GB2312" w:cs="仿宋_GB2312"/>
                <w:color w:val="auto"/>
                <w:highlight w:val="none"/>
              </w:rPr>
            </w:pPr>
          </w:p>
        </w:tc>
        <w:tc>
          <w:tcPr>
            <w:tcW w:w="2190" w:type="dxa"/>
            <w:noWrap w:val="0"/>
            <w:vAlign w:val="top"/>
          </w:tcPr>
          <w:p w14:paraId="0884F658">
            <w:pPr>
              <w:widowControl/>
              <w:spacing w:line="400" w:lineRule="exact"/>
              <w:jc w:val="center"/>
              <w:rPr>
                <w:rStyle w:val="12"/>
                <w:rFonts w:hint="eastAsia" w:ascii="仿宋_GB2312" w:hAnsi="仿宋_GB2312" w:eastAsia="仿宋_GB2312" w:cs="仿宋_GB2312"/>
                <w:color w:val="auto"/>
                <w:highlight w:val="none"/>
              </w:rPr>
            </w:pPr>
          </w:p>
        </w:tc>
        <w:tc>
          <w:tcPr>
            <w:tcW w:w="1594" w:type="dxa"/>
            <w:noWrap w:val="0"/>
            <w:vAlign w:val="top"/>
          </w:tcPr>
          <w:p w14:paraId="40C83C04">
            <w:pPr>
              <w:widowControl/>
              <w:spacing w:line="400" w:lineRule="exact"/>
              <w:jc w:val="center"/>
              <w:rPr>
                <w:rStyle w:val="12"/>
                <w:rFonts w:hint="eastAsia" w:ascii="仿宋_GB2312" w:hAnsi="仿宋_GB2312" w:eastAsia="仿宋_GB2312" w:cs="仿宋_GB2312"/>
                <w:color w:val="auto"/>
                <w:highlight w:val="none"/>
              </w:rPr>
            </w:pPr>
          </w:p>
        </w:tc>
      </w:tr>
    </w:tbl>
    <w:p w14:paraId="1D84724C">
      <w:pPr>
        <w:widowControl/>
        <w:spacing w:line="400" w:lineRule="exact"/>
        <w:ind w:firstLine="480" w:firstLineChars="200"/>
        <w:jc w:val="left"/>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注：</w:t>
      </w:r>
    </w:p>
    <w:p w14:paraId="6F684871">
      <w:pPr>
        <w:widowControl/>
        <w:spacing w:line="400" w:lineRule="exact"/>
        <w:ind w:firstLine="480" w:firstLineChars="200"/>
        <w:jc w:val="left"/>
        <w:rPr>
          <w:rStyle w:val="12"/>
          <w:rFonts w:hint="eastAsia" w:ascii="仿宋_GB2312" w:hAnsi="仿宋_GB2312" w:eastAsia="仿宋_GB2312" w:cs="仿宋_GB2312"/>
          <w:color w:val="auto"/>
          <w:sz w:val="24"/>
          <w:szCs w:val="24"/>
          <w:highlight w:val="none"/>
        </w:rPr>
      </w:pPr>
      <w:r>
        <w:rPr>
          <w:rStyle w:val="12"/>
          <w:rFonts w:hint="eastAsia" w:ascii="仿宋_GB2312" w:hAnsi="仿宋_GB2312" w:eastAsia="仿宋_GB2312" w:cs="仿宋_GB2312"/>
          <w:color w:val="auto"/>
          <w:sz w:val="24"/>
          <w:szCs w:val="24"/>
          <w:highlight w:val="none"/>
        </w:rPr>
        <w:t>1.请按以上表格填写相关内容，并明确内容相关证明材料在投标文件中的页码。</w:t>
      </w:r>
    </w:p>
    <w:p w14:paraId="2F3BF8F3">
      <w:pPr>
        <w:widowControl/>
        <w:spacing w:line="400" w:lineRule="exact"/>
        <w:ind w:firstLine="480" w:firstLineChars="200"/>
        <w:jc w:val="left"/>
        <w:rPr>
          <w:rStyle w:val="12"/>
          <w:rFonts w:hint="eastAsia" w:ascii="仿宋_GB2312" w:hAnsi="仿宋_GB2312" w:eastAsia="仿宋_GB2312" w:cs="仿宋_GB2312"/>
          <w:color w:val="auto"/>
          <w:sz w:val="24"/>
          <w:szCs w:val="24"/>
          <w:highlight w:val="none"/>
        </w:rPr>
      </w:pPr>
      <w:r>
        <w:rPr>
          <w:rStyle w:val="12"/>
          <w:rFonts w:ascii="仿宋_GB2312" w:hAnsi="仿宋_GB2312" w:eastAsia="仿宋_GB2312" w:cs="仿宋_GB2312"/>
          <w:color w:val="auto"/>
          <w:sz w:val="24"/>
          <w:szCs w:val="24"/>
          <w:highlight w:val="none"/>
        </w:rPr>
        <w:t>2.</w:t>
      </w:r>
      <w:r>
        <w:rPr>
          <w:rStyle w:val="12"/>
          <w:rFonts w:hint="eastAsia" w:ascii="仿宋_GB2312" w:hAnsi="仿宋_GB2312" w:eastAsia="仿宋_GB2312" w:cs="仿宋_GB2312"/>
          <w:color w:val="auto"/>
          <w:sz w:val="24"/>
          <w:szCs w:val="24"/>
          <w:highlight w:val="none"/>
        </w:rPr>
        <w:t>要求提供</w:t>
      </w:r>
      <w:r>
        <w:rPr>
          <w:rStyle w:val="12"/>
          <w:rFonts w:hint="eastAsia" w:ascii="仿宋_GB2312" w:hAnsi="仿宋_GB2312" w:eastAsia="仿宋_GB2312" w:cs="仿宋_GB2312"/>
          <w:color w:val="auto"/>
          <w:sz w:val="24"/>
          <w:szCs w:val="24"/>
          <w:highlight w:val="none"/>
          <w:lang w:eastAsia="zh-CN"/>
        </w:rPr>
        <w:t>投标单位</w:t>
      </w:r>
      <w:r>
        <w:rPr>
          <w:rStyle w:val="12"/>
          <w:rFonts w:hint="eastAsia" w:ascii="仿宋_GB2312" w:hAnsi="仿宋_GB2312" w:eastAsia="仿宋_GB2312" w:cs="仿宋_GB2312"/>
          <w:color w:val="auto"/>
          <w:sz w:val="24"/>
          <w:szCs w:val="24"/>
          <w:highlight w:val="none"/>
        </w:rPr>
        <w:t>工作单位所开出的在职证明，并承诺该员工在本公司</w:t>
      </w:r>
      <w:r>
        <w:rPr>
          <w:rStyle w:val="12"/>
          <w:rFonts w:ascii="仿宋_GB2312" w:hAnsi="仿宋_GB2312" w:eastAsia="仿宋_GB2312" w:cs="仿宋_GB2312"/>
          <w:color w:val="auto"/>
          <w:sz w:val="24"/>
          <w:szCs w:val="24"/>
          <w:highlight w:val="none"/>
        </w:rPr>
        <w:t>截标前</w:t>
      </w:r>
      <w:r>
        <w:rPr>
          <w:rStyle w:val="12"/>
          <w:rFonts w:hint="eastAsia" w:ascii="仿宋_GB2312" w:hAnsi="仿宋_GB2312" w:eastAsia="仿宋_GB2312" w:cs="仿宋_GB2312"/>
          <w:color w:val="auto"/>
          <w:sz w:val="24"/>
          <w:szCs w:val="24"/>
          <w:highlight w:val="none"/>
        </w:rPr>
        <w:t>任职并在本公司连续缴纳社保3个月以上作为得分依据</w:t>
      </w:r>
      <w:r>
        <w:rPr>
          <w:rStyle w:val="12"/>
          <w:rFonts w:ascii="仿宋_GB2312" w:hAnsi="仿宋_GB2312" w:eastAsia="仿宋_GB2312" w:cs="仿宋_GB2312"/>
          <w:color w:val="auto"/>
          <w:sz w:val="24"/>
          <w:szCs w:val="24"/>
          <w:highlight w:val="none"/>
        </w:rPr>
        <w:t>，否则不得分。</w:t>
      </w:r>
    </w:p>
    <w:p w14:paraId="05993C44">
      <w:pPr>
        <w:spacing w:line="400" w:lineRule="exact"/>
        <w:ind w:left="0" w:leftChars="0" w:firstLine="480" w:firstLineChars="200"/>
        <w:rPr>
          <w:rFonts w:hint="eastAsia" w:ascii="仿宋_GB2312" w:hAnsi="仿宋_GB2312" w:eastAsia="仿宋_GB2312" w:cs="仿宋_GB2312"/>
          <w:color w:val="auto"/>
          <w:sz w:val="24"/>
          <w:szCs w:val="24"/>
          <w:highlight w:val="none"/>
        </w:rPr>
      </w:pPr>
      <w:r>
        <w:rPr>
          <w:rStyle w:val="12"/>
          <w:rFonts w:ascii="仿宋_GB2312" w:hAnsi="仿宋_GB2312" w:eastAsia="仿宋_GB2312" w:cs="仿宋_GB2312"/>
          <w:color w:val="auto"/>
          <w:sz w:val="24"/>
          <w:szCs w:val="24"/>
          <w:highlight w:val="none"/>
        </w:rPr>
        <w:t>3.</w:t>
      </w:r>
      <w:r>
        <w:rPr>
          <w:rStyle w:val="12"/>
          <w:rFonts w:hint="eastAsia" w:ascii="仿宋_GB2312" w:hAnsi="仿宋_GB2312" w:eastAsia="仿宋_GB2312" w:cs="仿宋_GB2312"/>
          <w:color w:val="auto"/>
          <w:sz w:val="24"/>
          <w:szCs w:val="24"/>
          <w:highlight w:val="none"/>
        </w:rPr>
        <w:t>提供相关职业资格证书、</w:t>
      </w:r>
      <w:r>
        <w:rPr>
          <w:rStyle w:val="12"/>
          <w:rFonts w:ascii="仿宋_GB2312" w:hAnsi="仿宋_GB2312" w:eastAsia="仿宋_GB2312" w:cs="仿宋_GB2312"/>
          <w:color w:val="auto"/>
          <w:sz w:val="24"/>
          <w:szCs w:val="24"/>
          <w:highlight w:val="none"/>
        </w:rPr>
        <w:t>职称证书、</w:t>
      </w:r>
      <w:r>
        <w:rPr>
          <w:rStyle w:val="12"/>
          <w:rFonts w:hint="eastAsia" w:ascii="仿宋_GB2312" w:hAnsi="仿宋_GB2312" w:eastAsia="仿宋_GB2312" w:cs="仿宋_GB2312"/>
          <w:color w:val="auto"/>
          <w:sz w:val="24"/>
          <w:szCs w:val="24"/>
          <w:highlight w:val="none"/>
        </w:rPr>
        <w:t>工作经验证明材料扫描件及能证明相关人员经验的政府类项目相关证明文件扫描件，原件备查。以合同签订时间为准，工作经验证明材料为项目合同关键信息或合同甲方出具的证明文件。</w:t>
      </w:r>
    </w:p>
    <w:p w14:paraId="198EAE99">
      <w:pPr>
        <w:spacing w:line="360" w:lineRule="auto"/>
        <w:ind w:left="480" w:left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附价格核算明细及依据。</w:t>
      </w:r>
    </w:p>
    <w:p w14:paraId="2BD33127">
      <w:pPr>
        <w:pStyle w:val="4"/>
        <w:ind w:left="0" w:leftChars="0" w:firstLine="0" w:firstLineChars="0"/>
        <w:rPr>
          <w:rFonts w:hint="eastAsia" w:ascii="仿宋_GB2312" w:hAnsi="仿宋_GB2312" w:eastAsia="仿宋_GB2312" w:cs="仿宋_GB2312"/>
          <w:color w:val="auto"/>
          <w:sz w:val="24"/>
          <w:szCs w:val="24"/>
          <w:highlight w:val="none"/>
          <w:lang w:eastAsia="zh-CN"/>
        </w:rPr>
      </w:pPr>
    </w:p>
    <w:p w14:paraId="56927833">
      <w:pPr>
        <w:pStyle w:val="4"/>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 xml:space="preserve">投标单位代表签字:  </w:t>
      </w:r>
      <w:r>
        <w:rPr>
          <w:rFonts w:hint="eastAsia" w:ascii="仿宋_GB2312" w:hAnsi="仿宋_GB2312" w:eastAsia="仿宋_GB2312" w:cs="仿宋_GB2312"/>
          <w:color w:val="auto"/>
          <w:sz w:val="24"/>
          <w:szCs w:val="24"/>
          <w:highlight w:val="none"/>
          <w:lang w:val="en-US" w:eastAsia="zh-CN"/>
        </w:rPr>
        <w:t xml:space="preserve">           </w:t>
      </w:r>
    </w:p>
    <w:p w14:paraId="2511FFD0">
      <w:pPr>
        <w:pStyle w:val="4"/>
        <w:ind w:firstLine="56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单位盖章：</w:t>
      </w:r>
    </w:p>
    <w:p w14:paraId="45C62F95">
      <w:pPr>
        <w:pStyle w:val="4"/>
        <w:ind w:firstLine="56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日期：</w:t>
      </w:r>
    </w:p>
    <w:p w14:paraId="36138F60">
      <w:pP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br w:type="page"/>
      </w:r>
    </w:p>
    <w:p w14:paraId="41E42312">
      <w:pPr>
        <w:pStyle w:val="3"/>
        <w:spacing w:before="120" w:after="120" w:line="60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投标单位</w:t>
      </w:r>
      <w:r>
        <w:rPr>
          <w:rFonts w:hint="eastAsia" w:ascii="宋体" w:hAnsi="宋体" w:eastAsia="宋体" w:cs="宋体"/>
          <w:b/>
          <w:bCs/>
          <w:color w:val="auto"/>
          <w:highlight w:val="none"/>
        </w:rPr>
        <w:t>资格证明文件</w:t>
      </w:r>
    </w:p>
    <w:p w14:paraId="7A2CC401">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1、执业许可证、税务登记证、组织机构代码证；</w:t>
      </w:r>
    </w:p>
    <w:p w14:paraId="1AEBCD5D">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2、法定代表人身份证明书、法定代表人授权委托书；</w:t>
      </w:r>
    </w:p>
    <w:p w14:paraId="747B1CAC">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3、项目负责人资质证明文件及社保证明；</w:t>
      </w:r>
    </w:p>
    <w:p w14:paraId="6C6F3CDB">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4、项目</w:t>
      </w:r>
      <w:r>
        <w:rPr>
          <w:rFonts w:hint="eastAsia" w:ascii="仿宋_GB2312" w:hAnsi="仿宋_GB2312" w:eastAsia="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rPr>
        <w:t>人员资质文件及社保证明。</w:t>
      </w:r>
    </w:p>
    <w:p w14:paraId="2AA1F86F">
      <w:pPr>
        <w:spacing w:line="360" w:lineRule="auto"/>
        <w:rPr>
          <w:rFonts w:hint="eastAsia" w:ascii="仿宋_GB2312" w:hAnsi="仿宋_GB2312" w:eastAsia="仿宋_GB2312" w:cs="仿宋_GB2312"/>
          <w:color w:val="auto"/>
          <w:sz w:val="24"/>
          <w:szCs w:val="24"/>
          <w:highlight w:val="none"/>
        </w:rPr>
      </w:pPr>
    </w:p>
    <w:p w14:paraId="6F54E230">
      <w:pPr>
        <w:spacing w:line="360" w:lineRule="auto"/>
        <w:rPr>
          <w:rFonts w:hint="eastAsia" w:ascii="仿宋_GB2312" w:hAnsi="仿宋_GB2312" w:eastAsia="仿宋_GB2312" w:cs="仿宋_GB2312"/>
          <w:color w:val="auto"/>
          <w:sz w:val="24"/>
          <w:szCs w:val="24"/>
          <w:highlight w:val="none"/>
        </w:rPr>
      </w:pPr>
    </w:p>
    <w:p w14:paraId="2E72581F">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投标单位</w:t>
      </w:r>
      <w:r>
        <w:rPr>
          <w:rFonts w:hint="eastAsia" w:ascii="仿宋_GB2312" w:hAnsi="仿宋_GB2312" w:eastAsia="仿宋_GB2312" w:cs="仿宋_GB2312"/>
          <w:color w:val="auto"/>
          <w:sz w:val="24"/>
          <w:szCs w:val="24"/>
          <w:highlight w:val="none"/>
        </w:rPr>
        <w:t>代表签字:</w:t>
      </w:r>
    </w:p>
    <w:p w14:paraId="6E83F51A">
      <w:pPr>
        <w:spacing w:line="360" w:lineRule="auto"/>
        <w:rPr>
          <w:rFonts w:ascii="仿宋" w:hAnsi="仿宋" w:eastAsia="仿宋"/>
          <w:color w:val="auto"/>
          <w:kern w:val="0"/>
          <w:sz w:val="22"/>
          <w:szCs w:val="22"/>
          <w:highlight w:val="none"/>
        </w:rPr>
      </w:pPr>
      <w:r>
        <w:rPr>
          <w:rFonts w:hint="eastAsia" w:ascii="仿宋_GB2312" w:hAnsi="仿宋_GB2312" w:eastAsia="仿宋_GB2312" w:cs="仿宋_GB2312"/>
          <w:color w:val="auto"/>
          <w:sz w:val="24"/>
          <w:szCs w:val="24"/>
          <w:highlight w:val="none"/>
        </w:rPr>
        <w:t>单位盖章：</w:t>
      </w:r>
    </w:p>
    <w:p w14:paraId="4EA3255B">
      <w:pPr>
        <w:pStyle w:val="4"/>
        <w:ind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日期：</w:t>
      </w:r>
    </w:p>
    <w:p w14:paraId="4766D85C">
      <w:pPr>
        <w:spacing w:line="360" w:lineRule="auto"/>
        <w:jc w:val="both"/>
        <w:rPr>
          <w:rFonts w:ascii="宋体"/>
          <w:b/>
          <w:bCs/>
          <w:color w:val="auto"/>
          <w:highlight w:val="none"/>
        </w:rPr>
      </w:pPr>
      <w:r>
        <w:rPr>
          <w:rFonts w:hint="eastAsia" w:ascii="仿宋_GB2312" w:hAnsi="仿宋_GB2312" w:eastAsia="仿宋_GB2312" w:cs="仿宋_GB2312"/>
          <w:color w:val="auto"/>
          <w:sz w:val="24"/>
          <w:szCs w:val="24"/>
          <w:highlight w:val="none"/>
          <w:lang w:eastAsia="zh-CN"/>
        </w:rPr>
        <w:br w:type="page"/>
      </w:r>
      <w:r>
        <w:rPr>
          <w:rFonts w:hint="eastAsia" w:ascii="楷体_GB2312" w:hAnsi="宋体" w:eastAsia="宋体"/>
          <w:b/>
          <w:bCs/>
          <w:color w:val="auto"/>
          <w:sz w:val="24"/>
          <w:szCs w:val="24"/>
          <w:highlight w:val="none"/>
          <w:lang w:val="en-US" w:eastAsia="zh-CN"/>
        </w:rPr>
        <w:t>四</w:t>
      </w:r>
      <w:r>
        <w:rPr>
          <w:rFonts w:hint="eastAsia" w:ascii="楷体_GB2312" w:hAnsi="宋体" w:eastAsia="宋体"/>
          <w:b/>
          <w:bCs/>
          <w:color w:val="auto"/>
          <w:sz w:val="24"/>
          <w:szCs w:val="24"/>
          <w:highlight w:val="none"/>
        </w:rPr>
        <w:t>、《政府采购投标及履约承诺函》</w:t>
      </w:r>
    </w:p>
    <w:p w14:paraId="56D09E3A">
      <w:pPr>
        <w:keepNext w:val="0"/>
        <w:keepLines w:val="0"/>
        <w:pageBreakBefore w:val="0"/>
        <w:widowControl/>
        <w:kinsoku/>
        <w:wordWrap/>
        <w:overflowPunct/>
        <w:topLinePunct w:val="0"/>
        <w:autoSpaceDE/>
        <w:autoSpaceDN/>
        <w:bidi w:val="0"/>
        <w:adjustRightInd/>
        <w:snapToGrid/>
        <w:spacing w:line="240" w:lineRule="exact"/>
        <w:jc w:val="both"/>
        <w:textAlignment w:val="auto"/>
        <w:rPr>
          <w:b/>
          <w:bCs/>
          <w:color w:val="auto"/>
          <w:sz w:val="24"/>
          <w:szCs w:val="24"/>
          <w:highlight w:val="none"/>
        </w:rPr>
      </w:pPr>
    </w:p>
    <w:p w14:paraId="6D0263BE">
      <w:pPr>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致：深圳市南山区住房和建设局</w:t>
      </w:r>
    </w:p>
    <w:p w14:paraId="4AE6F5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bCs/>
          <w:color w:val="auto"/>
          <w:sz w:val="24"/>
          <w:szCs w:val="24"/>
          <w:highlight w:val="none"/>
        </w:rPr>
      </w:pPr>
    </w:p>
    <w:p w14:paraId="2493D10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 xml:space="preserve">                    </w:t>
      </w:r>
    </w:p>
    <w:p w14:paraId="722318B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48FD003C">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1.我公司本招标项目所提供的货物或服务未侵犯</w:t>
      </w:r>
      <w:r>
        <w:rPr>
          <w:rFonts w:hint="eastAsia" w:eastAsia="宋体" w:cs="宋体"/>
          <w:color w:val="auto"/>
          <w:sz w:val="24"/>
          <w:szCs w:val="24"/>
          <w:highlight w:val="none"/>
          <w:lang w:val="en-US" w:eastAsia="zh-CN"/>
        </w:rPr>
        <w:t>他人</w:t>
      </w:r>
      <w:r>
        <w:rPr>
          <w:rFonts w:hint="eastAsia" w:ascii="宋体" w:hAnsi="宋体" w:eastAsia="宋体" w:cs="宋体"/>
          <w:color w:val="auto"/>
          <w:sz w:val="24"/>
          <w:szCs w:val="24"/>
          <w:highlight w:val="none"/>
        </w:rPr>
        <w:t>知识产权。</w:t>
      </w:r>
    </w:p>
    <w:p w14:paraId="2D335DE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2.我公司参与本项目投标前三年内，在经营活动中没有重大违法记录。</w:t>
      </w:r>
    </w:p>
    <w:p w14:paraId="34527C0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3.我公司参与本项目政府采购活动时不存在被有关部门禁止参与政府采购活动且在有效期内的情况。</w:t>
      </w:r>
    </w:p>
    <w:p w14:paraId="238B0AF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4.我公司具备《中华人民共和国政府采购法》第二十二条第一款的条件。</w:t>
      </w:r>
    </w:p>
    <w:p w14:paraId="2C66A9A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5.我公司未被列入失信被执行人、重大税收违法案件当事人名单、政府采购严重违法失信行为记录名单。</w:t>
      </w:r>
    </w:p>
    <w:p w14:paraId="5BC40C9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6.我公司参与该项目投标，严格遵循公平竞争的原则，不恶意串通，不妨碍其他</w:t>
      </w:r>
      <w:r>
        <w:rPr>
          <w:rFonts w:hint="eastAsia" w:cs="宋体"/>
          <w:color w:val="auto"/>
          <w:sz w:val="24"/>
          <w:szCs w:val="24"/>
          <w:highlight w:val="none"/>
          <w:lang w:eastAsia="zh-CN"/>
        </w:rPr>
        <w:t>投标单位</w:t>
      </w:r>
      <w:r>
        <w:rPr>
          <w:rFonts w:hint="eastAsia" w:ascii="宋体" w:hAnsi="宋体" w:eastAsia="宋体" w:cs="宋体"/>
          <w:color w:val="auto"/>
          <w:sz w:val="24"/>
          <w:szCs w:val="24"/>
          <w:highlight w:val="none"/>
        </w:rPr>
        <w:t>的竞争行为，不损害</w:t>
      </w:r>
      <w:r>
        <w:rPr>
          <w:rFonts w:hint="eastAsia" w:cs="宋体"/>
          <w:color w:val="auto"/>
          <w:sz w:val="24"/>
          <w:szCs w:val="24"/>
          <w:highlight w:val="none"/>
          <w:lang w:eastAsia="zh-CN"/>
        </w:rPr>
        <w:t>招标单位</w:t>
      </w:r>
      <w:r>
        <w:rPr>
          <w:rFonts w:hint="eastAsia" w:ascii="宋体" w:hAnsi="宋体" w:eastAsia="宋体" w:cs="宋体"/>
          <w:color w:val="auto"/>
          <w:sz w:val="24"/>
          <w:szCs w:val="24"/>
          <w:highlight w:val="none"/>
        </w:rPr>
        <w:t>或者其他</w:t>
      </w:r>
      <w:r>
        <w:rPr>
          <w:rFonts w:hint="eastAsia" w:cs="宋体"/>
          <w:color w:val="auto"/>
          <w:sz w:val="24"/>
          <w:szCs w:val="24"/>
          <w:highlight w:val="none"/>
          <w:lang w:eastAsia="zh-CN"/>
        </w:rPr>
        <w:t>投标单位</w:t>
      </w:r>
      <w:r>
        <w:rPr>
          <w:rFonts w:hint="eastAsia" w:ascii="宋体" w:hAnsi="宋体" w:eastAsia="宋体" w:cs="宋体"/>
          <w:color w:val="auto"/>
          <w:sz w:val="24"/>
          <w:szCs w:val="24"/>
          <w:highlight w:val="none"/>
        </w:rPr>
        <w:t>的合法权益。我公司已清楚，如违反上述要求，将作投标无效处理。</w:t>
      </w:r>
    </w:p>
    <w:p w14:paraId="21F1C21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7.我公司如果中标，做到守信，不</w:t>
      </w:r>
      <w:r>
        <w:rPr>
          <w:rFonts w:hint="eastAsia" w:ascii="宋体" w:hAnsi="宋体" w:eastAsia="宋体" w:cs="宋体"/>
          <w:color w:val="auto"/>
          <w:sz w:val="24"/>
          <w:szCs w:val="24"/>
          <w:highlight w:val="none"/>
          <w:lang w:val="en-US" w:eastAsia="zh-CN"/>
        </w:rPr>
        <w:t>弄虚作假</w:t>
      </w:r>
      <w:r>
        <w:rPr>
          <w:rFonts w:hint="eastAsia" w:ascii="宋体" w:hAnsi="宋体" w:eastAsia="宋体" w:cs="宋体"/>
          <w:color w:val="auto"/>
          <w:sz w:val="24"/>
          <w:szCs w:val="24"/>
          <w:highlight w:val="none"/>
        </w:rPr>
        <w:t>，依照本项目招标文件需求内容、签署的采购合同及本公司在投标中所作的一切承诺履约。</w:t>
      </w:r>
    </w:p>
    <w:p w14:paraId="098E6FF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w:t>
      </w:r>
      <w:r>
        <w:rPr>
          <w:rFonts w:hint="eastAsia" w:cs="宋体"/>
          <w:color w:val="auto"/>
          <w:sz w:val="24"/>
          <w:szCs w:val="24"/>
          <w:highlight w:val="none"/>
          <w:lang w:eastAsia="zh-CN"/>
        </w:rPr>
        <w:t>投标单位</w:t>
      </w:r>
      <w:r>
        <w:rPr>
          <w:rFonts w:hint="eastAsia" w:ascii="宋体" w:hAnsi="宋体" w:eastAsia="宋体" w:cs="宋体"/>
          <w:color w:val="auto"/>
          <w:sz w:val="24"/>
          <w:szCs w:val="24"/>
          <w:highlight w:val="none"/>
        </w:rPr>
        <w:t>的报价时，我公司清楚，本项目将成为重点监管、重点验收项目，我公司将按时保质保量完成，并全力配合有关监管、验收工作；若我公司未按上述要求履约，我公司愿意接受主管部门的处理处罚。</w:t>
      </w:r>
    </w:p>
    <w:p w14:paraId="1AF232F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87CE8D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10.我公司承诺不转包、非法分包。</w:t>
      </w:r>
    </w:p>
    <w:p w14:paraId="3762194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以上承诺，如有违反，愿依照国家相关法律处理，并承担由此给</w:t>
      </w:r>
      <w:r>
        <w:rPr>
          <w:rFonts w:hint="eastAsia" w:cs="宋体"/>
          <w:color w:val="auto"/>
          <w:sz w:val="24"/>
          <w:szCs w:val="24"/>
          <w:highlight w:val="none"/>
          <w:lang w:eastAsia="zh-CN"/>
        </w:rPr>
        <w:t>招标单位</w:t>
      </w:r>
      <w:r>
        <w:rPr>
          <w:rFonts w:hint="eastAsia" w:ascii="宋体" w:hAnsi="宋体" w:eastAsia="宋体" w:cs="宋体"/>
          <w:color w:val="auto"/>
          <w:sz w:val="24"/>
          <w:szCs w:val="24"/>
          <w:highlight w:val="none"/>
        </w:rPr>
        <w:t>带来的损失。</w:t>
      </w:r>
    </w:p>
    <w:p w14:paraId="0AD2F641">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投标单位</w:t>
      </w:r>
      <w:r>
        <w:rPr>
          <w:rFonts w:hint="eastAsia" w:ascii="宋体" w:hAnsi="宋体" w:eastAsia="宋体" w:cs="宋体"/>
          <w:color w:val="auto"/>
          <w:sz w:val="24"/>
          <w:szCs w:val="24"/>
          <w:highlight w:val="none"/>
        </w:rPr>
        <w:t xml:space="preserve">：                       单位地址：               </w:t>
      </w:r>
    </w:p>
    <w:p w14:paraId="3C9652E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p>
    <w:p w14:paraId="23123B0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8FD47BF">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p>
    <w:p w14:paraId="321060C7">
      <w:pPr>
        <w:pStyle w:val="7"/>
        <w:rPr>
          <w:rFonts w:hint="eastAsia" w:ascii="宋体" w:hAnsi="宋体" w:eastAsia="宋体" w:cs="宋体"/>
          <w:color w:val="auto"/>
          <w:sz w:val="21"/>
          <w:szCs w:val="21"/>
          <w:highlight w:val="none"/>
          <w:lang w:val="en-US" w:eastAsia="zh-CN"/>
        </w:rPr>
      </w:pPr>
    </w:p>
    <w:p w14:paraId="1DF1BD9E">
      <w:pPr>
        <w:pStyle w:val="7"/>
        <w:rPr>
          <w:rFonts w:hint="eastAsia" w:ascii="宋体" w:hAnsi="宋体" w:eastAsia="宋体" w:cs="宋体"/>
          <w:color w:val="auto"/>
          <w:sz w:val="21"/>
          <w:szCs w:val="21"/>
          <w:highlight w:val="none"/>
          <w:lang w:val="en-US" w:eastAsia="zh-CN"/>
        </w:rPr>
      </w:pPr>
    </w:p>
    <w:p w14:paraId="6C39664B">
      <w:pPr>
        <w:pStyle w:val="7"/>
        <w:rPr>
          <w:rFonts w:hint="eastAsia" w:ascii="宋体" w:hAnsi="宋体" w:eastAsia="宋体" w:cs="宋体"/>
          <w:color w:val="auto"/>
          <w:sz w:val="21"/>
          <w:szCs w:val="21"/>
          <w:highlight w:val="none"/>
          <w:lang w:val="en-US" w:eastAsia="zh-CN"/>
        </w:rPr>
      </w:pPr>
    </w:p>
    <w:p w14:paraId="51C6AC18">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备注：本函所称的“公司”由各投标单位根据自身主体性质进行修改</w:t>
      </w:r>
    </w:p>
    <w:p w14:paraId="2612A5BE">
      <w:pPr>
        <w:pStyle w:val="2"/>
        <w:rPr>
          <w:rFonts w:hint="eastAsia" w:ascii="宋体" w:hAnsi="宋体" w:eastAsia="宋体" w:cs="宋体"/>
          <w:b/>
          <w:bCs/>
          <w:color w:val="auto"/>
          <w:sz w:val="21"/>
          <w:szCs w:val="21"/>
          <w:highlight w:val="none"/>
          <w:lang w:val="en-US" w:eastAsia="zh-CN"/>
        </w:rPr>
      </w:pPr>
    </w:p>
    <w:p w14:paraId="12E560AA">
      <w:pPr>
        <w:pStyle w:val="2"/>
        <w:rPr>
          <w:rFonts w:hint="eastAsia" w:ascii="宋体" w:hAnsi="宋体" w:eastAsia="宋体" w:cs="宋体"/>
          <w:b/>
          <w:bCs/>
          <w:color w:val="auto"/>
          <w:sz w:val="21"/>
          <w:szCs w:val="21"/>
          <w:highlight w:val="none"/>
          <w:lang w:val="en-US" w:eastAsia="zh-CN"/>
        </w:rPr>
      </w:pPr>
    </w:p>
    <w:p w14:paraId="7A6BFEDB">
      <w:pPr>
        <w:keepNext/>
        <w:keepLines/>
        <w:widowControl w:val="0"/>
        <w:adjustRightInd w:val="0"/>
        <w:spacing w:before="244" w:beforeLines="50" w:after="244" w:afterLines="50"/>
        <w:textAlignment w:val="baseline"/>
        <w:outlineLvl w:val="1"/>
        <w:rPr>
          <w:rFonts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lang w:val="en-US" w:eastAsia="zh-CN"/>
        </w:rPr>
        <w:t>五</w:t>
      </w:r>
      <w:r>
        <w:rPr>
          <w:rFonts w:ascii="Times New Roman" w:hAnsi="Times New Roman" w:cs="Times New Roman"/>
          <w:b/>
          <w:bCs/>
          <w:color w:val="auto"/>
          <w:szCs w:val="20"/>
          <w:highlight w:val="none"/>
        </w:rPr>
        <w:t>、</w:t>
      </w:r>
      <w:r>
        <w:rPr>
          <w:rFonts w:hint="eastAsia" w:ascii="Times New Roman" w:hAnsi="Times New Roman" w:cs="Times New Roman"/>
          <w:b/>
          <w:bCs/>
          <w:color w:val="auto"/>
          <w:szCs w:val="20"/>
          <w:highlight w:val="none"/>
          <w:lang w:val="en-US" w:eastAsia="zh-CN"/>
        </w:rPr>
        <w:t>项目</w:t>
      </w:r>
      <w:r>
        <w:rPr>
          <w:rFonts w:ascii="Times New Roman" w:hAnsi="Times New Roman" w:cs="Times New Roman"/>
          <w:b/>
          <w:bCs/>
          <w:color w:val="auto"/>
          <w:szCs w:val="20"/>
          <w:highlight w:val="none"/>
        </w:rPr>
        <w:t>服务方案</w:t>
      </w:r>
    </w:p>
    <w:p w14:paraId="609ABB2F">
      <w:pPr>
        <w:keepNext/>
        <w:keepLines/>
        <w:widowControl w:val="0"/>
        <w:adjustRightInd w:val="0"/>
        <w:spacing w:before="244" w:beforeLines="50" w:after="244" w:afterLines="50"/>
        <w:textAlignment w:val="baseline"/>
        <w:outlineLvl w:val="1"/>
        <w:rPr>
          <w:rFonts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lang w:val="en-US" w:eastAsia="zh-CN"/>
        </w:rPr>
        <w:t>六</w:t>
      </w:r>
      <w:r>
        <w:rPr>
          <w:rFonts w:ascii="Times New Roman" w:hAnsi="Times New Roman" w:cs="Times New Roman"/>
          <w:b/>
          <w:bCs/>
          <w:color w:val="auto"/>
          <w:szCs w:val="20"/>
          <w:highlight w:val="none"/>
        </w:rPr>
        <w:t>、项目重点难点分析、应对措施及相关的合理化建议（格式自定）</w:t>
      </w:r>
    </w:p>
    <w:p w14:paraId="2D33CBA2">
      <w:pPr>
        <w:keepNext/>
        <w:keepLines/>
        <w:widowControl w:val="0"/>
        <w:adjustRightInd w:val="0"/>
        <w:spacing w:before="244" w:beforeLines="50" w:after="244" w:afterLines="50"/>
        <w:textAlignment w:val="baseline"/>
        <w:outlineLvl w:val="1"/>
        <w:rPr>
          <w:rFonts w:ascii="Times New Roman" w:hAnsi="Times New Roman" w:cs="Times New Roman"/>
          <w:b/>
          <w:bCs/>
          <w:color w:val="auto"/>
          <w:szCs w:val="20"/>
          <w:highlight w:val="none"/>
        </w:rPr>
      </w:pPr>
      <w:r>
        <w:rPr>
          <w:rFonts w:hint="eastAsia" w:ascii="Times New Roman" w:hAnsi="Times New Roman" w:cs="Times New Roman"/>
          <w:b/>
          <w:bCs/>
          <w:color w:val="auto"/>
          <w:szCs w:val="20"/>
          <w:highlight w:val="none"/>
          <w:lang w:val="en-US" w:eastAsia="zh-CN"/>
        </w:rPr>
        <w:t>七</w:t>
      </w:r>
      <w:r>
        <w:rPr>
          <w:rFonts w:ascii="Times New Roman" w:hAnsi="Times New Roman" w:cs="Times New Roman"/>
          <w:b/>
          <w:bCs/>
          <w:color w:val="auto"/>
          <w:szCs w:val="20"/>
          <w:highlight w:val="none"/>
        </w:rPr>
        <w:t>、质量（完成时间、安全、环保）保障措施及方案（格式自定）</w:t>
      </w:r>
    </w:p>
    <w:p w14:paraId="190CCBA4">
      <w:pPr>
        <w:keepNext/>
        <w:keepLines/>
        <w:widowControl w:val="0"/>
        <w:adjustRightInd w:val="0"/>
        <w:spacing w:before="244" w:beforeLines="50" w:after="244" w:afterLines="50"/>
        <w:textAlignment w:val="baseline"/>
        <w:outlineLvl w:val="1"/>
        <w:rPr>
          <w:rFonts w:hint="eastAsia" w:ascii="黑体" w:hAnsi="黑体" w:eastAsia="黑体"/>
          <w:color w:val="auto"/>
          <w:sz w:val="40"/>
          <w:szCs w:val="40"/>
          <w:highlight w:val="none"/>
        </w:rPr>
      </w:pPr>
      <w:r>
        <w:rPr>
          <w:rFonts w:hint="eastAsia" w:ascii="Times New Roman" w:hAnsi="Times New Roman" w:cs="Times New Roman"/>
          <w:b/>
          <w:bCs/>
          <w:color w:val="auto"/>
          <w:szCs w:val="20"/>
          <w:highlight w:val="none"/>
          <w:lang w:val="en-US" w:eastAsia="zh-CN"/>
        </w:rPr>
        <w:t>八</w:t>
      </w:r>
      <w:r>
        <w:rPr>
          <w:rFonts w:hint="eastAsia" w:ascii="Times New Roman" w:hAnsi="Times New Roman" w:cs="Times New Roman"/>
          <w:b/>
          <w:bCs/>
          <w:color w:val="auto"/>
          <w:szCs w:val="20"/>
          <w:highlight w:val="none"/>
        </w:rPr>
        <w:t>、</w:t>
      </w:r>
      <w:r>
        <w:rPr>
          <w:rFonts w:ascii="Times New Roman" w:hAnsi="Times New Roman" w:cs="Times New Roman"/>
          <w:b/>
          <w:bCs/>
          <w:color w:val="auto"/>
          <w:szCs w:val="20"/>
          <w:highlight w:val="none"/>
        </w:rPr>
        <w:t>其他招标文件要求的资料或</w:t>
      </w:r>
      <w:r>
        <w:rPr>
          <w:rFonts w:hint="eastAsia" w:ascii="Times New Roman" w:hAnsi="Times New Roman" w:cs="Times New Roman"/>
          <w:b/>
          <w:bCs/>
          <w:color w:val="auto"/>
          <w:szCs w:val="20"/>
          <w:highlight w:val="none"/>
          <w:lang w:eastAsia="zh-CN"/>
        </w:rPr>
        <w:t>投标单位</w:t>
      </w:r>
      <w:r>
        <w:rPr>
          <w:rFonts w:ascii="Times New Roman" w:hAnsi="Times New Roman" w:cs="Times New Roman"/>
          <w:b/>
          <w:bCs/>
          <w:color w:val="auto"/>
          <w:szCs w:val="20"/>
          <w:highlight w:val="none"/>
        </w:rPr>
        <w:t>认为需要补充的资料（格式自定）</w:t>
      </w:r>
      <w:bookmarkStart w:id="9" w:name="bt合同的授予"/>
      <w:bookmarkEnd w:id="9"/>
    </w:p>
    <w:p w14:paraId="36463B30">
      <w:pPr>
        <w:pStyle w:val="2"/>
        <w:rPr>
          <w:rFonts w:hint="eastAsia" w:ascii="宋体" w:hAnsi="宋体" w:eastAsia="宋体" w:cs="宋体"/>
          <w:b/>
          <w:bCs/>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99C"/>
    <w:multiLevelType w:val="singleLevel"/>
    <w:tmpl w:val="ADEF299C"/>
    <w:lvl w:ilvl="0" w:tentative="0">
      <w:start w:val="11"/>
      <w:numFmt w:val="decimal"/>
      <w:suff w:val="nothing"/>
      <w:lvlText w:val="%1、"/>
      <w:lvlJc w:val="left"/>
    </w:lvl>
  </w:abstractNum>
  <w:abstractNum w:abstractNumId="1">
    <w:nsid w:val="BFD4DE77"/>
    <w:multiLevelType w:val="singleLevel"/>
    <w:tmpl w:val="BFD4DE77"/>
    <w:lvl w:ilvl="0" w:tentative="0">
      <w:start w:val="9"/>
      <w:numFmt w:val="chineseCounting"/>
      <w:suff w:val="space"/>
      <w:lvlText w:val="第%1条"/>
      <w:lvlJc w:val="left"/>
      <w:rPr>
        <w:rFonts w:hint="eastAsia"/>
      </w:rPr>
    </w:lvl>
  </w:abstractNum>
  <w:abstractNum w:abstractNumId="2">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5E22AD3F"/>
    <w:multiLevelType w:val="singleLevel"/>
    <w:tmpl w:val="5E22AD3F"/>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460C4"/>
    <w:rsid w:val="04565936"/>
    <w:rsid w:val="048C3708"/>
    <w:rsid w:val="20AE59B2"/>
    <w:rsid w:val="2AAD0D12"/>
    <w:rsid w:val="3DFA4C63"/>
    <w:rsid w:val="4634638F"/>
    <w:rsid w:val="68944485"/>
    <w:rsid w:val="69DE3804"/>
    <w:rsid w:val="6B2F78F0"/>
    <w:rsid w:val="76E56B84"/>
    <w:rsid w:val="773460C4"/>
    <w:rsid w:val="7BA7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2"/>
    <w:basedOn w:val="1"/>
    <w:next w:val="1"/>
    <w:qFormat/>
    <w:uiPriority w:val="0"/>
    <w:pPr>
      <w:adjustRightInd w:val="0"/>
      <w:spacing w:line="240" w:lineRule="auto"/>
      <w:jc w:val="center"/>
      <w:textAlignment w:val="baseline"/>
      <w:outlineLvl w:val="1"/>
    </w:pPr>
    <w:rPr>
      <w:rFonts w:ascii="宋体" w:hAnsi="宋体"/>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非政府正文"/>
    <w:basedOn w:val="1"/>
    <w:qFormat/>
    <w:uiPriority w:val="0"/>
    <w:pPr>
      <w:widowControl w:val="0"/>
      <w:jc w:val="both"/>
    </w:pPr>
    <w:rPr>
      <w:kern w:val="2"/>
      <w:sz w:val="21"/>
    </w:r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line="360" w:lineRule="auto"/>
    </w:pPr>
    <w:rPr>
      <w:rFonts w:cs="Times New Roman"/>
      <w:b/>
      <w:bCs/>
    </w:rPr>
  </w:style>
  <w:style w:type="paragraph" w:styleId="6">
    <w:name w:val="Normal (Web)"/>
    <w:basedOn w:val="1"/>
    <w:qFormat/>
    <w:uiPriority w:val="99"/>
    <w:pPr>
      <w:spacing w:beforeAutospacing="1" w:afterAutospacing="1"/>
    </w:pPr>
    <w:rPr>
      <w:rFonts w:cs="Times New Roman"/>
    </w:rPr>
  </w:style>
  <w:style w:type="paragraph" w:styleId="7">
    <w:name w:val="Body Text First Indent"/>
    <w:basedOn w:val="5"/>
    <w:qFormat/>
    <w:uiPriority w:val="0"/>
    <w:pPr>
      <w:ind w:firstLine="420" w:firstLineChars="100"/>
    </w:pPr>
  </w:style>
  <w:style w:type="paragraph" w:styleId="8">
    <w:name w:val="Body Text First Indent 2"/>
    <w:basedOn w:val="1"/>
    <w:qFormat/>
    <w:uiPriority w:val="0"/>
    <w:pPr>
      <w:ind w:firstLine="420" w:firstLineChars="200"/>
    </w:pPr>
    <w:rPr>
      <w:rFonts w:ascii="Calibri" w:hAnsi="Calibri" w:eastAsia="宋体" w:cs="Times New Roman"/>
    </w:rPr>
  </w:style>
  <w:style w:type="paragraph" w:styleId="11">
    <w:name w:val="List Paragraph"/>
    <w:basedOn w:val="1"/>
    <w:qFormat/>
    <w:uiPriority w:val="99"/>
    <w:pPr>
      <w:ind w:firstLine="420" w:firstLineChars="200"/>
    </w:pPr>
  </w:style>
  <w:style w:type="character" w:customStyle="1" w:styleId="12">
    <w:name w:val="15"/>
    <w:basedOn w:val="10"/>
    <w:qFormat/>
    <w:uiPriority w:val="99"/>
    <w:rPr>
      <w:rFonts w:ascii="Calibri" w:hAnsi="Calibri" w:cs="Calibr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13356</Words>
  <Characters>13602</Characters>
  <Lines>0</Lines>
  <Paragraphs>0</Paragraphs>
  <TotalTime>54</TotalTime>
  <ScaleCrop>false</ScaleCrop>
  <LinksUpToDate>false</LinksUpToDate>
  <CharactersWithSpaces>14178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2025-12-10T00:48:00Z</dcterms:created>
  <dc:creator>Duomo</dc:creator>
  <cp:lastModifiedBy>Fran</cp:lastModifiedBy>
  <dcterms:modified xsi:type="dcterms:W3CDTF">2026-01-04T09:38:52Z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83A3D3AF0A4D4938B2633D5B79334432_13</vt:lpwstr>
  </property>
  <property fmtid="{D5CDD505-2E9C-101B-9397-08002B2CF9AE}" pid="4" name="KSOTemplateDocerSaveRecord">
    <vt:lpwstr>eyJoZGlkIjoiNDYyNDQ2ODdiYTM5MjQ1YTM0NWY1OWJmZmVlNmNmMDIiLCJ1c2VySWQiOiIzMzg1MTUxNDcifQ==</vt:lpwstr>
  </property>
</Properties>
</file>