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4A5E3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Cs/>
          <w:color w:val="auto"/>
          <w:sz w:val="44"/>
          <w:szCs w:val="44"/>
          <w:lang w:val="en-US" w:eastAsia="zh-Hans"/>
        </w:rPr>
      </w:pPr>
    </w:p>
    <w:p w14:paraId="65F4A15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Cs/>
          <w:color w:val="auto"/>
          <w:sz w:val="44"/>
          <w:szCs w:val="44"/>
        </w:rPr>
      </w:pPr>
      <w:r>
        <w:rPr>
          <w:rFonts w:hint="eastAsia" w:ascii="方正小标宋简体" w:hAnsi="方正小标宋简体" w:eastAsia="方正小标宋简体" w:cs="方正小标宋简体"/>
          <w:bCs/>
          <w:color w:val="auto"/>
          <w:sz w:val="44"/>
          <w:szCs w:val="44"/>
          <w:lang w:val="en-US" w:eastAsia="zh-Hans"/>
        </w:rPr>
        <w:t>山樾湾花园</w:t>
      </w:r>
      <w:r>
        <w:rPr>
          <w:rFonts w:hint="default" w:ascii="方正小标宋简体" w:hAnsi="方正小标宋简体" w:eastAsia="方正小标宋简体" w:cs="方正小标宋简体"/>
          <w:bCs/>
          <w:color w:val="auto"/>
          <w:sz w:val="44"/>
          <w:szCs w:val="44"/>
          <w:lang w:eastAsia="zh-Hans"/>
        </w:rPr>
        <w:t>项目</w:t>
      </w:r>
      <w:r>
        <w:rPr>
          <w:rFonts w:hint="eastAsia" w:ascii="方正小标宋简体" w:hAnsi="方正小标宋简体" w:eastAsia="方正小标宋简体" w:cs="方正小标宋简体"/>
          <w:bCs/>
          <w:color w:val="auto"/>
          <w:sz w:val="44"/>
          <w:szCs w:val="44"/>
        </w:rPr>
        <w:t>安居型商品房选房</w:t>
      </w:r>
    </w:p>
    <w:p w14:paraId="4899B3E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Cs/>
          <w:color w:val="auto"/>
          <w:sz w:val="44"/>
          <w:szCs w:val="44"/>
        </w:rPr>
      </w:pPr>
      <w:r>
        <w:rPr>
          <w:rFonts w:hint="eastAsia" w:ascii="方正小标宋简体" w:hAnsi="方正小标宋简体" w:eastAsia="方正小标宋简体" w:cs="方正小标宋简体"/>
          <w:bCs/>
          <w:color w:val="auto"/>
          <w:sz w:val="44"/>
          <w:szCs w:val="44"/>
        </w:rPr>
        <w:t>交通指引和注意事项</w:t>
      </w:r>
    </w:p>
    <w:p w14:paraId="2EB103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bCs/>
          <w:color w:val="auto"/>
          <w:sz w:val="44"/>
          <w:szCs w:val="44"/>
        </w:rPr>
      </w:pPr>
    </w:p>
    <w:p w14:paraId="3D386244">
      <w:pPr>
        <w:keepNext w:val="0"/>
        <w:keepLines w:val="0"/>
        <w:pageBreakBefore w:val="0"/>
        <w:kinsoku/>
        <w:overflowPunct/>
        <w:topLinePunct w:val="0"/>
        <w:autoSpaceDE/>
        <w:autoSpaceDN/>
        <w:bidi w:val="0"/>
        <w:adjustRightInd/>
        <w:snapToGrid/>
        <w:spacing w:line="560" w:lineRule="atLeast"/>
        <w:ind w:firstLine="641"/>
        <w:textAlignment w:val="auto"/>
        <w:rPr>
          <w:rFonts w:hint="eastAsia" w:ascii="仿宋_GB2312" w:hAnsi="仿宋_GB2312" w:eastAsia="仿宋_GB2312" w:cs="仿宋_GB2312"/>
          <w:color w:val="auto"/>
          <w:sz w:val="32"/>
          <w:szCs w:val="32"/>
          <w:highlight w:val="yellow"/>
        </w:rPr>
      </w:pPr>
      <w:r>
        <w:rPr>
          <w:rFonts w:hint="eastAsia" w:ascii="仿宋_GB2312" w:hAnsi="仿宋_GB2312" w:eastAsia="仿宋_GB2312" w:cs="仿宋_GB2312"/>
          <w:color w:val="auto"/>
          <w:sz w:val="32"/>
          <w:szCs w:val="32"/>
          <w:lang w:eastAsia="zh-Hans"/>
        </w:rPr>
        <w:t>选房</w:t>
      </w:r>
      <w:r>
        <w:rPr>
          <w:rFonts w:hint="eastAsia" w:ascii="仿宋_GB2312" w:hAnsi="仿宋_GB2312" w:eastAsia="仿宋_GB2312" w:cs="仿宋_GB2312"/>
          <w:color w:val="auto"/>
          <w:sz w:val="32"/>
          <w:szCs w:val="32"/>
        </w:rPr>
        <w:t>现场提供</w:t>
      </w:r>
      <w:r>
        <w:rPr>
          <w:rFonts w:hint="eastAsia" w:ascii="仿宋_GB2312" w:hAnsi="仿宋_GB2312" w:eastAsia="仿宋_GB2312" w:cs="仿宋_GB2312"/>
          <w:color w:val="auto"/>
          <w:sz w:val="32"/>
          <w:szCs w:val="32"/>
          <w:lang w:eastAsia="zh-Hans"/>
        </w:rPr>
        <w:t>少量</w:t>
      </w:r>
      <w:r>
        <w:rPr>
          <w:rFonts w:hint="eastAsia" w:ascii="仿宋_GB2312" w:hAnsi="仿宋_GB2312" w:eastAsia="仿宋_GB2312" w:cs="仿宋_GB2312"/>
          <w:color w:val="auto"/>
          <w:sz w:val="32"/>
          <w:szCs w:val="32"/>
        </w:rPr>
        <w:t>停车位，为环保低碳，建议绿色出行。请</w:t>
      </w:r>
      <w:r>
        <w:rPr>
          <w:rFonts w:hint="eastAsia" w:ascii="仿宋_GB2312" w:hAnsi="仿宋_GB2312" w:eastAsia="仿宋_GB2312" w:cs="仿宋_GB2312"/>
          <w:color w:val="auto"/>
          <w:sz w:val="32"/>
          <w:szCs w:val="32"/>
          <w:lang w:eastAsia="zh-Hans"/>
        </w:rPr>
        <w:t>选房</w:t>
      </w:r>
      <w:r>
        <w:rPr>
          <w:rFonts w:hint="eastAsia" w:ascii="仿宋_GB2312" w:hAnsi="仿宋_GB2312" w:eastAsia="仿宋_GB2312" w:cs="仿宋_GB2312"/>
          <w:color w:val="auto"/>
          <w:sz w:val="32"/>
          <w:szCs w:val="32"/>
        </w:rPr>
        <w:t>家庭认真仔细阅读以下事项：</w:t>
      </w:r>
    </w:p>
    <w:p w14:paraId="0D43975F">
      <w:pPr>
        <w:keepNext w:val="0"/>
        <w:keepLines w:val="0"/>
        <w:pageBreakBefore w:val="0"/>
        <w:kinsoku/>
        <w:overflowPunct/>
        <w:topLinePunct w:val="0"/>
        <w:autoSpaceDE/>
        <w:autoSpaceDN/>
        <w:bidi w:val="0"/>
        <w:adjustRightInd/>
        <w:snapToGrid/>
        <w:spacing w:line="560" w:lineRule="atLeast"/>
        <w:ind w:firstLine="641"/>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一、选房交通</w:t>
      </w:r>
    </w:p>
    <w:p w14:paraId="2B396CE0">
      <w:pPr>
        <w:keepNext w:val="0"/>
        <w:keepLines w:val="0"/>
        <w:pageBreakBefore w:val="0"/>
        <w:kinsoku/>
        <w:overflowPunct/>
        <w:topLinePunct w:val="0"/>
        <w:autoSpaceDE/>
        <w:autoSpaceDN/>
        <w:bidi w:val="0"/>
        <w:adjustRightInd/>
        <w:snapToGrid/>
        <w:spacing w:line="560" w:lineRule="atLeast"/>
        <w:ind w:firstLine="641"/>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选房家庭可选择以下任意一种形式前往</w:t>
      </w:r>
      <w:r>
        <w:rPr>
          <w:rFonts w:hint="eastAsia" w:ascii="仿宋_GB2312" w:hAnsi="仿宋_GB2312" w:eastAsia="仿宋_GB2312" w:cs="仿宋_GB2312"/>
          <w:color w:val="auto"/>
          <w:sz w:val="32"/>
          <w:szCs w:val="32"/>
          <w:lang w:eastAsia="zh-Hans"/>
        </w:rPr>
        <w:t>选房</w:t>
      </w:r>
      <w:r>
        <w:rPr>
          <w:rFonts w:hint="eastAsia" w:ascii="仿宋_GB2312" w:hAnsi="仿宋_GB2312" w:eastAsia="仿宋_GB2312" w:cs="仿宋_GB2312"/>
          <w:color w:val="auto"/>
          <w:sz w:val="32"/>
          <w:szCs w:val="32"/>
        </w:rPr>
        <w:t>现场</w:t>
      </w:r>
      <w:bookmarkStart w:id="0" w:name="_Hlk115361940"/>
      <w:r>
        <w:rPr>
          <w:rFonts w:hint="eastAsia" w:ascii="仿宋_GB2312" w:hAnsi="仿宋_GB2312" w:eastAsia="仿宋_GB2312" w:cs="仿宋_GB2312"/>
          <w:color w:val="auto"/>
          <w:sz w:val="32"/>
          <w:szCs w:val="32"/>
        </w:rPr>
        <w:t>，</w:t>
      </w:r>
    </w:p>
    <w:p w14:paraId="3102C910">
      <w:pPr>
        <w:keepNext w:val="0"/>
        <w:keepLines w:val="0"/>
        <w:pageBreakBefore w:val="0"/>
        <w:kinsoku/>
        <w:overflowPunct/>
        <w:topLinePunct w:val="0"/>
        <w:autoSpaceDE/>
        <w:autoSpaceDN/>
        <w:bidi w:val="0"/>
        <w:adjustRightInd/>
        <w:snapToGrid/>
        <w:spacing w:line="560" w:lineRule="atLeast"/>
        <w:ind w:firstLine="641"/>
        <w:textAlignment w:val="auto"/>
        <w:rPr>
          <w:rFonts w:hint="eastAsia" w:ascii="仿宋_GB2312" w:hAnsi="仿宋_GB2312" w:eastAsia="仿宋_GB2312" w:cs="仿宋_GB2312"/>
          <w:color w:val="auto"/>
          <w:sz w:val="32"/>
          <w:szCs w:val="32"/>
          <w:lang w:bidi="ar"/>
        </w:rPr>
      </w:pPr>
      <w:r>
        <w:rPr>
          <w:rFonts w:hint="eastAsia" w:ascii="仿宋_GB2312" w:hAnsi="仿宋_GB2312" w:eastAsia="仿宋_GB2312" w:cs="仿宋_GB2312"/>
          <w:b/>
          <w:bCs/>
          <w:color w:val="auto"/>
          <w:sz w:val="32"/>
          <w:szCs w:val="32"/>
        </w:rPr>
        <w:t> </w:t>
      </w:r>
      <w:r>
        <w:rPr>
          <w:rFonts w:hint="eastAsia" w:ascii="仿宋_GB2312" w:hAnsi="仿宋_GB2312" w:eastAsia="仿宋_GB2312" w:cs="仿宋_GB2312"/>
          <w:color w:val="auto"/>
          <w:sz w:val="32"/>
          <w:szCs w:val="32"/>
        </w:rPr>
        <w:t>选房地址：</w:t>
      </w:r>
      <w:r>
        <w:rPr>
          <w:rFonts w:hint="eastAsia" w:ascii="仿宋_GB2312" w:hAnsi="仿宋_GB2312" w:eastAsia="仿宋_GB2312" w:cs="仿宋_GB2312"/>
          <w:color w:val="auto"/>
          <w:sz w:val="32"/>
          <w:szCs w:val="32"/>
          <w:lang w:bidi="ar"/>
        </w:rPr>
        <w:t>深圳市</w:t>
      </w:r>
      <w:r>
        <w:rPr>
          <w:rFonts w:hint="eastAsia" w:ascii="仿宋_GB2312" w:hAnsi="仿宋_GB2312" w:eastAsia="仿宋_GB2312" w:cs="仿宋_GB2312"/>
          <w:color w:val="auto"/>
          <w:sz w:val="32"/>
          <w:szCs w:val="32"/>
          <w:lang w:val="en-US" w:eastAsia="zh-Hans" w:bidi="ar"/>
        </w:rPr>
        <w:t>南山区前海路0005号，前海路与棉山路口600米</w:t>
      </w:r>
      <w:r>
        <w:rPr>
          <w:rFonts w:hint="eastAsia" w:ascii="仿宋_GB2312" w:hAnsi="仿宋_GB2312" w:eastAsia="仿宋_GB2312" w:cs="仿宋_GB2312"/>
          <w:color w:val="auto"/>
          <w:sz w:val="32"/>
          <w:szCs w:val="32"/>
          <w:lang w:bidi="ar"/>
        </w:rPr>
        <w:t>。</w:t>
      </w:r>
    </w:p>
    <w:bookmarkEnd w:id="0"/>
    <w:p w14:paraId="19B28C62">
      <w:pPr>
        <w:keepNext w:val="0"/>
        <w:keepLines w:val="0"/>
        <w:pageBreakBefore w:val="0"/>
        <w:widowControl w:val="0"/>
        <w:kinsoku/>
        <w:wordWrap/>
        <w:overflowPunct/>
        <w:topLinePunct w:val="0"/>
        <w:autoSpaceDE/>
        <w:autoSpaceDN/>
        <w:bidi w:val="0"/>
        <w:adjustRightInd w:val="0"/>
        <w:snapToGrid w:val="0"/>
        <w:spacing w:line="560" w:lineRule="atLeast"/>
        <w:ind w:firstLine="641"/>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Hans"/>
        </w:rPr>
        <w:t>定位地址：</w:t>
      </w:r>
      <w:r>
        <w:rPr>
          <w:rFonts w:hint="eastAsia" w:ascii="仿宋_GB2312" w:hAnsi="仿宋_GB2312" w:eastAsia="仿宋_GB2312" w:cs="仿宋_GB2312"/>
          <w:color w:val="auto"/>
          <w:sz w:val="32"/>
          <w:szCs w:val="32"/>
          <w:lang w:val="en-US" w:eastAsia="zh-Hans"/>
        </w:rPr>
        <w:t>山樾湾花园展示中心</w:t>
      </w:r>
      <w:r>
        <w:rPr>
          <w:rFonts w:hint="eastAsia" w:ascii="仿宋_GB2312" w:hAnsi="仿宋_GB2312" w:eastAsia="仿宋_GB2312" w:cs="仿宋_GB2312"/>
          <w:color w:val="auto"/>
          <w:sz w:val="32"/>
          <w:szCs w:val="32"/>
          <w:lang w:eastAsia="zh-Hans"/>
        </w:rPr>
        <w:t>。</w:t>
      </w:r>
    </w:p>
    <w:p w14:paraId="3345742B">
      <w:pPr>
        <w:keepNext w:val="0"/>
        <w:keepLines w:val="0"/>
        <w:pageBreakBefore w:val="0"/>
        <w:widowControl w:val="0"/>
        <w:kinsoku/>
        <w:wordWrap/>
        <w:overflowPunct/>
        <w:topLinePunct w:val="0"/>
        <w:autoSpaceDE/>
        <w:autoSpaceDN/>
        <w:bidi w:val="0"/>
        <w:adjustRightInd w:val="0"/>
        <w:snapToGrid w:val="0"/>
        <w:spacing w:line="560" w:lineRule="atLeast"/>
        <w:ind w:firstLine="641"/>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（一）乘坐地铁(请密切留意最新公共交通信息)</w:t>
      </w:r>
    </w:p>
    <w:p w14:paraId="455F9A13">
      <w:pPr>
        <w:keepNext w:val="0"/>
        <w:keepLines w:val="0"/>
        <w:pageBreakBefore w:val="0"/>
        <w:widowControl w:val="0"/>
        <w:kinsoku/>
        <w:wordWrap/>
        <w:overflowPunct/>
        <w:topLinePunct w:val="0"/>
        <w:autoSpaceDE/>
        <w:autoSpaceDN/>
        <w:bidi w:val="0"/>
        <w:adjustRightInd w:val="0"/>
        <w:snapToGrid w:val="0"/>
        <w:spacing w:line="560" w:lineRule="atLeast"/>
        <w:ind w:firstLine="641"/>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2"/>
          <w:sz w:val="32"/>
          <w:szCs w:val="32"/>
          <w:lang w:val="en-US" w:eastAsia="zh-CN" w:bidi="ar-SA"/>
        </w:rPr>
        <w:t>您的位置-地铁5号线荔湾站A出口→沿前海路直行约</w:t>
      </w:r>
      <w:r>
        <w:rPr>
          <w:rFonts w:hint="default"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auto"/>
          <w:kern w:val="2"/>
          <w:sz w:val="32"/>
          <w:szCs w:val="32"/>
          <w:lang w:val="en-US" w:eastAsia="zh-Hans" w:bidi="ar-SA"/>
        </w:rPr>
        <w:t>.</w:t>
      </w:r>
      <w:r>
        <w:rPr>
          <w:rFonts w:hint="default" w:ascii="仿宋_GB2312" w:hAnsi="仿宋_GB2312" w:eastAsia="仿宋_GB2312" w:cs="仿宋_GB2312"/>
          <w:color w:val="auto"/>
          <w:kern w:val="2"/>
          <w:sz w:val="32"/>
          <w:szCs w:val="32"/>
          <w:lang w:val="en-US" w:eastAsia="zh-Hans" w:bidi="ar-SA"/>
        </w:rPr>
        <w:t>6</w:t>
      </w:r>
      <w:r>
        <w:rPr>
          <w:rFonts w:hint="eastAsia" w:ascii="仿宋_GB2312" w:hAnsi="仿宋_GB2312" w:eastAsia="仿宋_GB2312" w:cs="仿宋_GB2312"/>
          <w:color w:val="auto"/>
          <w:kern w:val="2"/>
          <w:sz w:val="32"/>
          <w:szCs w:val="32"/>
          <w:lang w:val="en-US" w:eastAsia="zh-Hans" w:bidi="ar-SA"/>
        </w:rPr>
        <w:t>公里</w:t>
      </w:r>
      <w:r>
        <w:rPr>
          <w:rFonts w:hint="eastAsia" w:ascii="仿宋_GB2312" w:hAnsi="仿宋_GB2312" w:eastAsia="仿宋_GB2312" w:cs="仿宋_GB2312"/>
          <w:color w:val="auto"/>
          <w:kern w:val="2"/>
          <w:sz w:val="32"/>
          <w:szCs w:val="32"/>
          <w:lang w:val="en-US" w:eastAsia="zh-CN" w:bidi="ar-SA"/>
        </w:rPr>
        <w:t>，到达山樾湾花园展示中心。</w:t>
      </w:r>
      <w:r>
        <w:rPr>
          <w:rFonts w:hint="default"/>
          <w:color w:val="000000" w:themeColor="text1"/>
          <w:lang w:eastAsia="zh-CN"/>
          <w14:textFill>
            <w14:solidFill>
              <w14:schemeClr w14:val="tx1"/>
            </w14:solidFill>
          </w14:textFill>
        </w:rPr>
        <w:drawing>
          <wp:inline distT="0" distB="0" distL="114300" distR="114300">
            <wp:extent cx="5266690" cy="2990850"/>
            <wp:effectExtent l="0" t="0" r="16510" b="6350"/>
            <wp:docPr id="3" name="图片 3" descr="截屏2024-04-22 18.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截屏2024-04-22 18.27.17"/>
                    <pic:cNvPicPr>
                      <a:picLocks noChangeAspect="1"/>
                    </pic:cNvPicPr>
                  </pic:nvPicPr>
                  <pic:blipFill>
                    <a:blip r:embed="rId6"/>
                    <a:stretch>
                      <a:fillRect/>
                    </a:stretch>
                  </pic:blipFill>
                  <pic:spPr>
                    <a:xfrm>
                      <a:off x="0" y="0"/>
                      <a:ext cx="5266690" cy="2990850"/>
                    </a:xfrm>
                    <a:prstGeom prst="rect">
                      <a:avLst/>
                    </a:prstGeom>
                  </pic:spPr>
                </pic:pic>
              </a:graphicData>
            </a:graphic>
          </wp:inline>
        </w:drawing>
      </w:r>
    </w:p>
    <w:p w14:paraId="1FA83431">
      <w:pPr>
        <w:keepNext w:val="0"/>
        <w:keepLines w:val="0"/>
        <w:pageBreakBefore w:val="0"/>
        <w:kinsoku/>
        <w:overflowPunct/>
        <w:topLinePunct w:val="0"/>
        <w:autoSpaceDE/>
        <w:autoSpaceDN/>
        <w:bidi w:val="0"/>
        <w:adjustRightInd/>
        <w:snapToGrid/>
        <w:spacing w:line="560" w:lineRule="atLeast"/>
        <w:ind w:firstLine="641"/>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（二）乘坐公交（请密切留意最新公共交通信息）</w:t>
      </w:r>
    </w:p>
    <w:p w14:paraId="3AF05C8D">
      <w:pPr>
        <w:pStyle w:val="3"/>
        <w:spacing w:before="7" w:line="360" w:lineRule="auto"/>
        <w:ind w:right="259" w:firstLine="640" w:firstLineChars="20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1、您的位置-棉山路口（81路、M347路、M375路、B600路、B727路）-步行约990米到山樾湾花园展示中心。</w:t>
      </w:r>
    </w:p>
    <w:p w14:paraId="32EC0FE3">
      <w:pPr>
        <w:pStyle w:val="3"/>
        <w:spacing w:before="7" w:line="360" w:lineRule="auto"/>
        <w:ind w:right="259" w:firstLine="640" w:firstLineChars="20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2、您的位置-月亮湾花园三号门站（M375路、81路、B727路）-步行约700米到山樾湾花园展示中心。</w:t>
      </w:r>
    </w:p>
    <w:p w14:paraId="22695B90">
      <w:pPr>
        <w:pStyle w:val="3"/>
        <w:spacing w:before="7" w:line="360" w:lineRule="auto"/>
        <w:ind w:right="259"/>
        <w:rPr>
          <w:rFonts w:hint="default"/>
          <w:color w:val="000000" w:themeColor="text1"/>
          <w:lang w:eastAsia="zh-CN"/>
          <w14:textFill>
            <w14:solidFill>
              <w14:schemeClr w14:val="tx1"/>
            </w14:solidFill>
          </w14:textFill>
        </w:rPr>
      </w:pPr>
      <w:r>
        <w:rPr>
          <w:rFonts w:hint="default"/>
          <w:color w:val="000000" w:themeColor="text1"/>
          <w:lang w:eastAsia="zh-CN"/>
          <w14:textFill>
            <w14:solidFill>
              <w14:schemeClr w14:val="tx1"/>
            </w14:solidFill>
          </w14:textFill>
        </w:rPr>
        <w:drawing>
          <wp:inline distT="0" distB="0" distL="114300" distR="114300">
            <wp:extent cx="5261610" cy="2965450"/>
            <wp:effectExtent l="0" t="0" r="21590" b="6350"/>
            <wp:docPr id="7" name="图片 7" descr="截屏2024-04-22 18.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截屏2024-04-22 18.40.37"/>
                    <pic:cNvPicPr>
                      <a:picLocks noChangeAspect="1"/>
                    </pic:cNvPicPr>
                  </pic:nvPicPr>
                  <pic:blipFill>
                    <a:blip r:embed="rId7"/>
                    <a:stretch>
                      <a:fillRect/>
                    </a:stretch>
                  </pic:blipFill>
                  <pic:spPr>
                    <a:xfrm>
                      <a:off x="0" y="0"/>
                      <a:ext cx="5261610" cy="2965450"/>
                    </a:xfrm>
                    <a:prstGeom prst="rect">
                      <a:avLst/>
                    </a:prstGeom>
                  </pic:spPr>
                </pic:pic>
              </a:graphicData>
            </a:graphic>
          </wp:inline>
        </w:drawing>
      </w:r>
    </w:p>
    <w:p w14:paraId="5418CB1B">
      <w:pPr>
        <w:keepNext w:val="0"/>
        <w:keepLines w:val="0"/>
        <w:pageBreakBefore w:val="0"/>
        <w:numPr>
          <w:ilvl w:val="255"/>
          <w:numId w:val="0"/>
        </w:numPr>
        <w:kinsoku/>
        <w:overflowPunct/>
        <w:topLinePunct w:val="0"/>
        <w:autoSpaceDE/>
        <w:autoSpaceDN/>
        <w:bidi w:val="0"/>
        <w:adjustRightInd/>
        <w:snapToGrid/>
        <w:spacing w:line="560" w:lineRule="atLeast"/>
        <w:ind w:firstLine="641"/>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（三）自驾车（注：现场停车位数目较少，建议公共交通出行）</w:t>
      </w:r>
    </w:p>
    <w:p w14:paraId="1CF3EA6B">
      <w:pPr>
        <w:keepNext w:val="0"/>
        <w:keepLines w:val="0"/>
        <w:pageBreakBefore w:val="0"/>
        <w:kinsoku/>
        <w:overflowPunct/>
        <w:topLinePunct w:val="0"/>
        <w:autoSpaceDE/>
        <w:autoSpaceDN/>
        <w:bidi w:val="0"/>
        <w:adjustRightInd/>
        <w:snapToGrid/>
        <w:spacing w:line="560" w:lineRule="atLeast"/>
        <w:ind w:firstLine="64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Hans"/>
        </w:rPr>
        <w:t>导航搜索“</w:t>
      </w:r>
      <w:r>
        <w:rPr>
          <w:rFonts w:hint="eastAsia" w:ascii="仿宋_GB2312" w:hAnsi="仿宋_GB2312" w:eastAsia="仿宋_GB2312" w:cs="仿宋_GB2312"/>
          <w:color w:val="auto"/>
          <w:sz w:val="32"/>
          <w:szCs w:val="32"/>
          <w:lang w:val="en-US" w:eastAsia="zh-Hans"/>
        </w:rPr>
        <w:t>山樾湾花园展示中心</w:t>
      </w:r>
      <w:r>
        <w:rPr>
          <w:rFonts w:hint="eastAsia" w:ascii="仿宋_GB2312" w:hAnsi="仿宋_GB2312" w:eastAsia="仿宋_GB2312" w:cs="仿宋_GB2312"/>
          <w:color w:val="auto"/>
          <w:sz w:val="32"/>
          <w:szCs w:val="32"/>
          <w:lang w:eastAsia="zh-Hans"/>
        </w:rPr>
        <w:t>”，</w:t>
      </w:r>
      <w:r>
        <w:rPr>
          <w:rFonts w:hint="eastAsia" w:ascii="仿宋" w:hAnsi="仿宋" w:eastAsia="仿宋" w:cs="仿宋"/>
          <w:snapToGrid w:val="0"/>
          <w:spacing w:val="-8"/>
          <w:kern w:val="0"/>
          <w:sz w:val="32"/>
          <w:szCs w:val="32"/>
        </w:rPr>
        <w:t>根据</w:t>
      </w:r>
      <w:r>
        <w:rPr>
          <w:rFonts w:hint="eastAsia" w:ascii="仿宋" w:hAnsi="仿宋" w:eastAsia="仿宋" w:cs="仿宋"/>
          <w:snapToGrid w:val="0"/>
          <w:spacing w:val="-8"/>
          <w:kern w:val="0"/>
          <w:sz w:val="32"/>
          <w:szCs w:val="32"/>
          <w:lang w:eastAsia="zh-CN"/>
        </w:rPr>
        <w:t>导航</w:t>
      </w:r>
      <w:r>
        <w:rPr>
          <w:rFonts w:hint="eastAsia" w:ascii="仿宋" w:hAnsi="仿宋" w:eastAsia="仿宋" w:cs="仿宋"/>
          <w:snapToGrid w:val="0"/>
          <w:spacing w:val="-8"/>
          <w:kern w:val="0"/>
          <w:sz w:val="32"/>
          <w:szCs w:val="32"/>
        </w:rPr>
        <w:t>到达选房现场</w:t>
      </w:r>
      <w:r>
        <w:rPr>
          <w:rFonts w:hint="eastAsia" w:ascii="仿宋_GB2312" w:hAnsi="仿宋_GB2312" w:eastAsia="仿宋_GB2312" w:cs="仿宋_GB2312"/>
          <w:color w:val="auto"/>
          <w:sz w:val="32"/>
          <w:szCs w:val="32"/>
        </w:rPr>
        <w:t>。</w:t>
      </w:r>
    </w:p>
    <w:p w14:paraId="30ACBE7D">
      <w:pPr>
        <w:keepNext w:val="0"/>
        <w:keepLines w:val="0"/>
        <w:pageBreakBefore w:val="0"/>
        <w:kinsoku/>
        <w:overflowPunct/>
        <w:topLinePunct w:val="0"/>
        <w:autoSpaceDE/>
        <w:autoSpaceDN/>
        <w:bidi w:val="0"/>
        <w:adjustRightInd/>
        <w:snapToGrid/>
        <w:spacing w:line="560" w:lineRule="atLeast"/>
        <w:ind w:firstLine="641"/>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Hans"/>
        </w:rPr>
        <w:t>二</w:t>
      </w:r>
      <w:r>
        <w:rPr>
          <w:rFonts w:hint="eastAsia" w:ascii="仿宋_GB2312" w:hAnsi="仿宋_GB2312" w:eastAsia="仿宋_GB2312" w:cs="仿宋_GB2312"/>
          <w:color w:val="auto"/>
          <w:sz w:val="32"/>
          <w:szCs w:val="32"/>
        </w:rPr>
        <w:t>、注意事项</w:t>
      </w:r>
    </w:p>
    <w:p w14:paraId="11A4B3DD">
      <w:pPr>
        <w:keepNext w:val="0"/>
        <w:keepLines w:val="0"/>
        <w:pageBreakBefore w:val="0"/>
        <w:kinsoku/>
        <w:overflowPunct/>
        <w:topLinePunct w:val="0"/>
        <w:autoSpaceDE/>
        <w:autoSpaceDN/>
        <w:bidi w:val="0"/>
        <w:adjustRightInd/>
        <w:snapToGrid/>
        <w:spacing w:line="560" w:lineRule="atLeast"/>
        <w:ind w:firstLine="64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w:t>
      </w:r>
      <w:r>
        <w:rPr>
          <w:rFonts w:hint="eastAsia" w:ascii="仿宋_GB2312" w:hAnsi="仿宋_GB2312" w:eastAsia="仿宋_GB2312" w:cs="仿宋_GB2312"/>
          <w:color w:val="auto"/>
          <w:sz w:val="32"/>
          <w:szCs w:val="32"/>
          <w:lang w:eastAsia="zh-Hans"/>
        </w:rPr>
        <w:t>选</w:t>
      </w:r>
      <w:r>
        <w:rPr>
          <w:rFonts w:hint="eastAsia" w:ascii="仿宋_GB2312" w:hAnsi="仿宋_GB2312" w:eastAsia="仿宋_GB2312" w:cs="仿宋_GB2312"/>
          <w:color w:val="auto"/>
          <w:sz w:val="32"/>
          <w:szCs w:val="32"/>
        </w:rPr>
        <w:t>房家庭须按约定的时间，凭申请人身份证、选房通知书参加</w:t>
      </w:r>
      <w:r>
        <w:rPr>
          <w:rFonts w:hint="eastAsia" w:ascii="仿宋_GB2312" w:hAnsi="仿宋_GB2312" w:eastAsia="仿宋_GB2312" w:cs="仿宋_GB2312"/>
          <w:color w:val="auto"/>
          <w:sz w:val="32"/>
          <w:szCs w:val="32"/>
          <w:lang w:eastAsia="zh-Hans"/>
        </w:rPr>
        <w:t>选</w:t>
      </w:r>
      <w:r>
        <w:rPr>
          <w:rFonts w:hint="eastAsia" w:ascii="仿宋_GB2312" w:hAnsi="仿宋_GB2312" w:eastAsia="仿宋_GB2312" w:cs="仿宋_GB2312"/>
          <w:color w:val="auto"/>
          <w:sz w:val="32"/>
          <w:szCs w:val="32"/>
        </w:rPr>
        <w:t>房活动。</w:t>
      </w:r>
    </w:p>
    <w:p w14:paraId="51171768">
      <w:pPr>
        <w:keepNext w:val="0"/>
        <w:keepLines w:val="0"/>
        <w:pageBreakBefore w:val="0"/>
        <w:kinsoku/>
        <w:overflowPunct/>
        <w:topLinePunct w:val="0"/>
        <w:autoSpaceDE/>
        <w:autoSpaceDN/>
        <w:bidi w:val="0"/>
        <w:adjustRightInd/>
        <w:snapToGrid/>
        <w:spacing w:line="560" w:lineRule="atLeast"/>
        <w:ind w:firstLine="64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（二）考虑到现场接待能力有限，为了营造顺畅、良好的看房环境，请每个</w:t>
      </w:r>
      <w:r>
        <w:rPr>
          <w:rFonts w:hint="eastAsia" w:ascii="仿宋_GB2312" w:hAnsi="仿宋_GB2312" w:eastAsia="仿宋_GB2312" w:cs="仿宋_GB2312"/>
          <w:color w:val="auto"/>
          <w:sz w:val="32"/>
          <w:szCs w:val="32"/>
          <w:lang w:eastAsia="zh-Hans"/>
        </w:rPr>
        <w:t>选房</w:t>
      </w:r>
      <w:r>
        <w:rPr>
          <w:rFonts w:hint="eastAsia" w:ascii="仿宋_GB2312" w:hAnsi="仿宋_GB2312" w:eastAsia="仿宋_GB2312" w:cs="仿宋_GB2312"/>
          <w:color w:val="auto"/>
          <w:sz w:val="32"/>
          <w:szCs w:val="32"/>
        </w:rPr>
        <w:t>家庭最多安排两人现场</w:t>
      </w:r>
      <w:r>
        <w:rPr>
          <w:rFonts w:hint="eastAsia" w:ascii="仿宋_GB2312" w:hAnsi="仿宋_GB2312" w:eastAsia="仿宋_GB2312" w:cs="仿宋_GB2312"/>
          <w:color w:val="auto"/>
          <w:sz w:val="32"/>
          <w:szCs w:val="32"/>
          <w:lang w:eastAsia="zh-Hans"/>
        </w:rPr>
        <w:t>选</w:t>
      </w:r>
      <w:r>
        <w:rPr>
          <w:rFonts w:hint="eastAsia" w:ascii="仿宋_GB2312" w:hAnsi="仿宋_GB2312" w:eastAsia="仿宋_GB2312" w:cs="仿宋_GB2312"/>
          <w:color w:val="auto"/>
          <w:sz w:val="32"/>
          <w:szCs w:val="32"/>
        </w:rPr>
        <w:t>房。从安全角度考虑，请</w:t>
      </w:r>
      <w:r>
        <w:rPr>
          <w:rFonts w:hint="eastAsia" w:ascii="仿宋_GB2312" w:hAnsi="仿宋_GB2312" w:eastAsia="仿宋_GB2312" w:cs="仿宋_GB2312"/>
          <w:color w:val="auto"/>
          <w:sz w:val="32"/>
          <w:szCs w:val="32"/>
          <w:lang w:eastAsia="zh-Hans"/>
        </w:rPr>
        <w:t>选房</w:t>
      </w:r>
      <w:r>
        <w:rPr>
          <w:rFonts w:hint="eastAsia" w:ascii="仿宋_GB2312" w:hAnsi="仿宋_GB2312" w:eastAsia="仿宋_GB2312" w:cs="仿宋_GB2312"/>
          <w:color w:val="auto"/>
          <w:sz w:val="32"/>
          <w:szCs w:val="32"/>
        </w:rPr>
        <w:t>家庭尽量不要携带老人、儿童。</w:t>
      </w:r>
    </w:p>
    <w:p w14:paraId="4F264F65">
      <w:pPr>
        <w:keepNext w:val="0"/>
        <w:keepLines w:val="0"/>
        <w:pageBreakBefore w:val="0"/>
        <w:kinsoku/>
        <w:overflowPunct/>
        <w:topLinePunct w:val="0"/>
        <w:autoSpaceDE/>
        <w:autoSpaceDN/>
        <w:bidi w:val="0"/>
        <w:adjustRightInd/>
        <w:snapToGrid/>
        <w:spacing w:line="560" w:lineRule="atLeast"/>
        <w:ind w:firstLine="64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（三）为了保证选房家庭人身安全，请遵循现场工作人员统一安排，不要在</w:t>
      </w:r>
      <w:r>
        <w:rPr>
          <w:rFonts w:hint="eastAsia" w:ascii="仿宋_GB2312" w:hAnsi="仿宋_GB2312" w:eastAsia="仿宋_GB2312" w:cs="仿宋_GB2312"/>
          <w:color w:val="auto"/>
          <w:sz w:val="32"/>
          <w:szCs w:val="32"/>
          <w:lang w:eastAsia="zh-Hans"/>
        </w:rPr>
        <w:t>选房</w:t>
      </w:r>
      <w:r>
        <w:rPr>
          <w:rFonts w:hint="eastAsia" w:ascii="仿宋_GB2312" w:hAnsi="仿宋_GB2312" w:eastAsia="仿宋_GB2312" w:cs="仿宋_GB2312"/>
          <w:color w:val="auto"/>
          <w:sz w:val="32"/>
          <w:szCs w:val="32"/>
        </w:rPr>
        <w:t>现场随意走动，以免发生意外。</w:t>
      </w:r>
    </w:p>
    <w:p w14:paraId="2CB17CC1">
      <w:pPr>
        <w:keepNext w:val="0"/>
        <w:keepLines w:val="0"/>
        <w:pageBreakBefore w:val="0"/>
        <w:kinsoku/>
        <w:wordWrap w:val="0"/>
        <w:overflowPunct/>
        <w:topLinePunct w:val="0"/>
        <w:autoSpaceDE/>
        <w:autoSpaceDN/>
        <w:bidi w:val="0"/>
        <w:adjustRightInd/>
        <w:snapToGrid/>
        <w:spacing w:line="560" w:lineRule="atLeast"/>
        <w:ind w:firstLine="640"/>
        <w:textAlignment w:val="auto"/>
        <w:rPr>
          <w:rFonts w:hint="eastAsia" w:ascii="仿宋_GB2312" w:hAnsi="仿宋_GB2312" w:eastAsia="仿宋_GB2312" w:cs="仿宋_GB2312"/>
          <w:color w:val="auto"/>
          <w:sz w:val="32"/>
          <w:szCs w:val="32"/>
          <w:lang w:val="en"/>
        </w:rPr>
      </w:pPr>
      <w:r>
        <w:rPr>
          <w:rFonts w:hint="eastAsia" w:ascii="仿宋_GB2312" w:hAnsi="仿宋_GB2312" w:eastAsia="仿宋_GB2312" w:cs="仿宋_GB2312"/>
          <w:color w:val="auto"/>
          <w:sz w:val="32"/>
          <w:szCs w:val="32"/>
          <w:lang w:eastAsia="zh-Hans"/>
        </w:rPr>
        <w:t>选房现场</w:t>
      </w:r>
      <w:r>
        <w:rPr>
          <w:rFonts w:hint="eastAsia" w:ascii="仿宋_GB2312" w:hAnsi="仿宋_GB2312" w:eastAsia="仿宋_GB2312" w:cs="仿宋_GB2312"/>
          <w:color w:val="auto"/>
          <w:sz w:val="32"/>
          <w:szCs w:val="32"/>
        </w:rPr>
        <w:t>联系电话：</w:t>
      </w:r>
      <w:r>
        <w:rPr>
          <w:rFonts w:hint="default" w:ascii="仿宋_GB2312" w:hAnsi="仿宋_GB2312" w:eastAsia="仿宋_GB2312" w:cs="仿宋_GB2312"/>
          <w:color w:val="auto"/>
          <w:sz w:val="32"/>
          <w:szCs w:val="32"/>
          <w:highlight w:val="none"/>
        </w:rPr>
        <w:t>0755-86566666</w:t>
      </w: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z w:val="32"/>
          <w:szCs w:val="32"/>
        </w:rPr>
        <w:t xml:space="preserve"> </w:t>
      </w:r>
    </w:p>
    <w:p w14:paraId="24241DED">
      <w:pPr>
        <w:keepNext w:val="0"/>
        <w:keepLines w:val="0"/>
        <w:pageBreakBefore w:val="0"/>
        <w:kinsoku/>
        <w:overflowPunct/>
        <w:topLinePunct w:val="0"/>
        <w:autoSpaceDE/>
        <w:autoSpaceDN/>
        <w:bidi w:val="0"/>
        <w:adjustRightInd/>
        <w:snapToGrid/>
        <w:spacing w:line="560" w:lineRule="atLeast"/>
        <w:textAlignment w:val="auto"/>
        <w:rPr>
          <w:rFonts w:hint="eastAsia" w:ascii="仿宋_GB2312" w:hAnsi="仿宋_GB2312" w:eastAsia="仿宋_GB2312" w:cs="仿宋_GB2312"/>
          <w:color w:val="auto"/>
          <w:sz w:val="32"/>
          <w:szCs w:val="32"/>
        </w:rPr>
      </w:pPr>
    </w:p>
    <w:p w14:paraId="4C56A26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right"/>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lang w:eastAsia="zh-CN"/>
        </w:rPr>
        <w:t>深圳市</w:t>
      </w:r>
      <w:r>
        <w:rPr>
          <w:rFonts w:hint="eastAsia" w:ascii="仿宋_GB2312" w:hAnsi="仿宋_GB2312" w:eastAsia="仿宋_GB2312" w:cs="仿宋_GB2312"/>
          <w:color w:val="auto"/>
          <w:sz w:val="32"/>
          <w:szCs w:val="40"/>
          <w:lang w:val="en-US" w:eastAsia="zh-Hans"/>
        </w:rPr>
        <w:t>新建投资发展</w:t>
      </w:r>
      <w:r>
        <w:rPr>
          <w:rFonts w:hint="eastAsia" w:ascii="仿宋_GB2312" w:hAnsi="仿宋_GB2312" w:eastAsia="仿宋_GB2312" w:cs="仿宋_GB2312"/>
          <w:color w:val="auto"/>
          <w:sz w:val="32"/>
          <w:szCs w:val="40"/>
          <w:lang w:eastAsia="zh-CN"/>
        </w:rPr>
        <w:t>有限公司</w:t>
      </w:r>
      <w:r>
        <w:rPr>
          <w:rFonts w:hint="eastAsia" w:ascii="微软雅黑" w:hAnsi="微软雅黑" w:eastAsia="微软雅黑" w:cs="微软雅黑"/>
          <w:i w:val="0"/>
          <w:iCs w:val="0"/>
          <w:caps w:val="0"/>
          <w:color w:val="auto"/>
          <w:spacing w:val="0"/>
          <w:sz w:val="24"/>
          <w:szCs w:val="24"/>
          <w:shd w:val="clear" w:color="auto" w:fill="FFFFFF"/>
        </w:rPr>
        <w:t> </w:t>
      </w:r>
      <w:r>
        <w:rPr>
          <w:rFonts w:hint="eastAsia" w:ascii="仿宋_GB2312" w:hAnsi="仿宋_GB2312" w:eastAsia="仿宋_GB2312" w:cs="仿宋_GB2312"/>
          <w:color w:val="auto"/>
          <w:sz w:val="32"/>
          <w:szCs w:val="40"/>
          <w:highlight w:val="none"/>
        </w:rPr>
        <w:t xml:space="preserve"> </w:t>
      </w:r>
    </w:p>
    <w:p w14:paraId="359F3D3F">
      <w:pPr>
        <w:keepNext w:val="0"/>
        <w:keepLines w:val="0"/>
        <w:pageBreakBefore w:val="0"/>
        <w:kinsoku/>
        <w:overflowPunct/>
        <w:topLinePunct w:val="0"/>
        <w:autoSpaceDE/>
        <w:autoSpaceDN/>
        <w:bidi w:val="0"/>
        <w:adjustRightInd/>
        <w:snapToGrid/>
        <w:spacing w:line="560" w:lineRule="atLeast"/>
        <w:ind w:firstLine="640"/>
        <w:jc w:val="right"/>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202</w:t>
      </w:r>
      <w:r>
        <w:rPr>
          <w:rFonts w:hint="eastAsia" w:ascii="仿宋_GB2312" w:hAnsi="仿宋_GB2312" w:eastAsia="仿宋_GB2312" w:cs="仿宋_GB2312"/>
          <w:color w:val="auto"/>
          <w:sz w:val="32"/>
          <w:szCs w:val="40"/>
          <w:highlight w:val="none"/>
          <w:lang w:val="en-US" w:eastAsia="zh-CN"/>
        </w:rPr>
        <w:t>5</w:t>
      </w:r>
      <w:r>
        <w:rPr>
          <w:rFonts w:hint="eastAsia" w:ascii="仿宋_GB2312" w:hAnsi="仿宋_GB2312" w:eastAsia="仿宋_GB2312" w:cs="仿宋_GB2312"/>
          <w:color w:val="auto"/>
          <w:sz w:val="32"/>
          <w:szCs w:val="40"/>
          <w:highlight w:val="none"/>
        </w:rPr>
        <w:t>年</w:t>
      </w:r>
      <w:r>
        <w:rPr>
          <w:rFonts w:hint="eastAsia" w:ascii="仿宋_GB2312" w:hAnsi="仿宋_GB2312" w:eastAsia="仿宋_GB2312" w:cs="仿宋_GB2312"/>
          <w:color w:val="auto"/>
          <w:sz w:val="32"/>
          <w:szCs w:val="40"/>
          <w:highlight w:val="none"/>
          <w:lang w:val="en-US" w:eastAsia="zh-CN"/>
        </w:rPr>
        <w:t>10</w:t>
      </w:r>
      <w:bookmarkStart w:id="1" w:name="_GoBack"/>
      <w:bookmarkEnd w:id="1"/>
      <w:r>
        <w:rPr>
          <w:rFonts w:hint="eastAsia" w:ascii="仿宋_GB2312" w:hAnsi="仿宋_GB2312" w:eastAsia="仿宋_GB2312" w:cs="仿宋_GB2312"/>
          <w:color w:val="auto"/>
          <w:sz w:val="32"/>
          <w:szCs w:val="40"/>
          <w:highlight w:val="none"/>
        </w:rPr>
        <w:t>月</w:t>
      </w:r>
    </w:p>
    <w:p w14:paraId="5BCED7D1">
      <w:pPr>
        <w:keepNext w:val="0"/>
        <w:keepLines w:val="0"/>
        <w:pageBreakBefore w:val="0"/>
        <w:kinsoku/>
        <w:overflowPunct/>
        <w:topLinePunct w:val="0"/>
        <w:autoSpaceDE/>
        <w:autoSpaceDN/>
        <w:bidi w:val="0"/>
        <w:adjustRightInd/>
        <w:snapToGrid/>
        <w:spacing w:line="560" w:lineRule="atLeast"/>
        <w:ind w:firstLine="640"/>
        <w:jc w:val="right"/>
        <w:textAlignment w:val="auto"/>
        <w:rPr>
          <w:rFonts w:hint="eastAsia" w:ascii="仿宋_GB2312" w:hAnsi="仿宋_GB2312" w:eastAsia="仿宋_GB2312" w:cs="仿宋_GB2312"/>
          <w:color w:val="auto"/>
          <w:sz w:val="32"/>
          <w:szCs w:val="40"/>
          <w:highlight w:val="none"/>
        </w:rPr>
      </w:pPr>
    </w:p>
    <w:p w14:paraId="025D524D">
      <w:pPr>
        <w:keepNext w:val="0"/>
        <w:keepLines w:val="0"/>
        <w:pageBreakBefore w:val="0"/>
        <w:kinsoku/>
        <w:overflowPunct/>
        <w:topLinePunct w:val="0"/>
        <w:autoSpaceDE/>
        <w:autoSpaceDN/>
        <w:bidi w:val="0"/>
        <w:adjustRightInd/>
        <w:snapToGrid/>
        <w:spacing w:line="560" w:lineRule="atLeast"/>
        <w:ind w:firstLine="640"/>
        <w:jc w:val="right"/>
        <w:textAlignment w:val="auto"/>
        <w:rPr>
          <w:rFonts w:hint="eastAsia" w:ascii="仿宋_GB2312" w:hAnsi="仿宋_GB2312" w:eastAsia="仿宋_GB2312" w:cs="仿宋_GB2312"/>
          <w:color w:val="auto"/>
          <w:sz w:val="32"/>
          <w:szCs w:val="40"/>
          <w:highlight w:val="none"/>
          <w:lang w:val="en-US" w:eastAsia="zh-CN"/>
        </w:rPr>
      </w:pPr>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roman"/>
    <w:pitch w:val="default"/>
    <w:sig w:usb0="00000000" w:usb1="00000000" w:usb2="00000000" w:usb3="00000000" w:csb0="00000000"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等线">
    <w:altName w:val="华文仿宋"/>
    <w:panose1 w:val="02010600030101010101"/>
    <w:charset w:val="86"/>
    <w:family w:val="auto"/>
    <w:pitch w:val="default"/>
    <w:sig w:usb0="00000000" w:usb1="00000000" w:usb2="00000016" w:usb3="00000000" w:csb0="0004000F" w:csb1="00000000"/>
  </w:font>
  <w:font w:name="华文仿宋">
    <w:panose1 w:val="02010600040101010101"/>
    <w:charset w:val="86"/>
    <w:family w:val="auto"/>
    <w:pitch w:val="default"/>
    <w:sig w:usb0="00000287" w:usb1="080F0000" w:usb2="00000000" w:usb3="00000000" w:csb0="0004009F" w:csb1="DFD70000"/>
  </w:font>
  <w:font w:name="仿宋_GB2312">
    <w:altName w:val="方正仿宋_GBK"/>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仿宋">
    <w:altName w:val="方正仿宋_GBK"/>
    <w:panose1 w:val="02010609060101010101"/>
    <w:charset w:val="86"/>
    <w:family w:val="modern"/>
    <w:pitch w:val="default"/>
    <w:sig w:usb0="00000000" w:usb1="00000000" w:usb2="00000016" w:usb3="00000000" w:csb0="00040001" w:csb1="00000000"/>
  </w:font>
  <w:font w:name="微软雅黑">
    <w:altName w:val="方正黑体_GBK"/>
    <w:panose1 w:val="020B0503020204020204"/>
    <w:charset w:val="86"/>
    <w:family w:val="swiss"/>
    <w:pitch w:val="default"/>
    <w:sig w:usb0="00000000" w:usb1="00000000" w:usb2="00000016" w:usb3="00000000" w:csb0="0004001F" w:csb1="00000000"/>
  </w:font>
  <w:font w:name="方正黑体_GBK">
    <w:panose1 w:val="02000000000000000000"/>
    <w:charset w:val="86"/>
    <w:family w:val="auto"/>
    <w:pitch w:val="default"/>
    <w:sig w:usb0="00000001" w:usb1="08000000" w:usb2="00000000" w:usb3="00000000" w:csb0="00040000" w:csb1="00000000"/>
  </w:font>
  <w:font w:name="等线">
    <w:altName w:val="C059"/>
    <w:panose1 w:val="00000000000000000000"/>
    <w:charset w:val="00"/>
    <w:family w:val="auto"/>
    <w:pitch w:val="default"/>
    <w:sig w:usb0="00000000" w:usb1="00000000" w:usb2="00000000" w:usb3="00000000" w:csb0="00000000" w:csb1="00000000"/>
  </w:font>
  <w:font w:name="C059">
    <w:panose1 w:val="00000500000000000000"/>
    <w:charset w:val="00"/>
    <w:family w:val="auto"/>
    <w:pitch w:val="default"/>
    <w:sig w:usb0="00000287" w:usb1="00000800" w:usb2="00000000" w:usb3="00000000" w:csb0="6000009F" w:csb1="00000000"/>
  </w:font>
  <w:font w:name="DejaVu Math TeX Gyre">
    <w:panose1 w:val="02000503000000000000"/>
    <w:charset w:val="00"/>
    <w:family w:val="auto"/>
    <w:pitch w:val="default"/>
    <w:sig w:usb0="A10000EF" w:usb1="4201F9EE" w:usb2="02000000" w:usb3="00000000" w:csb0="60000193" w:csb1="0DD40000"/>
  </w:font>
  <w:font w:name="MathJax_Vector">
    <w:panose1 w:val="02000603000000000000"/>
    <w:charset w:val="00"/>
    <w:family w:val="auto"/>
    <w:pitch w:val="default"/>
    <w:sig w:usb0="00000001" w:usb1="0000002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2BC5A">
    <w:pPr>
      <w:pStyle w:val="5"/>
      <w:jc w:val="center"/>
    </w:pPr>
    <w:r>
      <w:fldChar w:fldCharType="begin"/>
    </w:r>
    <w:r>
      <w:instrText xml:space="preserve"> PAGE   \* MERGEFORMAT </w:instrText>
    </w:r>
    <w:r>
      <w:fldChar w:fldCharType="separate"/>
    </w:r>
    <w:r>
      <w:t>4</w:t>
    </w:r>
    <w:r>
      <w:fldChar w:fldCharType="end"/>
    </w:r>
  </w:p>
  <w:p w14:paraId="12C3900B">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3C5B3">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RiMjQ0YTU1MzRiNTVjMzEzYjhmN2MwYzdjN2NhYTYifQ=="/>
  </w:docVars>
  <w:rsids>
    <w:rsidRoot w:val="00F46141"/>
    <w:rsid w:val="000A5369"/>
    <w:rsid w:val="000D6ADD"/>
    <w:rsid w:val="00103CE6"/>
    <w:rsid w:val="0013619C"/>
    <w:rsid w:val="001F3B34"/>
    <w:rsid w:val="00202481"/>
    <w:rsid w:val="003450E6"/>
    <w:rsid w:val="00357936"/>
    <w:rsid w:val="00361507"/>
    <w:rsid w:val="003E6B2A"/>
    <w:rsid w:val="0041303B"/>
    <w:rsid w:val="00417F28"/>
    <w:rsid w:val="0045245A"/>
    <w:rsid w:val="004C6A67"/>
    <w:rsid w:val="00714976"/>
    <w:rsid w:val="007544B8"/>
    <w:rsid w:val="00756546"/>
    <w:rsid w:val="007B6C01"/>
    <w:rsid w:val="007E09A0"/>
    <w:rsid w:val="00833636"/>
    <w:rsid w:val="008D4D75"/>
    <w:rsid w:val="008E5A66"/>
    <w:rsid w:val="008F7376"/>
    <w:rsid w:val="00923CD7"/>
    <w:rsid w:val="00953CB5"/>
    <w:rsid w:val="00A4728D"/>
    <w:rsid w:val="00AA2B92"/>
    <w:rsid w:val="00B17B98"/>
    <w:rsid w:val="00B629F1"/>
    <w:rsid w:val="00C83C4E"/>
    <w:rsid w:val="00CA215F"/>
    <w:rsid w:val="00D15F0B"/>
    <w:rsid w:val="00DA7507"/>
    <w:rsid w:val="00DA7BFC"/>
    <w:rsid w:val="00DF1D40"/>
    <w:rsid w:val="00E26270"/>
    <w:rsid w:val="00E26E37"/>
    <w:rsid w:val="00F31801"/>
    <w:rsid w:val="00F46141"/>
    <w:rsid w:val="00F8717B"/>
    <w:rsid w:val="00F93662"/>
    <w:rsid w:val="05972365"/>
    <w:rsid w:val="16573B76"/>
    <w:rsid w:val="16B0180C"/>
    <w:rsid w:val="17EF0C4F"/>
    <w:rsid w:val="18141625"/>
    <w:rsid w:val="1A16387D"/>
    <w:rsid w:val="1C896A53"/>
    <w:rsid w:val="1DBF097A"/>
    <w:rsid w:val="1E9B7BCE"/>
    <w:rsid w:val="22C93D0B"/>
    <w:rsid w:val="243D19AC"/>
    <w:rsid w:val="24D03292"/>
    <w:rsid w:val="252360F2"/>
    <w:rsid w:val="2ABD6F07"/>
    <w:rsid w:val="2BF64978"/>
    <w:rsid w:val="2D3C1C9B"/>
    <w:rsid w:val="2D7D0782"/>
    <w:rsid w:val="2F7F3EC8"/>
    <w:rsid w:val="2FFF4AFD"/>
    <w:rsid w:val="30B7313B"/>
    <w:rsid w:val="33F56D63"/>
    <w:rsid w:val="33FF676D"/>
    <w:rsid w:val="35A45E45"/>
    <w:rsid w:val="35D77844"/>
    <w:rsid w:val="3C9D7ED9"/>
    <w:rsid w:val="3DC35103"/>
    <w:rsid w:val="3F77F824"/>
    <w:rsid w:val="3FDF6154"/>
    <w:rsid w:val="411C58D9"/>
    <w:rsid w:val="431346A4"/>
    <w:rsid w:val="47DD3496"/>
    <w:rsid w:val="4A102644"/>
    <w:rsid w:val="4E885277"/>
    <w:rsid w:val="4EBA0ACE"/>
    <w:rsid w:val="4F7D8710"/>
    <w:rsid w:val="503506B5"/>
    <w:rsid w:val="52263E21"/>
    <w:rsid w:val="545804DE"/>
    <w:rsid w:val="5BFFCD44"/>
    <w:rsid w:val="5CEA3C68"/>
    <w:rsid w:val="5DFCC7A7"/>
    <w:rsid w:val="5E865803"/>
    <w:rsid w:val="5E97872A"/>
    <w:rsid w:val="5FECDAED"/>
    <w:rsid w:val="646D34AC"/>
    <w:rsid w:val="66DC7706"/>
    <w:rsid w:val="677B5F12"/>
    <w:rsid w:val="677CFDBB"/>
    <w:rsid w:val="67A25E15"/>
    <w:rsid w:val="68FFF3D9"/>
    <w:rsid w:val="69FB7297"/>
    <w:rsid w:val="6BB602E5"/>
    <w:rsid w:val="6E3366B1"/>
    <w:rsid w:val="6E8F315B"/>
    <w:rsid w:val="6FE4007A"/>
    <w:rsid w:val="70846598"/>
    <w:rsid w:val="727747DC"/>
    <w:rsid w:val="74CD6057"/>
    <w:rsid w:val="768F73C8"/>
    <w:rsid w:val="77DFB1C9"/>
    <w:rsid w:val="77FF06D3"/>
    <w:rsid w:val="78534423"/>
    <w:rsid w:val="786372CE"/>
    <w:rsid w:val="786417C1"/>
    <w:rsid w:val="79BF2ABD"/>
    <w:rsid w:val="79EFAFD4"/>
    <w:rsid w:val="7ABD9523"/>
    <w:rsid w:val="7B978E3D"/>
    <w:rsid w:val="7BBD3D89"/>
    <w:rsid w:val="7BFC3351"/>
    <w:rsid w:val="7D5F1383"/>
    <w:rsid w:val="7D7B98BC"/>
    <w:rsid w:val="7DC30A69"/>
    <w:rsid w:val="7DD1B86F"/>
    <w:rsid w:val="7DFAD0AA"/>
    <w:rsid w:val="7E7F3216"/>
    <w:rsid w:val="7EF19375"/>
    <w:rsid w:val="7F7B1B37"/>
    <w:rsid w:val="7F7ED269"/>
    <w:rsid w:val="7F99ABB2"/>
    <w:rsid w:val="7FD7D6CD"/>
    <w:rsid w:val="7FF26951"/>
    <w:rsid w:val="7FFF2D27"/>
    <w:rsid w:val="864D8B36"/>
    <w:rsid w:val="8DBDA865"/>
    <w:rsid w:val="95FF090E"/>
    <w:rsid w:val="9FEE0C39"/>
    <w:rsid w:val="AB99BF53"/>
    <w:rsid w:val="AF60CE8B"/>
    <w:rsid w:val="AFE7E75E"/>
    <w:rsid w:val="B75BA8B3"/>
    <w:rsid w:val="B7FF5E62"/>
    <w:rsid w:val="BCE692AE"/>
    <w:rsid w:val="BEEF9DFB"/>
    <w:rsid w:val="BEF9617A"/>
    <w:rsid w:val="BFE67935"/>
    <w:rsid w:val="BFFEE1EA"/>
    <w:rsid w:val="D5E5B18D"/>
    <w:rsid w:val="D5FFAEFF"/>
    <w:rsid w:val="DB57B201"/>
    <w:rsid w:val="E1BE6809"/>
    <w:rsid w:val="E375D80F"/>
    <w:rsid w:val="EB2DBC9F"/>
    <w:rsid w:val="ECFC37E1"/>
    <w:rsid w:val="ED7FCECE"/>
    <w:rsid w:val="EE7D80BC"/>
    <w:rsid w:val="EEFBB83F"/>
    <w:rsid w:val="EF2B3356"/>
    <w:rsid w:val="F6F7AF89"/>
    <w:rsid w:val="F7BF0EC5"/>
    <w:rsid w:val="FAD384A8"/>
    <w:rsid w:val="FBC73C09"/>
    <w:rsid w:val="FBFF3C7D"/>
    <w:rsid w:val="FCDDA9AD"/>
    <w:rsid w:val="FEB64CDB"/>
    <w:rsid w:val="FEDF41EC"/>
    <w:rsid w:val="FF7FDD29"/>
    <w:rsid w:val="FF9F60D9"/>
    <w:rsid w:val="FFB768BD"/>
    <w:rsid w:val="FFBFF65B"/>
    <w:rsid w:val="FFEFF081"/>
    <w:rsid w:val="FFF5CE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1">
    <w:name w:val="Default Paragraph Font"/>
    <w:unhideWhenUsed/>
    <w:qFormat/>
    <w:uiPriority w:val="1"/>
  </w:style>
  <w:style w:type="table" w:default="1" w:styleId="10">
    <w:name w:val="Normal Table"/>
    <w:unhideWhenUsed/>
    <w:qFormat/>
    <w:uiPriority w:val="99"/>
    <w:tblPr>
      <w:tblCellMar>
        <w:top w:w="0" w:type="dxa"/>
        <w:left w:w="108" w:type="dxa"/>
        <w:bottom w:w="0" w:type="dxa"/>
        <w:right w:w="108" w:type="dxa"/>
      </w:tblCellMar>
    </w:tblPr>
  </w:style>
  <w:style w:type="paragraph" w:styleId="2">
    <w:name w:val="annotation text"/>
    <w:basedOn w:val="1"/>
    <w:link w:val="19"/>
    <w:unhideWhenUsed/>
    <w:qFormat/>
    <w:uiPriority w:val="99"/>
    <w:pPr>
      <w:jc w:val="left"/>
    </w:pPr>
  </w:style>
  <w:style w:type="paragraph" w:styleId="3">
    <w:name w:val="Body Text"/>
    <w:basedOn w:val="1"/>
    <w:qFormat/>
    <w:uiPriority w:val="1"/>
    <w:pPr>
      <w:spacing w:before="1"/>
      <w:ind w:left="100"/>
    </w:pPr>
    <w:rPr>
      <w:sz w:val="30"/>
      <w:szCs w:val="30"/>
    </w:rPr>
  </w:style>
  <w:style w:type="paragraph" w:styleId="4">
    <w:name w:val="Balloon Text"/>
    <w:basedOn w:val="1"/>
    <w:link w:val="17"/>
    <w:unhideWhenUsed/>
    <w:qFormat/>
    <w:uiPriority w:val="99"/>
    <w:rPr>
      <w:sz w:val="18"/>
      <w:szCs w:val="18"/>
    </w:rPr>
  </w:style>
  <w:style w:type="paragraph" w:styleId="5">
    <w:name w:val="footer"/>
    <w:basedOn w:val="1"/>
    <w:link w:val="14"/>
    <w:qFormat/>
    <w:uiPriority w:val="99"/>
    <w:pPr>
      <w:tabs>
        <w:tab w:val="center" w:pos="4153"/>
        <w:tab w:val="right" w:pos="8306"/>
      </w:tabs>
      <w:snapToGrid w:val="0"/>
      <w:jc w:val="left"/>
    </w:pPr>
    <w:rPr>
      <w:sz w:val="18"/>
    </w:rPr>
  </w:style>
  <w:style w:type="paragraph" w:styleId="6">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8">
    <w:name w:val="annotation subject"/>
    <w:basedOn w:val="2"/>
    <w:next w:val="2"/>
    <w:link w:val="20"/>
    <w:unhideWhenUsed/>
    <w:qFormat/>
    <w:uiPriority w:val="99"/>
    <w:rPr>
      <w:b/>
      <w:bCs/>
    </w:rPr>
  </w:style>
  <w:style w:type="paragraph" w:styleId="9">
    <w:name w:val="Body Text First Indent 2"/>
    <w:qFormat/>
    <w:uiPriority w:val="0"/>
    <w:pPr>
      <w:widowControl w:val="0"/>
      <w:adjustRightInd w:val="0"/>
      <w:spacing w:line="360" w:lineRule="exact"/>
      <w:ind w:firstLine="420" w:firstLineChars="200"/>
      <w:jc w:val="center"/>
    </w:pPr>
    <w:rPr>
      <w:rFonts w:hint="eastAsia" w:ascii="宋体" w:hAnsi="宋体" w:eastAsia="仿宋_GB2312" w:cs="仿宋_GB2312"/>
      <w:kern w:val="2"/>
      <w:sz w:val="24"/>
      <w:szCs w:val="32"/>
      <w:lang w:val="en-US" w:eastAsia="zh-CN" w:bidi="ar-SA"/>
    </w:rPr>
  </w:style>
  <w:style w:type="character" w:styleId="12">
    <w:name w:val="Hyperlink"/>
    <w:basedOn w:val="11"/>
    <w:unhideWhenUsed/>
    <w:qFormat/>
    <w:uiPriority w:val="99"/>
    <w:rPr>
      <w:color w:val="0000FF"/>
      <w:u w:val="single"/>
    </w:rPr>
  </w:style>
  <w:style w:type="character" w:styleId="13">
    <w:name w:val="annotation reference"/>
    <w:basedOn w:val="11"/>
    <w:unhideWhenUsed/>
    <w:qFormat/>
    <w:uiPriority w:val="99"/>
    <w:rPr>
      <w:sz w:val="21"/>
      <w:szCs w:val="21"/>
    </w:rPr>
  </w:style>
  <w:style w:type="character" w:customStyle="1" w:styleId="14">
    <w:name w:val="页脚 字符"/>
    <w:link w:val="5"/>
    <w:qFormat/>
    <w:uiPriority w:val="99"/>
    <w:rPr>
      <w:sz w:val="18"/>
    </w:rPr>
  </w:style>
  <w:style w:type="character" w:customStyle="1" w:styleId="15">
    <w:name w:val="页脚 字符1"/>
    <w:basedOn w:val="11"/>
    <w:semiHidden/>
    <w:qFormat/>
    <w:uiPriority w:val="99"/>
    <w:rPr>
      <w:sz w:val="18"/>
      <w:szCs w:val="18"/>
    </w:rPr>
  </w:style>
  <w:style w:type="character" w:customStyle="1" w:styleId="16">
    <w:name w:val="页眉 字符"/>
    <w:basedOn w:val="11"/>
    <w:link w:val="6"/>
    <w:qFormat/>
    <w:uiPriority w:val="99"/>
    <w:rPr>
      <w:sz w:val="18"/>
      <w:szCs w:val="18"/>
    </w:rPr>
  </w:style>
  <w:style w:type="character" w:customStyle="1" w:styleId="17">
    <w:name w:val="批注框文本 字符"/>
    <w:basedOn w:val="11"/>
    <w:link w:val="4"/>
    <w:semiHidden/>
    <w:qFormat/>
    <w:uiPriority w:val="99"/>
    <w:rPr>
      <w:rFonts w:asciiTheme="minorHAnsi" w:hAnsiTheme="minorHAnsi" w:eastAsiaTheme="minorEastAsia" w:cstheme="minorBidi"/>
      <w:kern w:val="2"/>
      <w:sz w:val="18"/>
      <w:szCs w:val="18"/>
    </w:rPr>
  </w:style>
  <w:style w:type="character" w:customStyle="1" w:styleId="18">
    <w:name w:val="bus-line"/>
    <w:basedOn w:val="11"/>
    <w:qFormat/>
    <w:uiPriority w:val="0"/>
  </w:style>
  <w:style w:type="character" w:customStyle="1" w:styleId="19">
    <w:name w:val="批注文字 字符"/>
    <w:basedOn w:val="11"/>
    <w:link w:val="2"/>
    <w:qFormat/>
    <w:uiPriority w:val="99"/>
    <w:rPr>
      <w:rFonts w:asciiTheme="minorHAnsi" w:hAnsiTheme="minorHAnsi" w:eastAsiaTheme="minorEastAsia" w:cstheme="minorBidi"/>
      <w:kern w:val="2"/>
      <w:sz w:val="21"/>
      <w:szCs w:val="22"/>
    </w:rPr>
  </w:style>
  <w:style w:type="character" w:customStyle="1" w:styleId="20">
    <w:name w:val="批注主题 字符"/>
    <w:basedOn w:val="19"/>
    <w:link w:val="8"/>
    <w:semiHidden/>
    <w:qFormat/>
    <w:uiPriority w:val="99"/>
    <w:rPr>
      <w:rFonts w:asciiTheme="minorHAnsi" w:hAnsiTheme="minorHAnsi" w:eastAsiaTheme="minorEastAsia" w:cstheme="minorBidi"/>
      <w:b/>
      <w:bCs/>
      <w:kern w:val="2"/>
      <w:sz w:val="21"/>
      <w:szCs w:val="2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3</Pages>
  <Words>125</Words>
  <Characters>716</Characters>
  <Lines>5</Lines>
  <Paragraphs>1</Paragraphs>
  <TotalTime>2</TotalTime>
  <ScaleCrop>false</ScaleCrop>
  <LinksUpToDate>false</LinksUpToDate>
  <CharactersWithSpaces>840</CharactersWithSpaces>
  <Application>WPS Office_12.8.2.20327_F1E327BC-269C-435d-A152-05C5408002CA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2022-11-25T07:01:00Z</dcterms:created>
  <dc:creator>Yuan Zhiting</dc:creator>
  <cp:lastModifiedBy>区住宅中心</cp:lastModifiedBy>
  <cp:lastPrinted>2023-11-25T21:25:00Z</cp:lastPrinted>
  <dcterms:modified xsi:type="dcterms:W3CDTF">2025-10-17T11:38:39Z</dcterms:modified>
  <dc:title>碧桂园荣汇花园等项目未售出安居型商品房选房交通指引和注意事项</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2052-12.8.2.20327</vt:lpwstr>
  </property>
  <property fmtid="{D5CDD505-2E9C-101B-9397-08002B2CF9AE}" pid="3" name="ICV">
    <vt:lpwstr>5E5C1D94A9364B443FBAF168C36FC5D6_43</vt:lpwstr>
  </property>
</Properties>
</file>