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Theme="majorEastAsia" w:hAnsiTheme="majorEastAsia" w:eastAsiaTheme="majorEastAsia" w:cstheme="majorEastAsia"/>
          <w:b/>
          <w:bCs/>
          <w:color w:val="auto"/>
          <w:sz w:val="44"/>
          <w:szCs w:val="44"/>
          <w:lang w:val="en-US" w:eastAsia="zh-CN"/>
        </w:rPr>
      </w:pPr>
      <w:bookmarkStart w:id="0" w:name="_GoBack"/>
      <w:r>
        <w:rPr>
          <w:rFonts w:hint="eastAsia" w:ascii="宋体" w:hAnsi="宋体" w:cs="Arial"/>
          <w:b/>
          <w:bCs/>
          <w:color w:val="auto"/>
          <w:sz w:val="44"/>
          <w:szCs w:val="44"/>
        </w:rPr>
        <w:t>深圳市南山区</w:t>
      </w:r>
      <w:r>
        <w:rPr>
          <w:rFonts w:hint="default" w:ascii="宋体" w:hAnsi="宋体" w:cs="Arial"/>
          <w:b/>
          <w:bCs/>
          <w:color w:val="auto"/>
          <w:sz w:val="44"/>
          <w:szCs w:val="44"/>
        </w:rPr>
        <w:t>住宅保障中心采购</w:t>
      </w:r>
      <w:r>
        <w:rPr>
          <w:rFonts w:hint="eastAsia" w:asciiTheme="majorEastAsia" w:hAnsiTheme="majorEastAsia" w:eastAsiaTheme="majorEastAsia" w:cstheme="majorEastAsia"/>
          <w:b/>
          <w:bCs/>
          <w:color w:val="auto"/>
          <w:sz w:val="44"/>
          <w:szCs w:val="44"/>
          <w:lang w:val="en-US" w:eastAsia="zh-CN"/>
        </w:rPr>
        <w:t>房改历史</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宋体" w:hAnsi="宋体" w:cs="Arial"/>
          <w:b/>
          <w:bCs/>
          <w:color w:val="auto"/>
          <w:sz w:val="44"/>
          <w:szCs w:val="44"/>
        </w:rPr>
      </w:pPr>
      <w:r>
        <w:rPr>
          <w:rFonts w:hint="eastAsia" w:asciiTheme="majorEastAsia" w:hAnsiTheme="majorEastAsia" w:eastAsiaTheme="majorEastAsia" w:cstheme="majorEastAsia"/>
          <w:b/>
          <w:bCs/>
          <w:color w:val="auto"/>
          <w:sz w:val="44"/>
          <w:szCs w:val="44"/>
          <w:lang w:val="en-US" w:eastAsia="zh-CN"/>
        </w:rPr>
        <w:t>遗留问题咨询服务</w:t>
      </w:r>
    </w:p>
    <w:p>
      <w:pPr>
        <w:widowControl/>
        <w:jc w:val="both"/>
        <w:rPr>
          <w:rFonts w:ascii="宋体" w:hAnsi="宋体" w:cs="Arial"/>
          <w:b/>
          <w:bCs/>
          <w:color w:val="auto"/>
          <w:sz w:val="44"/>
          <w:szCs w:val="44"/>
        </w:rPr>
      </w:pPr>
    </w:p>
    <w:p>
      <w:pPr>
        <w:spacing w:before="156" w:beforeLines="50" w:after="156" w:afterLines="50" w:line="360" w:lineRule="auto"/>
        <w:jc w:val="center"/>
        <w:rPr>
          <w:rFonts w:ascii="黑体" w:hAnsi="宋体" w:eastAsia="黑体"/>
          <w:b/>
          <w:bCs/>
          <w:color w:val="auto"/>
          <w:sz w:val="72"/>
          <w:szCs w:val="72"/>
        </w:rPr>
      </w:pPr>
      <w:r>
        <w:rPr>
          <w:rFonts w:hint="eastAsia" w:ascii="黑体" w:hAnsi="黑体" w:eastAsia="黑体"/>
          <w:b/>
          <w:bCs/>
          <w:color w:val="auto"/>
          <w:sz w:val="72"/>
          <w:szCs w:val="72"/>
        </w:rPr>
        <w:t>招</w:t>
      </w:r>
    </w:p>
    <w:p>
      <w:pPr>
        <w:spacing w:before="156" w:beforeLines="50" w:after="156" w:afterLines="50" w:line="360" w:lineRule="auto"/>
        <w:jc w:val="center"/>
        <w:rPr>
          <w:rFonts w:ascii="黑体" w:hAnsi="宋体" w:eastAsia="黑体"/>
          <w:b/>
          <w:bCs/>
          <w:color w:val="auto"/>
          <w:sz w:val="72"/>
          <w:szCs w:val="72"/>
        </w:rPr>
      </w:pPr>
    </w:p>
    <w:p>
      <w:pPr>
        <w:spacing w:before="156" w:beforeLines="50" w:after="156" w:afterLines="50" w:line="360" w:lineRule="auto"/>
        <w:jc w:val="center"/>
        <w:rPr>
          <w:rFonts w:ascii="黑体" w:hAnsi="宋体" w:eastAsia="黑体"/>
          <w:b/>
          <w:bCs/>
          <w:color w:val="auto"/>
          <w:sz w:val="72"/>
          <w:szCs w:val="72"/>
        </w:rPr>
      </w:pPr>
      <w:r>
        <w:rPr>
          <w:rFonts w:hint="eastAsia" w:ascii="黑体" w:hAnsi="黑体" w:eastAsia="黑体"/>
          <w:b/>
          <w:bCs/>
          <w:color w:val="auto"/>
          <w:sz w:val="72"/>
          <w:szCs w:val="72"/>
        </w:rPr>
        <w:t>标</w:t>
      </w:r>
    </w:p>
    <w:p>
      <w:pPr>
        <w:spacing w:before="156" w:beforeLines="50" w:after="156" w:afterLines="50" w:line="360" w:lineRule="auto"/>
        <w:jc w:val="center"/>
        <w:rPr>
          <w:rFonts w:ascii="黑体" w:hAnsi="宋体" w:eastAsia="黑体"/>
          <w:b/>
          <w:bCs/>
          <w:color w:val="auto"/>
          <w:sz w:val="48"/>
          <w:szCs w:val="48"/>
        </w:rPr>
      </w:pPr>
    </w:p>
    <w:p>
      <w:pPr>
        <w:spacing w:before="156" w:beforeLines="50" w:after="156" w:afterLines="50" w:line="360" w:lineRule="auto"/>
        <w:jc w:val="center"/>
        <w:rPr>
          <w:rFonts w:ascii="黑体" w:hAnsi="宋体" w:eastAsia="黑体"/>
          <w:b/>
          <w:bCs/>
          <w:color w:val="auto"/>
          <w:sz w:val="72"/>
          <w:szCs w:val="72"/>
        </w:rPr>
      </w:pPr>
      <w:r>
        <w:rPr>
          <w:rFonts w:hint="eastAsia" w:ascii="黑体" w:hAnsi="黑体" w:eastAsia="黑体"/>
          <w:b/>
          <w:bCs/>
          <w:color w:val="auto"/>
          <w:sz w:val="72"/>
          <w:szCs w:val="72"/>
        </w:rPr>
        <w:t>书</w:t>
      </w:r>
    </w:p>
    <w:p>
      <w:pPr>
        <w:spacing w:line="360" w:lineRule="auto"/>
        <w:ind w:left="420" w:leftChars="200"/>
        <w:jc w:val="center"/>
        <w:rPr>
          <w:rFonts w:ascii="宋体" w:hAnsi="宋体"/>
          <w:color w:val="auto"/>
          <w:sz w:val="44"/>
          <w:szCs w:val="44"/>
        </w:rPr>
      </w:pPr>
    </w:p>
    <w:p>
      <w:pPr>
        <w:spacing w:line="360" w:lineRule="auto"/>
        <w:ind w:left="420" w:leftChars="200"/>
        <w:jc w:val="center"/>
        <w:rPr>
          <w:rFonts w:ascii="方正小标宋简体" w:hAnsi="宋体" w:cs="Arial"/>
          <w:color w:val="auto"/>
          <w:sz w:val="48"/>
          <w:szCs w:val="48"/>
        </w:rPr>
      </w:pPr>
    </w:p>
    <w:p>
      <w:pPr>
        <w:spacing w:line="600" w:lineRule="exact"/>
        <w:jc w:val="center"/>
        <w:rPr>
          <w:rFonts w:hint="default" w:ascii="宋体" w:hAnsi="宋体" w:eastAsia="宋体"/>
          <w:b/>
          <w:bCs/>
          <w:color w:val="auto"/>
          <w:sz w:val="32"/>
          <w:szCs w:val="32"/>
          <w:lang w:eastAsia="zh-CN"/>
        </w:rPr>
      </w:pPr>
      <w:r>
        <w:rPr>
          <w:rFonts w:hint="eastAsia" w:ascii="宋体" w:hAnsi="宋体"/>
          <w:b/>
          <w:bCs/>
          <w:color w:val="auto"/>
          <w:sz w:val="32"/>
          <w:szCs w:val="32"/>
        </w:rPr>
        <w:t>深圳市南山区</w:t>
      </w:r>
      <w:r>
        <w:rPr>
          <w:rFonts w:hint="default" w:ascii="宋体" w:hAnsi="宋体"/>
          <w:b/>
          <w:bCs/>
          <w:color w:val="auto"/>
          <w:sz w:val="32"/>
          <w:szCs w:val="32"/>
          <w:lang w:eastAsia="zh-CN"/>
        </w:rPr>
        <w:t>住宅保障中心</w:t>
      </w:r>
    </w:p>
    <w:p>
      <w:pPr>
        <w:spacing w:line="600" w:lineRule="exact"/>
        <w:jc w:val="center"/>
        <w:rPr>
          <w:color w:val="auto"/>
        </w:rPr>
      </w:pPr>
      <w:r>
        <w:rPr>
          <w:rFonts w:hint="eastAsia" w:ascii="宋体" w:hAnsi="宋体"/>
          <w:b/>
          <w:bCs/>
          <w:color w:val="auto"/>
          <w:sz w:val="32"/>
          <w:szCs w:val="32"/>
        </w:rPr>
        <w:t>202</w:t>
      </w:r>
      <w:r>
        <w:rPr>
          <w:rFonts w:hint="eastAsia" w:ascii="宋体" w:hAnsi="宋体"/>
          <w:b/>
          <w:bCs/>
          <w:color w:val="auto"/>
          <w:sz w:val="32"/>
          <w:szCs w:val="32"/>
          <w:lang w:val="en-US" w:eastAsia="zh-CN"/>
        </w:rPr>
        <w:t>5</w:t>
      </w:r>
      <w:r>
        <w:rPr>
          <w:rFonts w:hint="eastAsia" w:ascii="宋体" w:hAnsi="宋体"/>
          <w:b/>
          <w:bCs/>
          <w:color w:val="auto"/>
          <w:sz w:val="32"/>
          <w:szCs w:val="32"/>
        </w:rPr>
        <w:t>年</w:t>
      </w:r>
      <w:r>
        <w:rPr>
          <w:rFonts w:hint="eastAsia" w:ascii="宋体" w:hAnsi="宋体"/>
          <w:b/>
          <w:bCs/>
          <w:color w:val="auto"/>
          <w:sz w:val="32"/>
          <w:szCs w:val="32"/>
          <w:lang w:val="en-US" w:eastAsia="zh-CN"/>
        </w:rPr>
        <w:t>0</w:t>
      </w:r>
      <w:r>
        <w:rPr>
          <w:rFonts w:hint="default" w:ascii="宋体" w:hAnsi="宋体"/>
          <w:b/>
          <w:bCs/>
          <w:color w:val="auto"/>
          <w:sz w:val="32"/>
          <w:szCs w:val="32"/>
          <w:lang w:val="en-US" w:eastAsia="zh-CN"/>
        </w:rPr>
        <w:t>9</w:t>
      </w:r>
      <w:r>
        <w:rPr>
          <w:rFonts w:hint="eastAsia" w:ascii="宋体" w:hAnsi="宋体"/>
          <w:b/>
          <w:bCs/>
          <w:color w:val="auto"/>
          <w:sz w:val="32"/>
          <w:szCs w:val="32"/>
        </w:rPr>
        <w:t>月</w:t>
      </w:r>
    </w:p>
    <w:p>
      <w:pPr>
        <w:widowControl/>
        <w:jc w:val="left"/>
        <w:rPr>
          <w:rFonts w:ascii="宋体" w:hAnsi="宋体" w:cs="宋体"/>
          <w:b/>
          <w:bCs/>
          <w:color w:val="auto"/>
          <w:sz w:val="44"/>
          <w:szCs w:val="44"/>
        </w:rPr>
        <w:sectPr>
          <w:headerReference r:id="rId3" w:type="default"/>
          <w:footerReference r:id="rId4" w:type="default"/>
          <w:pgSz w:w="11906" w:h="16838"/>
          <w:pgMar w:top="1400" w:right="1797" w:bottom="1089" w:left="1797"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宋体" w:hAnsi="宋体" w:cs="Arial"/>
          <w:b/>
          <w:bCs/>
          <w:color w:val="auto"/>
          <w:sz w:val="44"/>
          <w:szCs w:val="44"/>
        </w:rPr>
        <w:t>深圳市南山区</w:t>
      </w:r>
      <w:r>
        <w:rPr>
          <w:rFonts w:hint="default" w:ascii="宋体" w:hAnsi="宋体" w:cs="Arial"/>
          <w:b/>
          <w:bCs/>
          <w:color w:val="auto"/>
          <w:sz w:val="44"/>
          <w:szCs w:val="44"/>
        </w:rPr>
        <w:t>住宅保障中心采购</w:t>
      </w:r>
      <w:r>
        <w:rPr>
          <w:rFonts w:hint="eastAsia" w:asciiTheme="majorEastAsia" w:hAnsiTheme="majorEastAsia" w:eastAsiaTheme="majorEastAsia" w:cstheme="majorEastAsia"/>
          <w:b/>
          <w:bCs/>
          <w:color w:val="auto"/>
          <w:sz w:val="44"/>
          <w:szCs w:val="44"/>
          <w:lang w:val="en-US" w:eastAsia="zh-CN"/>
        </w:rPr>
        <w:t>房改历史</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宋体" w:hAnsi="宋体"/>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遗留问题咨询服务</w:t>
      </w:r>
      <w:r>
        <w:rPr>
          <w:rFonts w:hint="eastAsia" w:ascii="宋体" w:hAnsi="宋体"/>
          <w:b/>
          <w:bCs/>
          <w:color w:val="auto"/>
          <w:sz w:val="44"/>
          <w:szCs w:val="44"/>
          <w:lang w:val="en-US" w:eastAsia="zh-CN"/>
        </w:rPr>
        <w:t>招标书</w:t>
      </w:r>
    </w:p>
    <w:p>
      <w:pPr>
        <w:jc w:val="center"/>
        <w:rPr>
          <w:rFonts w:hint="eastAsia" w:ascii="宋体" w:hAnsi="宋体"/>
          <w:b/>
          <w:bCs/>
          <w:color w:val="auto"/>
          <w:sz w:val="44"/>
          <w:szCs w:val="44"/>
          <w:lang w:val="en-US" w:eastAsia="zh-CN"/>
        </w:rPr>
      </w:pP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一、项目背景</w:t>
      </w:r>
    </w:p>
    <w:p>
      <w:pPr>
        <w:spacing w:line="50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深圳市南山区</w:t>
      </w:r>
      <w:r>
        <w:rPr>
          <w:rFonts w:hint="eastAsia" w:ascii="仿宋_GB2312" w:hAnsi="仿宋_GB2312" w:eastAsia="仿宋_GB2312" w:cs="仿宋_GB2312"/>
          <w:color w:val="auto"/>
          <w:sz w:val="32"/>
          <w:szCs w:val="32"/>
          <w:lang w:eastAsia="zh-CN"/>
        </w:rPr>
        <w:t>住宅</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lang w:eastAsia="zh-CN"/>
        </w:rPr>
        <w:t>中心负责</w:t>
      </w:r>
      <w:r>
        <w:rPr>
          <w:rFonts w:hint="default" w:ascii="仿宋_GB2312" w:hAnsi="仿宋_GB2312" w:eastAsia="仿宋_GB2312" w:cs="仿宋_GB2312"/>
          <w:color w:val="auto"/>
          <w:sz w:val="32"/>
          <w:szCs w:val="32"/>
          <w:lang w:eastAsia="zh-CN"/>
        </w:rPr>
        <w:t>南山区</w:t>
      </w:r>
      <w:r>
        <w:rPr>
          <w:rFonts w:hint="eastAsia" w:ascii="仿宋_GB2312" w:hAnsi="仿宋_GB2312" w:eastAsia="仿宋_GB2312" w:cs="仿宋_GB2312"/>
          <w:color w:val="auto"/>
          <w:sz w:val="32"/>
          <w:szCs w:val="32"/>
          <w:lang w:eastAsia="zh-CN"/>
        </w:rPr>
        <w:t>历史遗留房改业务的办理</w:t>
      </w:r>
      <w:r>
        <w:rPr>
          <w:rFonts w:hint="default" w:ascii="仿宋_GB2312" w:hAnsi="仿宋_GB2312" w:eastAsia="仿宋_GB2312" w:cs="仿宋_GB2312"/>
          <w:color w:val="auto"/>
          <w:sz w:val="32"/>
          <w:szCs w:val="32"/>
          <w:lang w:eastAsia="zh-CN"/>
        </w:rPr>
        <w:t>、</w:t>
      </w:r>
      <w:r>
        <w:rPr>
          <w:rFonts w:hint="default" w:ascii="仿宋" w:hAnsi="仿宋" w:eastAsia="仿宋" w:cs="仿宋"/>
          <w:b w:val="0"/>
          <w:bCs w:val="0"/>
          <w:color w:val="auto"/>
          <w:sz w:val="32"/>
          <w:szCs w:val="32"/>
          <w:lang w:eastAsia="zh-CN"/>
        </w:rPr>
        <w:t>住房保障的前期规划建设、</w:t>
      </w:r>
      <w:r>
        <w:rPr>
          <w:rFonts w:hint="eastAsia" w:ascii="仿宋" w:hAnsi="仿宋" w:eastAsia="仿宋" w:cs="仿宋"/>
          <w:b w:val="0"/>
          <w:bCs w:val="0"/>
          <w:color w:val="auto"/>
          <w:sz w:val="32"/>
          <w:szCs w:val="32"/>
          <w:lang w:val="en-US" w:eastAsia="zh-CN"/>
        </w:rPr>
        <w:t>回购</w:t>
      </w:r>
      <w:r>
        <w:rPr>
          <w:rFonts w:hint="default"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重大事项处理、工程竣工和结算审计等事务性工作</w:t>
      </w:r>
      <w:r>
        <w:rPr>
          <w:rFonts w:hint="default" w:ascii="仿宋" w:hAnsi="仿宋" w:eastAsia="仿宋" w:cs="仿宋"/>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为推进工作进展，我中心拟</w:t>
      </w:r>
      <w:r>
        <w:rPr>
          <w:rFonts w:hint="default" w:ascii="仿宋_GB2312" w:hAnsi="仿宋_GB2312" w:eastAsia="仿宋_GB2312" w:cs="仿宋_GB2312"/>
          <w:color w:val="auto"/>
          <w:sz w:val="32"/>
          <w:szCs w:val="32"/>
          <w:lang w:eastAsia="zh-CN"/>
        </w:rPr>
        <w:t>公开招标采购</w:t>
      </w:r>
      <w:r>
        <w:rPr>
          <w:rFonts w:hint="eastAsia" w:ascii="仿宋_GB2312" w:hAnsi="仿宋_GB2312" w:eastAsia="仿宋_GB2312" w:cs="仿宋_GB2312"/>
          <w:color w:val="auto"/>
          <w:sz w:val="32"/>
          <w:szCs w:val="32"/>
          <w:lang w:val="en-US" w:eastAsia="zh-CN"/>
        </w:rPr>
        <w:t>第三方咨询服务机构，协助处理</w:t>
      </w:r>
      <w:r>
        <w:rPr>
          <w:rFonts w:hint="default" w:ascii="仿宋_GB2312" w:hAnsi="仿宋_GB2312" w:eastAsia="仿宋_GB2312" w:cs="仿宋_GB2312"/>
          <w:color w:val="auto"/>
          <w:sz w:val="32"/>
          <w:szCs w:val="32"/>
          <w:lang w:eastAsia="zh-CN"/>
        </w:rPr>
        <w:t>我中心机构职能涉及的</w:t>
      </w:r>
      <w:r>
        <w:rPr>
          <w:rFonts w:hint="eastAsia" w:ascii="仿宋_GB2312" w:hAnsi="仿宋_GB2312" w:eastAsia="仿宋_GB2312" w:cs="仿宋_GB2312"/>
          <w:color w:val="auto"/>
          <w:sz w:val="32"/>
          <w:szCs w:val="32"/>
          <w:lang w:val="en-US" w:eastAsia="zh-CN"/>
        </w:rPr>
        <w:t>房改历史遗留问题</w:t>
      </w:r>
      <w:r>
        <w:rPr>
          <w:rFonts w:hint="default" w:ascii="仿宋_GB2312" w:hAnsi="仿宋_GB2312" w:eastAsia="仿宋_GB2312" w:cs="仿宋_GB2312"/>
          <w:color w:val="auto"/>
          <w:sz w:val="32"/>
          <w:szCs w:val="32"/>
          <w:lang w:eastAsia="zh-CN"/>
        </w:rPr>
        <w:t>及住房保障等方面</w:t>
      </w:r>
      <w:r>
        <w:rPr>
          <w:rFonts w:hint="eastAsia" w:ascii="仿宋_GB2312" w:hAnsi="仿宋_GB2312" w:eastAsia="仿宋_GB2312" w:cs="仿宋_GB2312"/>
          <w:color w:val="auto"/>
          <w:sz w:val="32"/>
          <w:szCs w:val="32"/>
          <w:lang w:val="en-US" w:eastAsia="zh-CN"/>
        </w:rPr>
        <w:t>的相关事务性工作</w:t>
      </w:r>
      <w:r>
        <w:rPr>
          <w:rFonts w:hint="default" w:ascii="仿宋_GB2312" w:hAnsi="仿宋_GB2312" w:eastAsia="仿宋_GB2312" w:cs="仿宋_GB2312"/>
          <w:color w:val="auto"/>
          <w:sz w:val="32"/>
          <w:szCs w:val="32"/>
          <w:lang w:eastAsia="zh-CN"/>
        </w:rPr>
        <w:t>，</w:t>
      </w:r>
      <w:r>
        <w:rPr>
          <w:rFonts w:hint="default" w:ascii="仿宋" w:hAnsi="仿宋" w:eastAsia="仿宋" w:cs="仿宋"/>
          <w:b w:val="0"/>
          <w:bCs w:val="0"/>
          <w:color w:val="auto"/>
          <w:sz w:val="32"/>
          <w:szCs w:val="32"/>
          <w:lang w:eastAsia="zh-CN"/>
        </w:rPr>
        <w:t>以便</w:t>
      </w:r>
      <w:r>
        <w:rPr>
          <w:rFonts w:hint="eastAsia" w:ascii="仿宋" w:hAnsi="仿宋" w:eastAsia="仿宋" w:cs="仿宋"/>
          <w:b w:val="0"/>
          <w:bCs w:val="0"/>
          <w:color w:val="auto"/>
          <w:sz w:val="32"/>
          <w:szCs w:val="32"/>
          <w:lang w:val="en-US" w:eastAsia="zh-CN"/>
        </w:rPr>
        <w:t>推进南山区的</w:t>
      </w:r>
      <w:r>
        <w:rPr>
          <w:rFonts w:hint="eastAsia" w:ascii="仿宋_GB2312" w:hAnsi="仿宋_GB2312" w:eastAsia="仿宋_GB2312" w:cs="仿宋_GB2312"/>
          <w:color w:val="auto"/>
          <w:sz w:val="32"/>
          <w:szCs w:val="32"/>
          <w:lang w:val="en-US" w:eastAsia="zh-CN"/>
        </w:rPr>
        <w:t>房改历史遗留问题处理</w:t>
      </w:r>
      <w:r>
        <w:rPr>
          <w:rFonts w:hint="eastAsia" w:ascii="仿宋" w:hAnsi="仿宋" w:eastAsia="仿宋" w:cs="仿宋"/>
          <w:b w:val="0"/>
          <w:bCs w:val="0"/>
          <w:color w:val="auto"/>
          <w:sz w:val="32"/>
          <w:szCs w:val="32"/>
          <w:lang w:val="en-US" w:eastAsia="zh-CN"/>
        </w:rPr>
        <w:t>工作，规范工作程序，防范风险</w:t>
      </w:r>
      <w:r>
        <w:rPr>
          <w:rFonts w:hint="default" w:ascii="仿宋" w:hAnsi="仿宋" w:eastAsia="仿宋" w:cs="仿宋"/>
          <w:b w:val="0"/>
          <w:bCs w:val="0"/>
          <w:color w:val="auto"/>
          <w:sz w:val="32"/>
          <w:szCs w:val="32"/>
          <w:lang w:eastAsia="zh-CN"/>
        </w:rPr>
        <w:t>。</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二、项目服务内容</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lang w:val="en-US" w:eastAsia="zh-CN"/>
        </w:rPr>
        <w:t>）房改历史遗留问题处理事宜工作范围</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1、协助处理房改历史遗留问题；</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2、协助起草、审查、修改各类合同、协议；</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3、交办的其他相关事务性工作。 </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（二）住房保障事宜工作范围</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1、对住房保障领域（包括规划审批、施工监管、出售出租、运营管理等）提供咨询服务；</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2、协助起草、审查、修改各类合同、协议；</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3、参与重大问题的协商谈判；</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4、交办的其他相关事务性工作。 </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三、项目服务价格上限</w:t>
      </w:r>
    </w:p>
    <w:p>
      <w:pPr>
        <w:spacing w:line="500" w:lineRule="exact"/>
        <w:ind w:firstLine="640" w:firstLineChars="200"/>
        <w:jc w:val="left"/>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本项目控制金额为人民币</w:t>
      </w:r>
      <w:r>
        <w:rPr>
          <w:rFonts w:hint="eastAsia" w:ascii="仿宋_GB2312" w:hAnsi="仿宋_GB2312" w:eastAsia="仿宋_GB2312" w:cs="仿宋_GB2312"/>
          <w:b w:val="0"/>
          <w:bCs w:val="0"/>
          <w:color w:val="auto"/>
          <w:sz w:val="32"/>
          <w:szCs w:val="32"/>
          <w:u w:val="none"/>
          <w:lang w:val="en-US" w:eastAsia="zh-CN"/>
        </w:rPr>
        <w:t xml:space="preserve"> </w:t>
      </w:r>
      <w:r>
        <w:rPr>
          <w:rFonts w:hint="default" w:ascii="仿宋_GB2312" w:hAnsi="仿宋_GB2312" w:eastAsia="仿宋_GB2312" w:cs="仿宋_GB2312"/>
          <w:b/>
          <w:bCs/>
          <w:color w:val="auto"/>
          <w:sz w:val="32"/>
          <w:szCs w:val="32"/>
          <w:u w:val="single"/>
          <w:lang w:val="en-US" w:eastAsia="zh-CN"/>
        </w:rPr>
        <w:t>76</w:t>
      </w:r>
      <w:r>
        <w:rPr>
          <w:rFonts w:hint="eastAsia" w:ascii="仿宋_GB2312" w:hAnsi="仿宋_GB2312" w:eastAsia="仿宋_GB2312" w:cs="仿宋_GB2312"/>
          <w:b/>
          <w:bCs/>
          <w:color w:val="auto"/>
          <w:sz w:val="32"/>
          <w:szCs w:val="32"/>
          <w:u w:val="single"/>
          <w:lang w:val="en-US" w:eastAsia="zh-CN"/>
        </w:rPr>
        <w:t xml:space="preserve">万元 </w:t>
      </w:r>
      <w:r>
        <w:rPr>
          <w:rFonts w:hint="eastAsia" w:ascii="仿宋_GB2312" w:hAnsi="仿宋_GB2312" w:eastAsia="仿宋_GB2312" w:cs="仿宋_GB2312"/>
          <w:b w:val="0"/>
          <w:bCs w:val="0"/>
          <w:color w:val="auto"/>
          <w:sz w:val="32"/>
          <w:szCs w:val="32"/>
          <w:lang w:val="en-US" w:eastAsia="zh-CN"/>
        </w:rPr>
        <w:t>，参与投标单位的报价不可高于控制金额，否则投标单位的投标文件视同无效。</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四、投标人的资格要求</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具有独立承担民事责任能力的咨询单位。存在分公司的，总公司或者分公司只允许一家投标，不允许同时参与本项目投标，以分公司名义参与投标的，须提供总公司出具的愿为其参与本项目投标的行为以及履约等行为承担民事责任的授权函（加盖总公司公章），以及提供总公司和分公司执业许可证扫描件，原件备查。</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2.投标人须承诺近三年无违法违规行为，无行为处罚、惩戒等不良执业记录及不良反映；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3.投标人的授权代表应为单位法定代表人或经法定代表人人授权的该单位在职社保员工；</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4.同类业绩条件：具有房改及历史遗留问题处理相关咨询服务工作经验（提供证明文件）；</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5.投标人单位具有深圳市政府采购网投标资格或具有深圳市政府采购供应商资格（提供证明文件）；</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6.在招投标活动中因串通投标被暂停投标资格期间或涉嫌串通投标并正在接受主管部门调查的投标人不被接受。</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7.本项目不接受联合体投标。</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五、服务期限及人员要求</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1.合同期限为1年，中标单位履约评价为优秀的，合同可进行续签，续签合同主体内容不变，合同续签不超过两次，项目服务期限最长不超过3年。合同一年一签。</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2.人员配备要求：本项目要求配备的</w:t>
      </w:r>
      <w:r>
        <w:rPr>
          <w:rFonts w:hint="default" w:ascii="仿宋" w:hAnsi="仿宋" w:eastAsia="仿宋" w:cs="仿宋"/>
          <w:b w:val="0"/>
          <w:bCs w:val="0"/>
          <w:color w:val="auto"/>
          <w:sz w:val="30"/>
          <w:szCs w:val="30"/>
          <w:lang w:eastAsia="zh-CN"/>
        </w:rPr>
        <w:t>专职</w:t>
      </w:r>
      <w:r>
        <w:rPr>
          <w:rFonts w:hint="eastAsia" w:ascii="仿宋" w:hAnsi="仿宋" w:eastAsia="仿宋" w:cs="仿宋"/>
          <w:b w:val="0"/>
          <w:bCs w:val="0"/>
          <w:color w:val="auto"/>
          <w:sz w:val="30"/>
          <w:szCs w:val="30"/>
          <w:lang w:val="en-US" w:eastAsia="zh-CN"/>
        </w:rPr>
        <w:t>人员不少于4人；另有1名项目主办人员</w:t>
      </w:r>
      <w:r>
        <w:rPr>
          <w:rFonts w:hint="default" w:ascii="仿宋" w:hAnsi="仿宋" w:eastAsia="仿宋" w:cs="仿宋"/>
          <w:b w:val="0"/>
          <w:bCs w:val="0"/>
          <w:color w:val="auto"/>
          <w:sz w:val="30"/>
          <w:szCs w:val="30"/>
          <w:lang w:eastAsia="zh-CN"/>
        </w:rPr>
        <w:t>及</w:t>
      </w:r>
      <w:r>
        <w:rPr>
          <w:rFonts w:hint="eastAsia" w:ascii="仿宋" w:hAnsi="仿宋" w:eastAsia="仿宋" w:cs="仿宋"/>
          <w:b w:val="0"/>
          <w:bCs w:val="0"/>
          <w:color w:val="auto"/>
          <w:sz w:val="30"/>
          <w:szCs w:val="30"/>
          <w:lang w:val="en-US" w:eastAsia="zh-CN"/>
        </w:rPr>
        <w:t>项目负责人1名（非专职人员）。中标后项目负责人未经</w:t>
      </w:r>
      <w:r>
        <w:rPr>
          <w:rFonts w:hint="default" w:ascii="仿宋" w:hAnsi="仿宋" w:eastAsia="仿宋" w:cs="仿宋"/>
          <w:b w:val="0"/>
          <w:bCs w:val="0"/>
          <w:color w:val="auto"/>
          <w:sz w:val="30"/>
          <w:szCs w:val="30"/>
          <w:lang w:eastAsia="zh-CN"/>
        </w:rPr>
        <w:t>采购人</w:t>
      </w:r>
      <w:r>
        <w:rPr>
          <w:rFonts w:hint="eastAsia" w:ascii="仿宋" w:hAnsi="仿宋" w:eastAsia="仿宋" w:cs="仿宋"/>
          <w:b w:val="0"/>
          <w:bCs w:val="0"/>
          <w:color w:val="auto"/>
          <w:sz w:val="30"/>
          <w:szCs w:val="30"/>
          <w:lang w:val="en-US" w:eastAsia="zh-CN"/>
        </w:rPr>
        <w:t>批准，不得随意更换。</w:t>
      </w:r>
    </w:p>
    <w:p>
      <w:pPr>
        <w:ind w:firstLine="640"/>
        <w:jc w:val="both"/>
        <w:rPr>
          <w:rFonts w:ascii="黑体" w:hAnsi="黑体" w:eastAsia="黑体"/>
          <w:b/>
          <w:bCs/>
          <w:color w:val="auto"/>
          <w:sz w:val="32"/>
          <w:szCs w:val="32"/>
        </w:rPr>
      </w:pPr>
      <w:r>
        <w:rPr>
          <w:rFonts w:hint="eastAsia" w:ascii="仿宋" w:hAnsi="仿宋" w:eastAsia="仿宋" w:cs="仿宋"/>
          <w:b w:val="0"/>
          <w:bCs w:val="0"/>
          <w:color w:val="auto"/>
          <w:sz w:val="30"/>
          <w:szCs w:val="30"/>
          <w:lang w:val="en-US" w:eastAsia="zh-CN"/>
        </w:rPr>
        <w:t>具体人员要求如下：</w:t>
      </w:r>
    </w:p>
    <w:tbl>
      <w:tblPr>
        <w:tblStyle w:val="8"/>
        <w:tblW w:w="822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69"/>
        <w:gridCol w:w="2574"/>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8" w:type="dxa"/>
            <w:vAlign w:val="center"/>
          </w:tcPr>
          <w:p>
            <w:pPr>
              <w:widowControl/>
              <w:jc w:val="center"/>
              <w:textAlignment w:val="center"/>
              <w:rPr>
                <w:rFonts w:ascii="宋体" w:hAnsi="宋体" w:cs="宋体"/>
                <w:b/>
                <w:bCs/>
                <w:color w:val="auto"/>
                <w:kern w:val="0"/>
                <w:sz w:val="22"/>
                <w:szCs w:val="22"/>
                <w:lang w:bidi="ar"/>
              </w:rPr>
            </w:pPr>
            <w:r>
              <w:rPr>
                <w:rFonts w:hint="eastAsia" w:ascii="宋体" w:hAnsi="宋体" w:cs="宋体"/>
                <w:b/>
                <w:bCs/>
                <w:color w:val="auto"/>
                <w:kern w:val="0"/>
                <w:sz w:val="22"/>
                <w:szCs w:val="22"/>
                <w:lang w:bidi="ar"/>
              </w:rPr>
              <w:t>人员</w:t>
            </w:r>
          </w:p>
          <w:p>
            <w:pPr>
              <w:widowControl/>
              <w:jc w:val="center"/>
              <w:textAlignment w:val="center"/>
              <w:rPr>
                <w:rFonts w:ascii="宋体" w:hAnsi="宋体" w:cs="宋体"/>
                <w:b/>
                <w:bCs/>
                <w:color w:val="auto"/>
                <w:kern w:val="0"/>
                <w:sz w:val="22"/>
                <w:szCs w:val="22"/>
                <w:lang w:bidi="ar"/>
              </w:rPr>
            </w:pPr>
            <w:r>
              <w:rPr>
                <w:rFonts w:hint="eastAsia" w:ascii="宋体" w:hAnsi="宋体" w:cs="宋体"/>
                <w:b/>
                <w:bCs/>
                <w:color w:val="auto"/>
                <w:kern w:val="0"/>
                <w:sz w:val="22"/>
                <w:szCs w:val="22"/>
                <w:lang w:bidi="ar"/>
              </w:rPr>
              <w:t>需求</w:t>
            </w:r>
          </w:p>
        </w:tc>
        <w:tc>
          <w:tcPr>
            <w:tcW w:w="969" w:type="dxa"/>
            <w:vAlign w:val="center"/>
          </w:tcPr>
          <w:p>
            <w:pPr>
              <w:widowControl/>
              <w:jc w:val="center"/>
              <w:textAlignment w:val="center"/>
              <w:rPr>
                <w:rFonts w:ascii="宋体" w:hAnsi="宋体" w:cs="宋体"/>
                <w:b/>
                <w:bCs/>
                <w:color w:val="auto"/>
                <w:kern w:val="0"/>
                <w:sz w:val="22"/>
                <w:szCs w:val="22"/>
                <w:lang w:bidi="ar"/>
              </w:rPr>
            </w:pPr>
            <w:r>
              <w:rPr>
                <w:rFonts w:hint="eastAsia" w:ascii="宋体" w:hAnsi="宋体" w:cs="宋体"/>
                <w:b/>
                <w:bCs/>
                <w:color w:val="auto"/>
                <w:kern w:val="0"/>
                <w:sz w:val="22"/>
                <w:szCs w:val="22"/>
                <w:lang w:bidi="ar"/>
              </w:rPr>
              <w:t>人数需求</w:t>
            </w:r>
          </w:p>
        </w:tc>
        <w:tc>
          <w:tcPr>
            <w:tcW w:w="2574" w:type="dxa"/>
            <w:vAlign w:val="center"/>
          </w:tcPr>
          <w:p>
            <w:pPr>
              <w:widowControl/>
              <w:jc w:val="center"/>
              <w:textAlignment w:val="center"/>
              <w:rPr>
                <w:rFonts w:ascii="宋体" w:hAnsi="宋体" w:cs="宋体"/>
                <w:b/>
                <w:bCs/>
                <w:color w:val="auto"/>
                <w:kern w:val="0"/>
                <w:sz w:val="22"/>
                <w:szCs w:val="22"/>
                <w:lang w:bidi="ar"/>
              </w:rPr>
            </w:pPr>
            <w:r>
              <w:rPr>
                <w:rFonts w:hint="eastAsia" w:ascii="宋体" w:hAnsi="宋体" w:cs="宋体"/>
                <w:b/>
                <w:bCs/>
                <w:color w:val="auto"/>
                <w:kern w:val="0"/>
                <w:sz w:val="22"/>
                <w:szCs w:val="22"/>
                <w:lang w:bidi="ar"/>
              </w:rPr>
              <w:t>主要服务内容说明</w:t>
            </w:r>
          </w:p>
        </w:tc>
        <w:tc>
          <w:tcPr>
            <w:tcW w:w="3796" w:type="dxa"/>
            <w:vAlign w:val="center"/>
          </w:tcPr>
          <w:p>
            <w:pPr>
              <w:widowControl/>
              <w:jc w:val="center"/>
              <w:textAlignment w:val="center"/>
              <w:rPr>
                <w:rFonts w:hint="default" w:ascii="宋体" w:hAnsi="宋体" w:cs="宋体"/>
                <w:b/>
                <w:bCs/>
                <w:color w:val="auto"/>
                <w:kern w:val="0"/>
                <w:sz w:val="22"/>
                <w:szCs w:val="22"/>
                <w:lang w:bidi="ar"/>
              </w:rPr>
            </w:pPr>
            <w:r>
              <w:rPr>
                <w:rFonts w:hint="eastAsia" w:ascii="宋体" w:hAnsi="宋体" w:cs="宋体"/>
                <w:b/>
                <w:bCs/>
                <w:color w:val="auto"/>
                <w:kern w:val="0"/>
                <w:sz w:val="22"/>
                <w:szCs w:val="22"/>
                <w:lang w:eastAsia="zh-CN" w:bidi="ar"/>
              </w:rPr>
              <w:t>具体</w:t>
            </w:r>
            <w:r>
              <w:rPr>
                <w:rFonts w:hint="eastAsia" w:ascii="宋体" w:hAnsi="宋体" w:cs="宋体"/>
                <w:b/>
                <w:bCs/>
                <w:color w:val="auto"/>
                <w:kern w:val="0"/>
                <w:sz w:val="22"/>
                <w:szCs w:val="22"/>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88" w:type="dxa"/>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项目负责人</w:t>
            </w:r>
          </w:p>
        </w:tc>
        <w:tc>
          <w:tcPr>
            <w:tcW w:w="969" w:type="dxa"/>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1人</w:t>
            </w:r>
          </w:p>
        </w:tc>
        <w:tc>
          <w:tcPr>
            <w:tcW w:w="2574" w:type="dxa"/>
            <w:vAlign w:val="center"/>
          </w:tcPr>
          <w:p>
            <w:pPr>
              <w:widowControl/>
              <w:jc w:val="left"/>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负责项目的协调、统筹</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参与重大问题的谈判及工作会议。</w:t>
            </w:r>
          </w:p>
        </w:tc>
        <w:tc>
          <w:tcPr>
            <w:tcW w:w="3796" w:type="dxa"/>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具有</w:t>
            </w:r>
            <w:r>
              <w:rPr>
                <w:rFonts w:hint="eastAsia" w:ascii="宋体" w:hAnsi="宋体" w:cs="宋体"/>
                <w:color w:val="auto"/>
                <w:kern w:val="0"/>
                <w:sz w:val="22"/>
                <w:szCs w:val="22"/>
                <w:lang w:val="en-US" w:eastAsia="zh-CN" w:bidi="ar"/>
              </w:rPr>
              <w:t>丰富的房改历史遗留问题处理</w:t>
            </w:r>
            <w:r>
              <w:rPr>
                <w:rFonts w:hint="default" w:ascii="宋体" w:hAnsi="宋体" w:cs="宋体"/>
                <w:color w:val="auto"/>
                <w:kern w:val="0"/>
                <w:sz w:val="22"/>
                <w:szCs w:val="22"/>
                <w:lang w:eastAsia="zh-CN" w:bidi="ar"/>
              </w:rPr>
              <w:t>或住房保障相关</w:t>
            </w:r>
            <w:r>
              <w:rPr>
                <w:rFonts w:hint="eastAsia" w:ascii="宋体" w:hAnsi="宋体" w:cs="宋体"/>
                <w:color w:val="auto"/>
                <w:kern w:val="0"/>
                <w:sz w:val="22"/>
                <w:szCs w:val="22"/>
                <w:lang w:val="en-US" w:eastAsia="zh-CN" w:bidi="ar"/>
              </w:rPr>
              <w:t>方面</w:t>
            </w:r>
            <w:r>
              <w:rPr>
                <w:rFonts w:hint="eastAsia" w:ascii="宋体" w:hAnsi="宋体" w:cs="宋体"/>
                <w:color w:val="auto"/>
                <w:kern w:val="0"/>
                <w:sz w:val="22"/>
                <w:szCs w:val="22"/>
                <w:lang w:bidi="ar"/>
              </w:rPr>
              <w:t>工作经验</w:t>
            </w:r>
            <w:r>
              <w:rPr>
                <w:rFonts w:hint="eastAsia" w:ascii="宋体" w:hAnsi="宋体" w:cs="宋体"/>
                <w:color w:val="auto"/>
                <w:kern w:val="0"/>
                <w:sz w:val="22"/>
                <w:szCs w:val="22"/>
                <w:lang w:eastAsia="zh-CN" w:bidi="ar"/>
              </w:rPr>
              <w:t>，</w:t>
            </w:r>
            <w:r>
              <w:rPr>
                <w:rFonts w:hint="default" w:ascii="宋体" w:hAnsi="宋体" w:cs="宋体"/>
                <w:color w:val="auto"/>
                <w:kern w:val="0"/>
                <w:sz w:val="22"/>
                <w:szCs w:val="22"/>
                <w:lang w:val="en-US" w:bidi="ar"/>
              </w:rPr>
              <w:t>为从业10年以上（含10年）且在深圳市本地执业的专职律师</w:t>
            </w:r>
            <w:r>
              <w:rPr>
                <w:rFonts w:hint="eastAsia" w:ascii="宋体" w:hAnsi="宋体" w:cs="宋体"/>
                <w:color w:val="auto"/>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888" w:type="dxa"/>
            <w:vAlign w:val="center"/>
          </w:tcPr>
          <w:p>
            <w:pPr>
              <w:widowControl/>
              <w:jc w:val="center"/>
              <w:textAlignment w:val="center"/>
              <w:rPr>
                <w:rFonts w:hint="default" w:ascii="宋体" w:hAnsi="宋体" w:cs="宋体"/>
                <w:color w:val="auto"/>
                <w:kern w:val="0"/>
                <w:sz w:val="22"/>
                <w:szCs w:val="22"/>
                <w:lang w:val="en-US" w:bidi="ar"/>
              </w:rPr>
            </w:pPr>
            <w:r>
              <w:rPr>
                <w:rFonts w:hint="eastAsia" w:ascii="宋体" w:hAnsi="宋体" w:cs="宋体"/>
                <w:color w:val="auto"/>
                <w:kern w:val="0"/>
                <w:sz w:val="22"/>
                <w:szCs w:val="22"/>
                <w:lang w:bidi="ar"/>
              </w:rPr>
              <w:t>项目</w:t>
            </w:r>
            <w:r>
              <w:rPr>
                <w:rFonts w:hint="eastAsia" w:ascii="宋体" w:hAnsi="宋体" w:cs="宋体"/>
                <w:color w:val="auto"/>
                <w:kern w:val="0"/>
                <w:sz w:val="22"/>
                <w:szCs w:val="22"/>
                <w:lang w:val="en-US" w:eastAsia="zh-CN" w:bidi="ar"/>
              </w:rPr>
              <w:t>主办人员</w:t>
            </w:r>
          </w:p>
        </w:tc>
        <w:tc>
          <w:tcPr>
            <w:tcW w:w="969" w:type="dxa"/>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val="en-US" w:eastAsia="zh-CN" w:bidi="ar"/>
              </w:rPr>
              <w:t>1</w:t>
            </w:r>
            <w:r>
              <w:rPr>
                <w:rFonts w:hint="eastAsia" w:ascii="宋体" w:hAnsi="宋体" w:cs="宋体"/>
                <w:color w:val="auto"/>
                <w:kern w:val="0"/>
                <w:sz w:val="22"/>
                <w:szCs w:val="22"/>
                <w:lang w:bidi="ar"/>
              </w:rPr>
              <w:t>人</w:t>
            </w:r>
          </w:p>
        </w:tc>
        <w:tc>
          <w:tcPr>
            <w:tcW w:w="2574" w:type="dxa"/>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val="en-US" w:eastAsia="zh-CN" w:bidi="ar"/>
              </w:rPr>
              <w:t>负责</w:t>
            </w:r>
            <w:r>
              <w:rPr>
                <w:rFonts w:hint="eastAsia" w:ascii="宋体" w:hAnsi="宋体" w:cs="宋体"/>
                <w:color w:val="auto"/>
                <w:kern w:val="0"/>
                <w:sz w:val="22"/>
                <w:szCs w:val="22"/>
                <w:lang w:bidi="ar"/>
              </w:rPr>
              <w:t>对出具文</w:t>
            </w:r>
            <w:r>
              <w:rPr>
                <w:rFonts w:hint="eastAsia" w:ascii="宋体" w:hAnsi="宋体" w:cs="宋体"/>
                <w:color w:val="auto"/>
                <w:kern w:val="0"/>
                <w:sz w:val="22"/>
                <w:szCs w:val="22"/>
                <w:lang w:val="en-US" w:eastAsia="zh-CN" w:bidi="ar"/>
              </w:rPr>
              <w:t>书</w:t>
            </w:r>
            <w:r>
              <w:rPr>
                <w:rFonts w:hint="eastAsia" w:ascii="宋体" w:hAnsi="宋体" w:cs="宋体"/>
                <w:color w:val="auto"/>
                <w:kern w:val="0"/>
                <w:sz w:val="22"/>
                <w:szCs w:val="22"/>
                <w:lang w:bidi="ar"/>
              </w:rPr>
              <w:t>的审核，与</w:t>
            </w:r>
            <w:r>
              <w:rPr>
                <w:rFonts w:hint="eastAsia" w:ascii="宋体" w:hAnsi="宋体" w:cs="宋体"/>
                <w:color w:val="auto"/>
                <w:kern w:val="0"/>
                <w:sz w:val="22"/>
                <w:szCs w:val="22"/>
                <w:lang w:val="en-US" w:eastAsia="zh-CN" w:bidi="ar"/>
              </w:rPr>
              <w:t>我局</w:t>
            </w:r>
            <w:r>
              <w:rPr>
                <w:rFonts w:hint="eastAsia" w:ascii="宋体" w:hAnsi="宋体" w:cs="宋体"/>
                <w:color w:val="auto"/>
                <w:kern w:val="0"/>
                <w:sz w:val="22"/>
                <w:szCs w:val="22"/>
                <w:lang w:bidi="ar"/>
              </w:rPr>
              <w:t>的沟通汇报等总体工作</w:t>
            </w:r>
            <w:r>
              <w:rPr>
                <w:rFonts w:hint="eastAsia" w:ascii="宋体" w:hAnsi="宋体" w:cs="宋体"/>
                <w:color w:val="auto"/>
                <w:kern w:val="0"/>
                <w:sz w:val="22"/>
                <w:szCs w:val="22"/>
                <w:lang w:val="en-US" w:eastAsia="zh-CN" w:bidi="ar"/>
              </w:rPr>
              <w:t>；</w:t>
            </w:r>
            <w:r>
              <w:rPr>
                <w:rFonts w:hint="eastAsia" w:ascii="宋体" w:hAnsi="宋体" w:cs="宋体"/>
                <w:color w:val="auto"/>
                <w:kern w:val="0"/>
                <w:sz w:val="22"/>
                <w:szCs w:val="22"/>
                <w:lang w:bidi="ar"/>
              </w:rPr>
              <w:t>负责</w:t>
            </w:r>
            <w:r>
              <w:rPr>
                <w:rFonts w:hint="eastAsia" w:ascii="宋体" w:hAnsi="宋体" w:cs="宋体"/>
                <w:color w:val="auto"/>
                <w:kern w:val="0"/>
                <w:sz w:val="22"/>
                <w:szCs w:val="22"/>
                <w:lang w:eastAsia="zh-CN" w:bidi="ar"/>
              </w:rPr>
              <w:t>提供</w:t>
            </w:r>
            <w:r>
              <w:rPr>
                <w:rFonts w:hint="eastAsia" w:ascii="宋体" w:hAnsi="宋体" w:cs="宋体"/>
                <w:color w:val="auto"/>
                <w:kern w:val="0"/>
                <w:sz w:val="22"/>
                <w:szCs w:val="22"/>
                <w:lang w:bidi="ar"/>
              </w:rPr>
              <w:t>培训课件、</w:t>
            </w:r>
            <w:r>
              <w:rPr>
                <w:rFonts w:hint="eastAsia" w:ascii="宋体" w:hAnsi="宋体" w:cs="宋体"/>
                <w:color w:val="auto"/>
                <w:kern w:val="0"/>
                <w:sz w:val="22"/>
                <w:szCs w:val="22"/>
                <w:lang w:val="en-US" w:eastAsia="zh-CN" w:bidi="ar"/>
              </w:rPr>
              <w:t>讲座</w:t>
            </w:r>
            <w:r>
              <w:rPr>
                <w:rFonts w:hint="eastAsia" w:ascii="宋体" w:hAnsi="宋体" w:cs="宋体"/>
                <w:color w:val="auto"/>
                <w:kern w:val="0"/>
                <w:sz w:val="22"/>
                <w:szCs w:val="22"/>
                <w:lang w:bidi="ar"/>
              </w:rPr>
              <w:t>等，并开展培训工作。</w:t>
            </w:r>
          </w:p>
        </w:tc>
        <w:tc>
          <w:tcPr>
            <w:tcW w:w="3796" w:type="dxa"/>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具有房改历史遗留问题处理</w:t>
            </w:r>
            <w:r>
              <w:rPr>
                <w:rFonts w:hint="default" w:ascii="宋体" w:hAnsi="宋体" w:cs="宋体"/>
                <w:color w:val="auto"/>
                <w:kern w:val="0"/>
                <w:sz w:val="22"/>
                <w:szCs w:val="22"/>
                <w:lang w:bidi="ar"/>
              </w:rPr>
              <w:t>或住房保障</w:t>
            </w:r>
            <w:r>
              <w:rPr>
                <w:rFonts w:hint="eastAsia" w:ascii="宋体" w:hAnsi="宋体" w:cs="宋体"/>
                <w:color w:val="auto"/>
                <w:kern w:val="0"/>
                <w:sz w:val="22"/>
                <w:szCs w:val="22"/>
                <w:lang w:val="en-US" w:eastAsia="zh-CN" w:bidi="ar"/>
              </w:rPr>
              <w:t>相关</w:t>
            </w:r>
            <w:r>
              <w:rPr>
                <w:rFonts w:hint="eastAsia" w:ascii="宋体" w:hAnsi="宋体" w:cs="宋体"/>
                <w:color w:val="auto"/>
                <w:kern w:val="0"/>
                <w:sz w:val="22"/>
                <w:szCs w:val="22"/>
                <w:lang w:bidi="ar"/>
              </w:rPr>
              <w:t>工作经验。每周不少于2次到现场进行工作交流；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7" w:hRule="atLeast"/>
        </w:trPr>
        <w:tc>
          <w:tcPr>
            <w:tcW w:w="888" w:type="dxa"/>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val="en-US" w:eastAsia="zh-CN" w:bidi="ar"/>
              </w:rPr>
              <w:t>专职</w:t>
            </w:r>
            <w:r>
              <w:rPr>
                <w:rFonts w:hint="eastAsia" w:ascii="宋体" w:hAnsi="宋体" w:cs="宋体"/>
                <w:color w:val="auto"/>
                <w:kern w:val="0"/>
                <w:sz w:val="22"/>
                <w:szCs w:val="22"/>
                <w:lang w:bidi="ar"/>
              </w:rPr>
              <w:t>人员</w:t>
            </w:r>
          </w:p>
        </w:tc>
        <w:tc>
          <w:tcPr>
            <w:tcW w:w="969" w:type="dxa"/>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人</w:t>
            </w:r>
          </w:p>
        </w:tc>
        <w:tc>
          <w:tcPr>
            <w:tcW w:w="2574" w:type="dxa"/>
            <w:vAlign w:val="center"/>
          </w:tcPr>
          <w:p>
            <w:pPr>
              <w:widowControl/>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val="en-US" w:eastAsia="zh-CN" w:bidi="ar"/>
              </w:rPr>
              <w:t>专职协助</w:t>
            </w:r>
            <w:r>
              <w:rPr>
                <w:rFonts w:hint="eastAsia" w:ascii="宋体" w:hAnsi="宋体" w:cs="宋体"/>
                <w:color w:val="auto"/>
                <w:kern w:val="0"/>
                <w:sz w:val="22"/>
                <w:szCs w:val="22"/>
                <w:lang w:bidi="ar"/>
              </w:rPr>
              <w:t>处理相关工作</w:t>
            </w:r>
          </w:p>
        </w:tc>
        <w:tc>
          <w:tcPr>
            <w:tcW w:w="3796" w:type="dxa"/>
            <w:vAlign w:val="center"/>
          </w:tcPr>
          <w:p>
            <w:pPr>
              <w:widowControl/>
              <w:jc w:val="left"/>
              <w:textAlignment w:val="center"/>
              <w:rPr>
                <w:rFonts w:hint="eastAsia" w:ascii="宋体" w:hAnsi="宋体" w:eastAsia="宋体" w:cs="宋体"/>
                <w:color w:val="auto"/>
                <w:kern w:val="0"/>
                <w:sz w:val="22"/>
                <w:szCs w:val="22"/>
                <w:lang w:eastAsia="zh-CN" w:bidi="ar"/>
              </w:rPr>
            </w:pPr>
            <w:r>
              <w:rPr>
                <w:rFonts w:hint="default" w:ascii="宋体" w:hAnsi="宋体" w:cs="宋体"/>
                <w:color w:val="auto"/>
                <w:kern w:val="0"/>
                <w:sz w:val="22"/>
                <w:szCs w:val="22"/>
                <w:lang w:eastAsia="zh-CN" w:bidi="ar"/>
              </w:rPr>
              <w:t>不少于</w:t>
            </w:r>
            <w:r>
              <w:rPr>
                <w:rFonts w:hint="eastAsia" w:ascii="宋体" w:hAnsi="宋体" w:cs="宋体"/>
                <w:color w:val="auto"/>
                <w:kern w:val="0"/>
                <w:sz w:val="22"/>
                <w:szCs w:val="22"/>
                <w:lang w:val="en-US" w:eastAsia="zh-CN" w:bidi="ar"/>
              </w:rPr>
              <w:t>2</w:t>
            </w:r>
            <w:r>
              <w:rPr>
                <w:rFonts w:hint="default" w:ascii="宋体" w:hAnsi="宋体" w:cs="宋体"/>
                <w:color w:val="auto"/>
                <w:kern w:val="0"/>
                <w:sz w:val="22"/>
                <w:szCs w:val="22"/>
                <w:lang w:eastAsia="zh-CN" w:bidi="ar"/>
              </w:rPr>
              <w:t>人具有1</w:t>
            </w:r>
            <w:r>
              <w:rPr>
                <w:rFonts w:hint="eastAsia" w:ascii="宋体" w:hAnsi="宋体" w:cs="宋体"/>
                <w:color w:val="auto"/>
                <w:kern w:val="0"/>
                <w:sz w:val="22"/>
                <w:szCs w:val="22"/>
                <w:lang w:val="en-US" w:eastAsia="zh-CN" w:bidi="ar"/>
              </w:rPr>
              <w:t>年以上</w:t>
            </w:r>
            <w:r>
              <w:rPr>
                <w:rFonts w:hint="default" w:ascii="宋体" w:hAnsi="宋体" w:cs="宋体"/>
                <w:color w:val="auto"/>
                <w:kern w:val="0"/>
                <w:sz w:val="22"/>
                <w:szCs w:val="22"/>
                <w:lang w:eastAsia="zh-CN" w:bidi="ar"/>
              </w:rPr>
              <w:t>相关工作经验</w:t>
            </w:r>
            <w:r>
              <w:rPr>
                <w:rFonts w:hint="eastAsia" w:ascii="宋体" w:hAnsi="宋体" w:cs="宋体"/>
                <w:color w:val="auto"/>
                <w:kern w:val="0"/>
                <w:sz w:val="22"/>
                <w:szCs w:val="22"/>
                <w:lang w:eastAsia="zh-CN" w:bidi="ar"/>
              </w:rPr>
              <w:t>。</w:t>
            </w:r>
          </w:p>
        </w:tc>
      </w:tr>
    </w:tbl>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六、</w:t>
      </w:r>
      <w:r>
        <w:rPr>
          <w:rFonts w:hint="default" w:ascii="黑体" w:hAnsi="黑体" w:eastAsia="黑体"/>
          <w:color w:val="auto"/>
          <w:sz w:val="32"/>
          <w:szCs w:val="32"/>
        </w:rPr>
        <w:t>定标</w:t>
      </w:r>
      <w:r>
        <w:rPr>
          <w:rFonts w:hint="eastAsia" w:ascii="黑体" w:hAnsi="黑体" w:eastAsia="黑体"/>
          <w:color w:val="auto"/>
          <w:sz w:val="32"/>
          <w:szCs w:val="32"/>
        </w:rPr>
        <w:t>方法</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定标采用</w:t>
      </w:r>
      <w:r>
        <w:rPr>
          <w:rFonts w:hint="eastAsia" w:ascii="仿宋" w:hAnsi="仿宋" w:eastAsia="仿宋" w:cs="仿宋"/>
          <w:b w:val="0"/>
          <w:bCs w:val="0"/>
          <w:color w:val="auto"/>
          <w:sz w:val="30"/>
          <w:szCs w:val="30"/>
          <w:u w:val="single"/>
          <w:lang w:val="en-US" w:eastAsia="zh-CN"/>
        </w:rPr>
        <w:t>综合评分法</w:t>
      </w:r>
      <w:r>
        <w:rPr>
          <w:rFonts w:hint="eastAsia" w:ascii="仿宋" w:hAnsi="仿宋" w:eastAsia="仿宋" w:cs="仿宋"/>
          <w:b w:val="0"/>
          <w:bCs w:val="0"/>
          <w:color w:val="auto"/>
          <w:sz w:val="30"/>
          <w:szCs w:val="30"/>
          <w:lang w:val="en-US" w:eastAsia="zh-CN"/>
        </w:rPr>
        <w:t>。</w:t>
      </w:r>
    </w:p>
    <w:p>
      <w:pPr>
        <w:spacing w:line="500" w:lineRule="exact"/>
        <w:ind w:firstLine="640" w:firstLineChars="200"/>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七、投标文件要求</w:t>
      </w:r>
    </w:p>
    <w:p>
      <w:pPr>
        <w:spacing w:line="500" w:lineRule="exact"/>
        <w:ind w:firstLine="600" w:firstLineChars="200"/>
        <w:outlineLvl w:val="0"/>
        <w:rPr>
          <w:rFonts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（一）投标文件的组成和格式</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1.招标文件响应声明书及投标报价（格式见附件2、附件3），加盖公章。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2.招标文件编制内容：按照评分细则表提供相应的证明文件（投标单位和委派人员资格证书、从业经验及业绩证明材料等，相关内容详见附件1），加盖公章。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3.投标资格证明文件：</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（1）投标单位执业许可证，加盖公章；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（2）投标人单位具有深圳市政府采购网投标资格或具有深圳市政府采购供应商资格（提供证明文件），加盖公章；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（3）法定代表人身份证明书、法定代表人授权委托书，加盖公章。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4.投标承诺函，加盖公章（参考附件5）。</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5.投标单位的纳税证明，加盖公章。</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6.其它招标文件要求的内容及投标人认为需要补充的内容（格式自定），盖公章。</w:t>
      </w:r>
    </w:p>
    <w:p>
      <w:pPr>
        <w:spacing w:line="500" w:lineRule="exact"/>
        <w:ind w:firstLine="600" w:firstLineChars="200"/>
        <w:outlineLvl w:val="0"/>
        <w:rPr>
          <w:rFonts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（二）投标文件的份数及装订、密封要求</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1.投标人应准备投标文件正本一套和副本二套，所有封袋上都应写明投标人的名称、项目名称。文件封面须清楚地标明“正本”或“副本”，当正本与副本不一致时，以正本为准。</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2.投标文件正、副本均应使用A4纸统一装订，且均应使用不能擦去的墨水书写或打印，并由投标人加盖公章和法定代表人或法定代表人委托的代理人签字。</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3.投标文件的正本及所有副本必须密封，封面均须加盖投标人公章并在密封口骑缝加盖公章。</w:t>
      </w:r>
    </w:p>
    <w:p>
      <w:pPr>
        <w:spacing w:line="500" w:lineRule="exact"/>
        <w:ind w:firstLine="600" w:firstLineChars="200"/>
        <w:outlineLvl w:val="0"/>
        <w:rPr>
          <w:rFonts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（三）投标文件的递交</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1.投标人将投标文件按以上规定密封和标记后，按以下注明的地址在投标截止时间之前送至招标单位。</w:t>
      </w:r>
    </w:p>
    <w:p>
      <w:pPr>
        <w:ind w:firstLine="640"/>
        <w:jc w:val="both"/>
        <w:rPr>
          <w:rFonts w:hint="eastAsia"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2. 递交资料截止时间：</w:t>
      </w:r>
      <w:r>
        <w:rPr>
          <w:rFonts w:hint="eastAsia" w:ascii="仿宋" w:hAnsi="仿宋" w:eastAsia="仿宋" w:cs="仿宋"/>
          <w:b/>
          <w:bCs/>
          <w:color w:val="auto"/>
          <w:sz w:val="30"/>
          <w:szCs w:val="30"/>
          <w:lang w:val="en-US" w:eastAsia="zh-CN"/>
        </w:rPr>
        <w:t>2025年  月</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lang w:val="en-US" w:eastAsia="zh-CN"/>
        </w:rPr>
        <w:t>日</w:t>
      </w:r>
      <w:r>
        <w:rPr>
          <w:rFonts w:hint="default" w:ascii="仿宋" w:hAnsi="仿宋" w:eastAsia="仿宋" w:cs="仿宋"/>
          <w:b/>
          <w:bCs/>
          <w:color w:val="auto"/>
          <w:sz w:val="30"/>
          <w:szCs w:val="30"/>
          <w:lang w:eastAsia="zh-CN"/>
        </w:rPr>
        <w:t>下午</w:t>
      </w:r>
      <w:r>
        <w:rPr>
          <w:rFonts w:hint="eastAsia" w:ascii="仿宋" w:hAnsi="仿宋" w:eastAsia="仿宋" w:cs="仿宋"/>
          <w:b/>
          <w:bCs/>
          <w:color w:val="auto"/>
          <w:sz w:val="30"/>
          <w:szCs w:val="30"/>
          <w:lang w:val="en-US" w:eastAsia="zh-CN"/>
        </w:rPr>
        <w:t>1</w:t>
      </w:r>
      <w:r>
        <w:rPr>
          <w:rFonts w:hint="default" w:ascii="仿宋" w:hAnsi="仿宋" w:eastAsia="仿宋" w:cs="仿宋"/>
          <w:b/>
          <w:bCs/>
          <w:color w:val="auto"/>
          <w:sz w:val="30"/>
          <w:szCs w:val="30"/>
          <w:lang w:eastAsia="zh-CN"/>
        </w:rPr>
        <w:t>8</w:t>
      </w:r>
      <w:r>
        <w:rPr>
          <w:rFonts w:hint="eastAsia" w:ascii="仿宋" w:hAnsi="仿宋" w:eastAsia="仿宋" w:cs="仿宋"/>
          <w:b/>
          <w:bCs/>
          <w:color w:val="auto"/>
          <w:sz w:val="30"/>
          <w:szCs w:val="30"/>
          <w:lang w:val="en-US" w:eastAsia="zh-CN"/>
        </w:rPr>
        <w:t>:00</w:t>
      </w:r>
      <w:r>
        <w:rPr>
          <w:rFonts w:hint="default" w:ascii="仿宋" w:hAnsi="仿宋" w:eastAsia="仿宋" w:cs="仿宋"/>
          <w:b/>
          <w:bCs/>
          <w:color w:val="auto"/>
          <w:sz w:val="30"/>
          <w:szCs w:val="30"/>
          <w:lang w:eastAsia="zh-CN"/>
        </w:rPr>
        <w:t>；</w:t>
      </w:r>
    </w:p>
    <w:p>
      <w:pPr>
        <w:ind w:firstLine="640"/>
        <w:jc w:val="both"/>
        <w:rPr>
          <w:rFonts w:hint="default"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地点：深圳市南山区常兴路16</w:t>
      </w:r>
      <w:r>
        <w:rPr>
          <w:rFonts w:hint="default" w:ascii="仿宋" w:hAnsi="仿宋" w:eastAsia="仿宋" w:cs="仿宋"/>
          <w:b w:val="0"/>
          <w:bCs w:val="0"/>
          <w:color w:val="auto"/>
          <w:sz w:val="30"/>
          <w:szCs w:val="30"/>
          <w:lang w:eastAsia="zh-CN"/>
        </w:rPr>
        <w:t>2</w:t>
      </w:r>
      <w:r>
        <w:rPr>
          <w:rFonts w:hint="eastAsia" w:ascii="仿宋" w:hAnsi="仿宋" w:eastAsia="仿宋" w:cs="仿宋"/>
          <w:b w:val="0"/>
          <w:bCs w:val="0"/>
          <w:color w:val="auto"/>
          <w:sz w:val="30"/>
          <w:szCs w:val="30"/>
          <w:lang w:val="en-US" w:eastAsia="zh-CN"/>
        </w:rPr>
        <w:t>号住宅保障中心</w:t>
      </w:r>
      <w:r>
        <w:rPr>
          <w:rFonts w:hint="default" w:ascii="仿宋" w:hAnsi="仿宋" w:eastAsia="仿宋" w:cs="仿宋"/>
          <w:b w:val="0"/>
          <w:bCs w:val="0"/>
          <w:color w:val="auto"/>
          <w:sz w:val="30"/>
          <w:szCs w:val="30"/>
          <w:lang w:eastAsia="zh-CN"/>
        </w:rPr>
        <w:t>2楼B11办公室</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 xml:space="preserve">联系人：    ，电话:0755-   </w:t>
      </w:r>
    </w:p>
    <w:p>
      <w:pPr>
        <w:spacing w:line="500" w:lineRule="exact"/>
        <w:ind w:firstLine="600" w:firstLineChars="200"/>
        <w:outlineLvl w:val="0"/>
        <w:rPr>
          <w:rFonts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（四）投标文件有效期</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投标文件从投标截止日起有效期为30天。</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八、废标条款</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符合下列条件之一，即可定为废标：</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1.投标人不满足本项目应具备的资格、经验；</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2.投标文件未按规定的格式填写，内容不全或关键字迹模糊、无法辨认的；</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3.投标人递交两份或多份内容不同的投标文件，或在一份投标文件中对同一招标项目报有两个或多个报价，且未声明哪一个有效的，按招标文件规定提交备选投标方案的除外；</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4.投标人以低于成本的报价竞标恶意骗取中标或以他人的名义投标、串通投标、以行贿手段谋取中标或者以其他弄虚作假方式投标的；</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5.投标人资格条件不符合国家有关规定和招标文件要求的；</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6.技术标书存有违反国家规范强制性条文或技术标准的。</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九、流标情形</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符合下列情形之一，本次招标流标。</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1.采购的公正性受到影响；</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2.投标报价均超过了采购预算；</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3.采购任务取消。</w:t>
      </w:r>
    </w:p>
    <w:p>
      <w:pPr>
        <w:pStyle w:val="7"/>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b w:val="0"/>
          <w:bCs w:val="0"/>
          <w:color w:val="auto"/>
          <w:sz w:val="30"/>
          <w:szCs w:val="30"/>
          <w:lang w:val="en-US" w:eastAsia="zh-CN"/>
        </w:rPr>
        <w:t>4.</w:t>
      </w:r>
      <w:r>
        <w:rPr>
          <w:rFonts w:hint="eastAsia" w:ascii="仿宋" w:hAnsi="仿宋" w:eastAsia="仿宋" w:cs="仿宋"/>
          <w:color w:val="auto"/>
          <w:sz w:val="30"/>
          <w:szCs w:val="30"/>
          <w:lang w:val="en-US" w:eastAsia="zh-CN"/>
        </w:rPr>
        <w:t>投标报价人数不足三家。</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十、其他说明</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本次招标，最低报价不一定中标。本项目定标采用综合评分法,评分最高者即为中标单位。</w:t>
      </w:r>
    </w:p>
    <w:p>
      <w:pPr>
        <w:spacing w:line="50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、附件</w:t>
      </w:r>
    </w:p>
    <w:p>
      <w:pPr>
        <w:ind w:firstLine="640"/>
        <w:jc w:val="both"/>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1.评分细则表</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2.招标文件响应声明书（模版）</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3.投标一览表</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4.投标人资格证明文件</w:t>
      </w:r>
    </w:p>
    <w:p>
      <w:pPr>
        <w:ind w:firstLine="64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5.投标承诺函</w:t>
      </w:r>
    </w:p>
    <w:p>
      <w:pPr>
        <w:ind w:firstLine="640"/>
        <w:jc w:val="both"/>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6.服务合同（模板）</w:t>
      </w:r>
    </w:p>
    <w:p>
      <w:pPr>
        <w:pStyle w:val="7"/>
        <w:ind w:firstLine="0" w:firstLineChars="0"/>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br w:type="page"/>
      </w:r>
    </w:p>
    <w:p>
      <w:pPr>
        <w:spacing w:before="240" w:after="60" w:line="312" w:lineRule="auto"/>
        <w:jc w:val="left"/>
        <w:rPr>
          <w:rFonts w:hint="eastAsia" w:ascii="宋体" w:hAnsi="宋体" w:cs="宋体"/>
          <w:b/>
          <w:color w:val="auto"/>
          <w:kern w:val="28"/>
          <w:sz w:val="36"/>
          <w:szCs w:val="36"/>
        </w:rPr>
      </w:pPr>
      <w:r>
        <w:rPr>
          <w:rFonts w:hint="eastAsia" w:ascii="宋体" w:hAnsi="宋体" w:cs="宋体"/>
          <w:b/>
          <w:color w:val="auto"/>
          <w:kern w:val="28"/>
          <w:sz w:val="36"/>
          <w:szCs w:val="36"/>
        </w:rPr>
        <w:t>附件1：</w:t>
      </w:r>
    </w:p>
    <w:p>
      <w:pPr>
        <w:spacing w:before="240" w:after="60" w:line="312" w:lineRule="auto"/>
        <w:jc w:val="center"/>
        <w:rPr>
          <w:rFonts w:ascii="宋体" w:hAnsi="宋体" w:cs="宋体"/>
          <w:b/>
          <w:color w:val="auto"/>
          <w:kern w:val="28"/>
          <w:sz w:val="36"/>
          <w:szCs w:val="36"/>
        </w:rPr>
      </w:pPr>
      <w:r>
        <w:rPr>
          <w:rFonts w:hint="eastAsia" w:ascii="宋体" w:hAnsi="宋体" w:cs="宋体"/>
          <w:b/>
          <w:color w:val="auto"/>
          <w:kern w:val="28"/>
          <w:sz w:val="36"/>
          <w:szCs w:val="36"/>
        </w:rPr>
        <w:t>评分细则表</w:t>
      </w:r>
    </w:p>
    <w:p>
      <w:pPr>
        <w:spacing w:before="156" w:beforeLines="50" w:after="156" w:afterLines="50" w:line="500" w:lineRule="exact"/>
        <w:outlineLvl w:val="0"/>
        <w:rPr>
          <w:rFonts w:ascii="宋体" w:hAnsi="宋体" w:eastAsia="仿宋" w:cs="宋体"/>
          <w:b/>
          <w:color w:val="auto"/>
          <w:kern w:val="28"/>
          <w:sz w:val="30"/>
          <w:szCs w:val="30"/>
        </w:rPr>
      </w:pPr>
      <w:r>
        <w:rPr>
          <w:rFonts w:hint="eastAsia" w:ascii="黑体" w:hAnsi="黑体" w:eastAsia="黑体"/>
          <w:b/>
          <w:bCs/>
          <w:color w:val="auto"/>
          <w:sz w:val="32"/>
          <w:szCs w:val="32"/>
        </w:rPr>
        <w:t>评标方法：</w:t>
      </w:r>
      <w:r>
        <w:rPr>
          <w:rFonts w:hint="eastAsia" w:ascii="仿宋" w:hAnsi="仿宋" w:eastAsia="仿宋" w:cs="仿宋_GB2312"/>
          <w:color w:val="auto"/>
          <w:sz w:val="32"/>
          <w:szCs w:val="32"/>
        </w:rPr>
        <w:t>本项目定标采用综合评分法,评分最高者即为中标单位。</w:t>
      </w:r>
    </w:p>
    <w:p>
      <w:pPr>
        <w:spacing w:before="156" w:beforeLines="50" w:after="156" w:afterLines="50" w:line="500" w:lineRule="exact"/>
        <w:outlineLvl w:val="0"/>
        <w:rPr>
          <w:color w:val="auto"/>
        </w:rPr>
      </w:pPr>
      <w:r>
        <w:rPr>
          <w:rFonts w:hint="eastAsia" w:ascii="黑体" w:hAnsi="黑体" w:eastAsia="黑体"/>
          <w:b/>
          <w:bCs/>
          <w:color w:val="auto"/>
          <w:sz w:val="32"/>
          <w:szCs w:val="32"/>
        </w:rPr>
        <w:t>分数范围（满分100分）</w:t>
      </w:r>
    </w:p>
    <w:tbl>
      <w:tblPr>
        <w:tblStyle w:val="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45"/>
        <w:gridCol w:w="1087"/>
        <w:gridCol w:w="44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jc w:val="center"/>
        </w:trPr>
        <w:tc>
          <w:tcPr>
            <w:tcW w:w="992" w:type="dxa"/>
            <w:tcBorders>
              <w:top w:val="double" w:color="auto" w:sz="4" w:space="0"/>
              <w:left w:val="double" w:color="auto" w:sz="4" w:space="0"/>
              <w:right w:val="sing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类别</w:t>
            </w:r>
          </w:p>
        </w:tc>
        <w:tc>
          <w:tcPr>
            <w:tcW w:w="1145" w:type="dxa"/>
            <w:tcBorders>
              <w:top w:val="doub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评分项目</w:t>
            </w:r>
          </w:p>
        </w:tc>
        <w:tc>
          <w:tcPr>
            <w:tcW w:w="1087" w:type="dxa"/>
            <w:tcBorders>
              <w:top w:val="doub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最高分值</w:t>
            </w:r>
          </w:p>
        </w:tc>
        <w:tc>
          <w:tcPr>
            <w:tcW w:w="4485" w:type="dxa"/>
            <w:tcBorders>
              <w:top w:val="doub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备注</w:t>
            </w:r>
          </w:p>
        </w:tc>
        <w:tc>
          <w:tcPr>
            <w:tcW w:w="1185" w:type="dxa"/>
            <w:tcBorders>
              <w:top w:val="double" w:color="auto" w:sz="4" w:space="0"/>
              <w:left w:val="single" w:color="auto" w:sz="4" w:space="0"/>
              <w:right w:val="doub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专家评</w:t>
            </w:r>
          </w:p>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8" w:hRule="atLeast"/>
          <w:jc w:val="center"/>
        </w:trPr>
        <w:tc>
          <w:tcPr>
            <w:tcW w:w="992" w:type="dxa"/>
            <w:vMerge w:val="restart"/>
            <w:tcBorders>
              <w:top w:val="single" w:color="auto" w:sz="4" w:space="0"/>
              <w:left w:val="double" w:color="auto" w:sz="4" w:space="0"/>
              <w:right w:val="single" w:color="auto" w:sz="4" w:space="0"/>
            </w:tcBorders>
            <w:vAlign w:val="center"/>
          </w:tcPr>
          <w:p>
            <w:pPr>
              <w:adjustRightInd w:val="0"/>
              <w:snapToGrid w:val="0"/>
              <w:spacing w:line="240" w:lineRule="exact"/>
              <w:jc w:val="center"/>
              <w:rPr>
                <w:rFonts w:ascii="宋体" w:hAnsi="宋体"/>
                <w:b/>
                <w:bCs/>
                <w:snapToGrid w:val="0"/>
                <w:color w:val="auto"/>
                <w:kern w:val="0"/>
                <w:szCs w:val="21"/>
              </w:rPr>
            </w:pPr>
            <w:r>
              <w:rPr>
                <w:rFonts w:hint="eastAsia" w:ascii="宋体" w:hAnsi="宋体"/>
                <w:b/>
                <w:bCs/>
                <w:snapToGrid w:val="0"/>
                <w:color w:val="auto"/>
                <w:kern w:val="0"/>
                <w:szCs w:val="21"/>
              </w:rPr>
              <w:t>技术标（总分</w:t>
            </w:r>
            <w:r>
              <w:rPr>
                <w:rFonts w:hint="eastAsia" w:ascii="宋体" w:hAnsi="宋体"/>
                <w:b/>
                <w:bCs/>
                <w:snapToGrid w:val="0"/>
                <w:color w:val="auto"/>
                <w:kern w:val="0"/>
                <w:szCs w:val="21"/>
                <w:lang w:val="en-US" w:eastAsia="zh-CN"/>
              </w:rPr>
              <w:t>40</w:t>
            </w:r>
            <w:r>
              <w:rPr>
                <w:rFonts w:hint="eastAsia" w:ascii="宋体" w:hAnsi="宋体"/>
                <w:b/>
                <w:bCs/>
                <w:snapToGrid w:val="0"/>
                <w:color w:val="auto"/>
                <w:kern w:val="0"/>
                <w:szCs w:val="21"/>
              </w:rPr>
              <w:t>分）</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napToGrid w:val="0"/>
                <w:color w:val="auto"/>
                <w:szCs w:val="21"/>
                <w:lang w:val="en-US" w:eastAsia="zh-CN"/>
              </w:rPr>
            </w:pPr>
            <w:r>
              <w:rPr>
                <w:rFonts w:hint="eastAsia" w:ascii="宋体" w:hAnsi="宋体"/>
                <w:snapToGrid w:val="0"/>
                <w:color w:val="auto"/>
                <w:szCs w:val="21"/>
                <w:lang w:val="en-US" w:eastAsia="zh-CN"/>
              </w:rPr>
              <w:t>服务人员素质</w:t>
            </w:r>
          </w:p>
        </w:tc>
        <w:tc>
          <w:tcPr>
            <w:tcW w:w="1087" w:type="dxa"/>
            <w:tcBorders>
              <w:top w:val="single" w:color="auto" w:sz="4" w:space="0"/>
              <w:left w:val="single" w:color="auto" w:sz="4" w:space="0"/>
              <w:right w:val="single" w:color="auto" w:sz="4" w:space="0"/>
            </w:tcBorders>
            <w:vAlign w:val="center"/>
          </w:tcPr>
          <w:p>
            <w:pPr>
              <w:snapToGrid w:val="0"/>
              <w:spacing w:line="240" w:lineRule="exact"/>
              <w:jc w:val="center"/>
              <w:rPr>
                <w:rFonts w:hint="default" w:ascii="宋体" w:hAnsi="宋体" w:eastAsia="宋体"/>
                <w:snapToGrid w:val="0"/>
                <w:color w:val="auto"/>
                <w:szCs w:val="21"/>
                <w:lang w:val="en-US" w:eastAsia="zh-CN"/>
              </w:rPr>
            </w:pPr>
            <w:r>
              <w:rPr>
                <w:rFonts w:hint="default" w:ascii="Calibri" w:hAnsi="Calibri"/>
                <w:snapToGrid/>
                <w:color w:val="auto"/>
                <w:szCs w:val="24"/>
                <w:lang w:val="en-US" w:eastAsia="zh-CN"/>
              </w:rPr>
              <w:t>26</w:t>
            </w:r>
          </w:p>
        </w:tc>
        <w:tc>
          <w:tcPr>
            <w:tcW w:w="4485" w:type="dxa"/>
            <w:tcBorders>
              <w:top w:val="single" w:color="auto" w:sz="4" w:space="0"/>
              <w:left w:val="single" w:color="auto" w:sz="4" w:space="0"/>
              <w:right w:val="single" w:color="auto" w:sz="4" w:space="0"/>
            </w:tcBorders>
            <w:vAlign w:val="center"/>
          </w:tcPr>
          <w:p>
            <w:pPr>
              <w:numPr>
                <w:ilvl w:val="-1"/>
                <w:numId w:val="0"/>
              </w:numPr>
              <w:wordWrap w:val="0"/>
              <w:spacing w:line="240" w:lineRule="exact"/>
              <w:rPr>
                <w:rFonts w:hint="eastAsia"/>
                <w:color w:val="auto"/>
                <w:lang w:val="en-US" w:eastAsia="zh-CN"/>
              </w:rPr>
            </w:pPr>
            <w:r>
              <w:rPr>
                <w:rFonts w:hint="default"/>
                <w:color w:val="auto"/>
                <w:lang w:eastAsia="zh-CN"/>
              </w:rPr>
              <w:t>（1）</w:t>
            </w:r>
            <w:r>
              <w:rPr>
                <w:rFonts w:hint="eastAsia"/>
                <w:color w:val="auto"/>
                <w:lang w:val="en-US" w:eastAsia="zh-CN"/>
              </w:rPr>
              <w:t>项目负责人（1名）：</w:t>
            </w:r>
          </w:p>
          <w:p>
            <w:pPr>
              <w:numPr>
                <w:ilvl w:val="-1"/>
                <w:numId w:val="0"/>
              </w:numPr>
              <w:wordWrap w:val="0"/>
              <w:spacing w:line="240" w:lineRule="exact"/>
              <w:rPr>
                <w:rFonts w:hint="default"/>
                <w:color w:val="auto"/>
                <w:lang w:val="en-US" w:eastAsia="zh-CN" w:bidi="ar"/>
              </w:rPr>
            </w:pPr>
            <w:r>
              <w:rPr>
                <w:rFonts w:hint="default" w:ascii="Calibri" w:hAnsi="Calibri" w:cs="Times New Roman"/>
                <w:color w:val="auto"/>
                <w:kern w:val="2"/>
                <w:sz w:val="21"/>
                <w:szCs w:val="24"/>
                <w:lang w:bidi="ar"/>
              </w:rPr>
              <w:t>具有</w:t>
            </w:r>
            <w:r>
              <w:rPr>
                <w:rFonts w:hint="default" w:ascii="Calibri" w:hAnsi="Calibri" w:cs="Times New Roman"/>
                <w:color w:val="auto"/>
                <w:kern w:val="2"/>
                <w:sz w:val="21"/>
                <w:szCs w:val="24"/>
                <w:lang w:val="en-US" w:eastAsia="zh-CN" w:bidi="ar"/>
              </w:rPr>
              <w:t>丰富的房改历史遗留问题处理</w:t>
            </w:r>
            <w:r>
              <w:rPr>
                <w:rFonts w:hint="default" w:ascii="Calibri" w:hAnsi="Calibri" w:cs="Times New Roman"/>
                <w:color w:val="auto"/>
                <w:kern w:val="2"/>
                <w:sz w:val="21"/>
                <w:szCs w:val="24"/>
                <w:lang w:eastAsia="zh-CN" w:bidi="ar"/>
              </w:rPr>
              <w:t>或住房保障</w:t>
            </w:r>
            <w:r>
              <w:rPr>
                <w:rFonts w:hint="default" w:ascii="Calibri" w:hAnsi="Calibri" w:cs="Times New Roman"/>
                <w:color w:val="auto"/>
                <w:kern w:val="2"/>
                <w:sz w:val="21"/>
                <w:szCs w:val="24"/>
                <w:lang w:val="en-US" w:eastAsia="zh-CN" w:bidi="ar"/>
              </w:rPr>
              <w:t>服务</w:t>
            </w:r>
            <w:r>
              <w:rPr>
                <w:rFonts w:hint="default" w:ascii="Calibri" w:hAnsi="Calibri" w:cs="Times New Roman"/>
                <w:color w:val="auto"/>
                <w:kern w:val="2"/>
                <w:sz w:val="21"/>
                <w:szCs w:val="24"/>
                <w:lang w:bidi="ar"/>
              </w:rPr>
              <w:t>经验</w:t>
            </w:r>
            <w:r>
              <w:rPr>
                <w:rFonts w:hint="default" w:ascii="Calibri" w:hAnsi="Calibri" w:cs="Times New Roman"/>
                <w:color w:val="auto"/>
                <w:kern w:val="2"/>
                <w:sz w:val="21"/>
                <w:szCs w:val="24"/>
                <w:lang w:eastAsia="zh-CN" w:bidi="ar"/>
              </w:rPr>
              <w:t>，</w:t>
            </w:r>
            <w:r>
              <w:rPr>
                <w:rFonts w:hint="default" w:ascii="Calibri" w:hAnsi="Calibri" w:cs="Times New Roman"/>
                <w:color w:val="auto"/>
                <w:kern w:val="2"/>
                <w:sz w:val="21"/>
                <w:szCs w:val="24"/>
                <w:lang w:val="en-US" w:eastAsia="zh-CN" w:bidi="ar"/>
              </w:rPr>
              <w:t>得3分；</w:t>
            </w:r>
            <w:r>
              <w:rPr>
                <w:rFonts w:hint="default" w:ascii="Calibri" w:hAnsi="Calibri" w:cs="Times New Roman"/>
                <w:color w:val="auto"/>
                <w:szCs w:val="24"/>
                <w:lang w:val="en-US" w:eastAsia="zh-CN" w:bidi="ar"/>
              </w:rPr>
              <w:t>为从业10</w:t>
            </w:r>
            <w:r>
              <w:rPr>
                <w:rFonts w:hint="default" w:ascii="Calibri" w:hAnsi="Calibri" w:cs="Times New Roman"/>
                <w:color w:val="auto"/>
                <w:kern w:val="2"/>
                <w:sz w:val="21"/>
                <w:szCs w:val="24"/>
                <w:lang w:val="en-US" w:eastAsia="zh-CN" w:bidi="ar"/>
              </w:rPr>
              <w:t>年以上（含10年）且在深圳市本地执业的专职律师</w:t>
            </w:r>
            <w:r>
              <w:rPr>
                <w:rFonts w:hint="default" w:ascii="Calibri" w:hAnsi="Calibri" w:cs="Times New Roman"/>
                <w:color w:val="auto"/>
                <w:kern w:val="2"/>
                <w:sz w:val="21"/>
                <w:szCs w:val="24"/>
                <w:lang w:eastAsia="zh-CN" w:bidi="ar"/>
              </w:rPr>
              <w:t>，得</w:t>
            </w:r>
            <w:r>
              <w:rPr>
                <w:rFonts w:hint="default" w:ascii="Calibri" w:hAnsi="Calibri" w:cs="Times New Roman"/>
                <w:color w:val="auto"/>
                <w:kern w:val="2"/>
                <w:sz w:val="21"/>
                <w:szCs w:val="24"/>
                <w:lang w:val="en-US" w:eastAsia="zh-CN" w:bidi="ar"/>
              </w:rPr>
              <w:t>5分</w:t>
            </w:r>
            <w:r>
              <w:rPr>
                <w:rFonts w:hint="default" w:ascii="Calibri" w:hAnsi="Calibri" w:cs="Times New Roman"/>
                <w:color w:val="auto"/>
                <w:kern w:val="2"/>
                <w:sz w:val="21"/>
                <w:szCs w:val="24"/>
                <w:lang w:bidi="ar"/>
              </w:rPr>
              <w:t>。</w:t>
            </w:r>
            <w:r>
              <w:rPr>
                <w:rFonts w:hint="default" w:ascii="Calibri" w:hAnsi="Calibri" w:cs="Times New Roman"/>
                <w:color w:val="auto"/>
                <w:kern w:val="2"/>
                <w:sz w:val="21"/>
                <w:szCs w:val="24"/>
                <w:lang w:eastAsia="zh-CN" w:bidi="ar"/>
              </w:rPr>
              <w:t>该项总分</w:t>
            </w:r>
            <w:r>
              <w:rPr>
                <w:rFonts w:hint="default" w:ascii="Calibri" w:hAnsi="Calibri" w:cs="Times New Roman"/>
                <w:color w:val="auto"/>
                <w:kern w:val="2"/>
                <w:sz w:val="21"/>
                <w:szCs w:val="24"/>
                <w:lang w:val="en-US" w:eastAsia="zh-CN" w:bidi="ar"/>
              </w:rPr>
              <w:t>8分。</w:t>
            </w:r>
            <w:r>
              <w:rPr>
                <w:rFonts w:hint="default"/>
                <w:color w:val="auto"/>
                <w:lang w:eastAsia="zh-CN" w:bidi="ar"/>
              </w:rPr>
              <w:t>需提供服务经验证明文件（合同关键页或服务单位出具的证明文件）、律师执业证扫描件、执业年限证明（律协官网截图），原件备查。</w:t>
            </w:r>
          </w:p>
          <w:p>
            <w:pPr>
              <w:numPr>
                <w:ilvl w:val="-1"/>
                <w:numId w:val="0"/>
              </w:numPr>
              <w:wordWrap w:val="0"/>
              <w:spacing w:line="240" w:lineRule="exact"/>
              <w:rPr>
                <w:rFonts w:hint="eastAsia"/>
                <w:color w:val="auto"/>
                <w:lang w:val="en-US" w:eastAsia="zh-CN"/>
              </w:rPr>
            </w:pPr>
            <w:r>
              <w:rPr>
                <w:rFonts w:hint="default"/>
                <w:color w:val="auto"/>
                <w:lang w:eastAsia="zh-CN"/>
              </w:rPr>
              <w:t>（2）</w:t>
            </w:r>
            <w:r>
              <w:rPr>
                <w:rFonts w:hint="eastAsia"/>
                <w:color w:val="auto"/>
                <w:lang w:val="en-US" w:eastAsia="zh-CN"/>
              </w:rPr>
              <w:t>项目主办人员（1名）：</w:t>
            </w:r>
          </w:p>
          <w:p>
            <w:pPr>
              <w:numPr>
                <w:ilvl w:val="-1"/>
                <w:numId w:val="0"/>
              </w:numPr>
              <w:wordWrap w:val="0"/>
              <w:spacing w:line="240" w:lineRule="exact"/>
              <w:rPr>
                <w:rFonts w:hint="default" w:ascii="Calibri" w:hAnsi="Calibri" w:cs="Times New Roman"/>
                <w:color w:val="auto"/>
                <w:kern w:val="2"/>
                <w:sz w:val="21"/>
                <w:szCs w:val="24"/>
                <w:lang w:val="en-US" w:eastAsia="zh-CN" w:bidi="ar"/>
              </w:rPr>
            </w:pPr>
            <w:r>
              <w:rPr>
                <w:rFonts w:hint="default" w:ascii="Calibri" w:hAnsi="Calibri" w:cs="Times New Roman"/>
                <w:color w:val="auto"/>
                <w:kern w:val="2"/>
                <w:sz w:val="21"/>
                <w:szCs w:val="24"/>
                <w:lang w:val="en-US" w:eastAsia="zh-CN" w:bidi="ar"/>
              </w:rPr>
              <w:t>具有</w:t>
            </w:r>
            <w:r>
              <w:rPr>
                <w:rFonts w:hint="eastAsia"/>
                <w:color w:val="auto"/>
                <w:lang w:val="en-US" w:eastAsia="zh-CN"/>
              </w:rPr>
              <w:t>1</w:t>
            </w:r>
            <w:r>
              <w:rPr>
                <w:rFonts w:hint="default" w:ascii="Calibri" w:hAnsi="Calibri" w:cs="Times New Roman"/>
                <w:color w:val="auto"/>
                <w:kern w:val="2"/>
                <w:sz w:val="21"/>
                <w:szCs w:val="24"/>
                <w:lang w:val="en-US" w:eastAsia="zh-CN" w:bidi="ar"/>
              </w:rPr>
              <w:t>年以上房改历史遗留问题处理</w:t>
            </w:r>
            <w:r>
              <w:rPr>
                <w:rFonts w:hint="default" w:ascii="Calibri" w:hAnsi="Calibri" w:cs="Times New Roman"/>
                <w:color w:val="auto"/>
                <w:kern w:val="2"/>
                <w:sz w:val="21"/>
                <w:szCs w:val="24"/>
                <w:lang w:eastAsia="zh-CN" w:bidi="ar"/>
              </w:rPr>
              <w:t>或住房保障</w:t>
            </w:r>
            <w:r>
              <w:rPr>
                <w:rFonts w:hint="default" w:ascii="Calibri" w:hAnsi="Calibri" w:cs="Times New Roman"/>
                <w:color w:val="auto"/>
                <w:kern w:val="2"/>
                <w:sz w:val="21"/>
                <w:szCs w:val="24"/>
                <w:lang w:val="en-US" w:eastAsia="zh-CN" w:bidi="ar"/>
              </w:rPr>
              <w:t>服务经验，得</w:t>
            </w:r>
            <w:r>
              <w:rPr>
                <w:rFonts w:hint="eastAsia" w:cs="Times New Roman"/>
                <w:color w:val="auto"/>
                <w:kern w:val="2"/>
                <w:sz w:val="21"/>
                <w:szCs w:val="24"/>
                <w:lang w:val="en-US" w:eastAsia="zh-CN" w:bidi="ar"/>
              </w:rPr>
              <w:t>4</w:t>
            </w:r>
            <w:r>
              <w:rPr>
                <w:rFonts w:hint="default" w:ascii="Calibri" w:hAnsi="Calibri" w:cs="Times New Roman"/>
                <w:color w:val="auto"/>
                <w:kern w:val="2"/>
                <w:sz w:val="21"/>
                <w:szCs w:val="24"/>
                <w:lang w:val="en-US" w:eastAsia="zh-CN" w:bidi="ar"/>
              </w:rPr>
              <w:t>分；主办人员在深圳本地执业的专职律师，或具备法律专业硕士以上（含硕士）学历，得</w:t>
            </w:r>
            <w:r>
              <w:rPr>
                <w:rFonts w:hint="eastAsia" w:cs="Times New Roman"/>
                <w:color w:val="auto"/>
                <w:kern w:val="2"/>
                <w:sz w:val="21"/>
                <w:szCs w:val="24"/>
                <w:lang w:val="en-US" w:eastAsia="zh-CN" w:bidi="ar"/>
              </w:rPr>
              <w:t>4</w:t>
            </w:r>
            <w:r>
              <w:rPr>
                <w:rFonts w:hint="default" w:ascii="Calibri" w:hAnsi="Calibri" w:cs="Times New Roman"/>
                <w:color w:val="auto"/>
                <w:kern w:val="2"/>
                <w:sz w:val="21"/>
                <w:szCs w:val="24"/>
                <w:lang w:val="en-US" w:eastAsia="zh-CN" w:bidi="ar"/>
              </w:rPr>
              <w:t>分；该项总分为</w:t>
            </w:r>
            <w:r>
              <w:rPr>
                <w:rFonts w:hint="eastAsia" w:cs="Times New Roman"/>
                <w:color w:val="auto"/>
                <w:kern w:val="2"/>
                <w:sz w:val="21"/>
                <w:szCs w:val="24"/>
                <w:lang w:val="en-US" w:eastAsia="zh-CN" w:bidi="ar"/>
              </w:rPr>
              <w:t>8</w:t>
            </w:r>
            <w:r>
              <w:rPr>
                <w:rFonts w:hint="default" w:ascii="Calibri" w:hAnsi="Calibri" w:cs="Times New Roman"/>
                <w:color w:val="auto"/>
                <w:kern w:val="2"/>
                <w:sz w:val="21"/>
                <w:szCs w:val="24"/>
                <w:lang w:val="en-US" w:eastAsia="zh-CN" w:bidi="ar"/>
              </w:rPr>
              <w:t>分。</w:t>
            </w:r>
          </w:p>
          <w:p>
            <w:pPr>
              <w:numPr>
                <w:ilvl w:val="-1"/>
                <w:numId w:val="0"/>
              </w:numPr>
              <w:wordWrap w:val="0"/>
              <w:spacing w:line="240" w:lineRule="exact"/>
              <w:rPr>
                <w:rFonts w:hint="default"/>
                <w:color w:val="auto"/>
                <w:lang w:val="en-US" w:eastAsia="zh-CN"/>
              </w:rPr>
            </w:pPr>
            <w:r>
              <w:rPr>
                <w:rFonts w:hint="eastAsia"/>
                <w:color w:val="auto"/>
                <w:lang w:val="en-US" w:eastAsia="zh-CN"/>
              </w:rPr>
              <w:t>需提供服务经验证明文件（合同关键页或服务单位出具的证明文件或主办人员出具的相关书面意见书）、律师执业证扫描件</w:t>
            </w:r>
            <w:r>
              <w:rPr>
                <w:rFonts w:hint="eastAsia"/>
                <w:color w:val="auto"/>
                <w:lang w:eastAsia="zh-CN"/>
              </w:rPr>
              <w:t>、执业年限证明（律协官网截图）、</w:t>
            </w:r>
            <w:r>
              <w:rPr>
                <w:rFonts w:hint="eastAsia"/>
                <w:color w:val="auto"/>
                <w:lang w:val="en-US" w:eastAsia="zh-CN"/>
              </w:rPr>
              <w:t>毕业证书和学位证书扫描件，原件备查。</w:t>
            </w:r>
          </w:p>
          <w:p>
            <w:pPr>
              <w:numPr>
                <w:ilvl w:val="-1"/>
                <w:numId w:val="0"/>
              </w:numPr>
              <w:wordWrap w:val="0"/>
              <w:spacing w:line="240" w:lineRule="exact"/>
              <w:rPr>
                <w:rFonts w:hint="default"/>
                <w:color w:val="auto"/>
                <w:lang w:val="en-US" w:eastAsia="zh-CN"/>
              </w:rPr>
            </w:pPr>
            <w:r>
              <w:rPr>
                <w:rFonts w:hint="eastAsia"/>
                <w:color w:val="auto"/>
                <w:lang w:eastAsia="zh-CN"/>
              </w:rPr>
              <w:t>（</w:t>
            </w:r>
            <w:r>
              <w:rPr>
                <w:rFonts w:hint="eastAsia"/>
                <w:color w:val="auto"/>
                <w:lang w:val="en-US" w:eastAsia="zh-CN"/>
              </w:rPr>
              <w:t>3</w:t>
            </w:r>
            <w:r>
              <w:rPr>
                <w:rFonts w:hint="eastAsia"/>
                <w:color w:val="auto"/>
                <w:lang w:eastAsia="zh-CN"/>
              </w:rPr>
              <w:t>）应至少有4名专职人员，得2分；专职人员为法学本科以上学历（含本科）或取得法律职业资格证书，一人得1分，最多得4分。该项总分6分。</w:t>
            </w:r>
          </w:p>
          <w:p>
            <w:pPr>
              <w:numPr>
                <w:ilvl w:val="0"/>
                <w:numId w:val="0"/>
              </w:numPr>
              <w:wordWrap w:val="0"/>
              <w:spacing w:line="240" w:lineRule="exact"/>
              <w:rPr>
                <w:rFonts w:hint="eastAsia"/>
                <w:color w:val="auto"/>
              </w:rPr>
            </w:pPr>
            <w:r>
              <w:rPr>
                <w:rFonts w:hint="eastAsia"/>
                <w:color w:val="auto"/>
                <w:lang w:val="en-US" w:eastAsia="zh-CN"/>
              </w:rPr>
              <w:t>需提供投标单位自有员工的社保证明、毕业证书和学位证书或法律职业资格证书扫描件等，原件备查。</w:t>
            </w:r>
          </w:p>
          <w:p>
            <w:pPr>
              <w:numPr>
                <w:ilvl w:val="-1"/>
                <w:numId w:val="0"/>
              </w:numPr>
              <w:wordWrap w:val="0"/>
              <w:spacing w:line="240" w:lineRule="exact"/>
              <w:rPr>
                <w:rFonts w:hint="default"/>
                <w:color w:val="auto"/>
                <w:lang w:val="en-US" w:eastAsia="zh-CN"/>
              </w:rPr>
            </w:pPr>
            <w:r>
              <w:rPr>
                <w:rFonts w:hint="eastAsia"/>
                <w:color w:val="auto"/>
                <w:lang w:eastAsia="zh-CN"/>
              </w:rPr>
              <w:t>需提供工作单位出具的工作证明或者服务人员本人的社保证明。</w:t>
            </w:r>
          </w:p>
          <w:p>
            <w:pPr>
              <w:numPr>
                <w:ilvl w:val="-1"/>
                <w:numId w:val="0"/>
              </w:numPr>
              <w:wordWrap w:val="0"/>
              <w:snapToGrid/>
              <w:spacing w:line="240" w:lineRule="exact"/>
              <w:rPr>
                <w:rFonts w:hint="eastAsia"/>
                <w:color w:val="auto"/>
              </w:rPr>
            </w:pPr>
            <w:r>
              <w:rPr>
                <w:rFonts w:hint="eastAsia"/>
                <w:color w:val="auto"/>
              </w:rPr>
              <w:t>（</w:t>
            </w:r>
            <w:r>
              <w:rPr>
                <w:rFonts w:hint="eastAsia"/>
                <w:color w:val="auto"/>
                <w:lang w:val="en-US" w:eastAsia="zh-CN"/>
              </w:rPr>
              <w:t>4</w:t>
            </w:r>
            <w:r>
              <w:rPr>
                <w:rFonts w:hint="eastAsia"/>
                <w:color w:val="auto"/>
              </w:rPr>
              <w:t>）</w:t>
            </w:r>
            <w:r>
              <w:rPr>
                <w:rFonts w:hint="default" w:ascii="Calibri" w:hAnsi="Calibri" w:cs="Times New Roman"/>
                <w:color w:val="auto"/>
                <w:szCs w:val="24"/>
                <w:lang w:val="en-US" w:eastAsia="zh-CN"/>
              </w:rPr>
              <w:t>专职</w:t>
            </w:r>
            <w:r>
              <w:rPr>
                <w:rFonts w:hint="default" w:ascii="Calibri" w:hAnsi="Calibri" w:cs="Times New Roman"/>
                <w:color w:val="auto"/>
                <w:szCs w:val="24"/>
              </w:rPr>
              <w:t>人员</w:t>
            </w:r>
            <w:r>
              <w:rPr>
                <w:rFonts w:hint="default" w:ascii="Calibri" w:hAnsi="Calibri" w:cs="Times New Roman"/>
                <w:color w:val="auto"/>
                <w:szCs w:val="24"/>
                <w:lang w:eastAsia="zh-CN"/>
              </w:rPr>
              <w:t>，</w:t>
            </w:r>
            <w:r>
              <w:rPr>
                <w:rFonts w:hint="default" w:ascii="Calibri" w:hAnsi="Calibri" w:cs="Times New Roman"/>
                <w:color w:val="auto"/>
                <w:szCs w:val="24"/>
                <w:lang w:val="en-US" w:eastAsia="zh-CN"/>
              </w:rPr>
              <w:t>曾经具</w:t>
            </w:r>
            <w:r>
              <w:rPr>
                <w:rFonts w:hint="default" w:ascii="Calibri" w:hAnsi="Calibri" w:cs="Times New Roman"/>
                <w:color w:val="auto"/>
                <w:szCs w:val="24"/>
              </w:rPr>
              <w:t>有</w:t>
            </w:r>
            <w:r>
              <w:rPr>
                <w:rFonts w:hint="default" w:ascii="Calibri" w:hAnsi="Calibri" w:cs="Times New Roman"/>
                <w:color w:val="auto"/>
                <w:szCs w:val="24"/>
                <w:lang w:val="en-US" w:eastAsia="zh-CN"/>
              </w:rPr>
              <w:t>在政府部门从事房改历史遗留问题处理</w:t>
            </w:r>
            <w:r>
              <w:rPr>
                <w:rFonts w:hint="default" w:ascii="Calibri" w:hAnsi="Calibri" w:cs="Times New Roman"/>
                <w:color w:val="auto"/>
                <w:szCs w:val="24"/>
                <w:lang w:eastAsia="zh-CN"/>
              </w:rPr>
              <w:t>或住房保障</w:t>
            </w:r>
            <w:r>
              <w:rPr>
                <w:rFonts w:hint="default" w:ascii="Calibri" w:hAnsi="Calibri" w:cs="Times New Roman"/>
                <w:color w:val="auto"/>
                <w:szCs w:val="24"/>
              </w:rPr>
              <w:t>相关工作经验</w:t>
            </w:r>
            <w:r>
              <w:rPr>
                <w:rFonts w:hint="default" w:ascii="Calibri" w:hAnsi="Calibri" w:cs="Times New Roman"/>
                <w:color w:val="auto"/>
                <w:szCs w:val="24"/>
                <w:lang w:eastAsia="zh-CN"/>
              </w:rPr>
              <w:t>的</w:t>
            </w:r>
            <w:r>
              <w:rPr>
                <w:rFonts w:hint="default" w:ascii="Calibri" w:hAnsi="Calibri" w:cs="Times New Roman"/>
                <w:color w:val="auto"/>
                <w:szCs w:val="24"/>
              </w:rPr>
              <w:t>，</w:t>
            </w:r>
            <w:r>
              <w:rPr>
                <w:rFonts w:hint="default" w:ascii="Calibri" w:hAnsi="Calibri" w:eastAsia="宋体" w:cs="Times New Roman"/>
                <w:color w:val="auto"/>
                <w:sz w:val="21"/>
                <w:szCs w:val="24"/>
              </w:rPr>
              <w:t>每有1名符合上述条件的</w:t>
            </w:r>
            <w:r>
              <w:rPr>
                <w:rFonts w:hint="default" w:ascii="Calibri" w:hAnsi="Calibri" w:cs="Times New Roman"/>
                <w:color w:val="auto"/>
                <w:szCs w:val="24"/>
              </w:rPr>
              <w:t>得</w:t>
            </w:r>
            <w:r>
              <w:rPr>
                <w:rFonts w:hint="default" w:ascii="Calibri" w:hAnsi="Calibri" w:cs="Times New Roman"/>
                <w:color w:val="auto"/>
                <w:szCs w:val="24"/>
                <w:lang w:val="en-US" w:eastAsia="zh-CN"/>
              </w:rPr>
              <w:t>1</w:t>
            </w:r>
            <w:r>
              <w:rPr>
                <w:rFonts w:hint="default" w:ascii="Calibri" w:hAnsi="Calibri" w:cs="Times New Roman"/>
                <w:color w:val="auto"/>
                <w:szCs w:val="24"/>
              </w:rPr>
              <w:t>分，</w:t>
            </w:r>
            <w:r>
              <w:rPr>
                <w:rFonts w:hint="default" w:ascii="Calibri" w:hAnsi="Calibri" w:cs="Times New Roman"/>
                <w:color w:val="auto"/>
                <w:szCs w:val="24"/>
                <w:lang w:val="en-US" w:eastAsia="zh-CN"/>
              </w:rPr>
              <w:t>最多得2</w:t>
            </w:r>
            <w:r>
              <w:rPr>
                <w:rFonts w:hint="default" w:ascii="Calibri" w:hAnsi="Calibri" w:cs="Times New Roman"/>
                <w:color w:val="auto"/>
                <w:szCs w:val="24"/>
              </w:rPr>
              <w:t>分。</w:t>
            </w:r>
          </w:p>
          <w:p>
            <w:pPr>
              <w:numPr>
                <w:ilvl w:val="-1"/>
                <w:numId w:val="0"/>
              </w:numPr>
              <w:wordWrap w:val="0"/>
              <w:snapToGrid/>
              <w:spacing w:line="240" w:lineRule="exact"/>
              <w:rPr>
                <w:rFonts w:hint="eastAsia"/>
                <w:color w:val="auto"/>
                <w:lang w:eastAsia="zh-CN"/>
              </w:rPr>
            </w:pPr>
            <w:r>
              <w:rPr>
                <w:rFonts w:hint="eastAsia"/>
                <w:color w:val="auto"/>
                <w:lang w:eastAsia="zh-CN"/>
              </w:rPr>
              <w:t>需提供近三</w:t>
            </w:r>
            <w:r>
              <w:rPr>
                <w:rFonts w:hint="eastAsia"/>
                <w:color w:val="auto"/>
              </w:rPr>
              <w:t>年内</w:t>
            </w:r>
            <w:r>
              <w:rPr>
                <w:rFonts w:hint="eastAsia"/>
                <w:color w:val="auto"/>
                <w:lang w:eastAsia="zh-CN"/>
              </w:rPr>
              <w:t>（</w:t>
            </w:r>
            <w:r>
              <w:rPr>
                <w:rFonts w:hint="eastAsia"/>
                <w:color w:val="auto"/>
                <w:lang w:val="en-US" w:eastAsia="zh-CN"/>
              </w:rPr>
              <w:t>2022年</w:t>
            </w:r>
            <w:r>
              <w:rPr>
                <w:rFonts w:hint="default"/>
                <w:color w:val="auto"/>
                <w:lang w:val="en-US" w:eastAsia="zh-CN"/>
              </w:rPr>
              <w:t>9</w:t>
            </w:r>
            <w:r>
              <w:rPr>
                <w:rFonts w:hint="eastAsia"/>
                <w:color w:val="auto"/>
                <w:lang w:val="en-US" w:eastAsia="zh-CN"/>
              </w:rPr>
              <w:t>月至2025年</w:t>
            </w:r>
            <w:r>
              <w:rPr>
                <w:rFonts w:hint="default"/>
                <w:color w:val="auto"/>
                <w:lang w:val="en-US" w:eastAsia="zh-CN"/>
              </w:rPr>
              <w:t>9</w:t>
            </w:r>
            <w:r>
              <w:rPr>
                <w:rFonts w:hint="eastAsia"/>
                <w:color w:val="auto"/>
                <w:lang w:val="en-US" w:eastAsia="zh-CN"/>
              </w:rPr>
              <w:t>月</w:t>
            </w:r>
            <w:r>
              <w:rPr>
                <w:rFonts w:hint="eastAsia"/>
                <w:color w:val="auto"/>
                <w:lang w:eastAsia="zh-CN"/>
              </w:rPr>
              <w:t>）</w:t>
            </w:r>
            <w:r>
              <w:rPr>
                <w:rFonts w:hint="eastAsia"/>
                <w:color w:val="auto"/>
                <w:lang w:val="en-US" w:eastAsia="zh-CN"/>
              </w:rPr>
              <w:t>服务合同或者</w:t>
            </w:r>
            <w:r>
              <w:rPr>
                <w:rFonts w:hint="eastAsia"/>
                <w:color w:val="auto"/>
                <w:lang w:eastAsia="zh-CN"/>
              </w:rPr>
              <w:t>服务机构（政府部门）出具的相关工作证明。</w:t>
            </w:r>
          </w:p>
          <w:p>
            <w:pPr>
              <w:numPr>
                <w:ilvl w:val="-1"/>
                <w:numId w:val="0"/>
              </w:numPr>
              <w:wordWrap w:val="0"/>
              <w:spacing w:line="240" w:lineRule="exact"/>
              <w:rPr>
                <w:rFonts w:hint="eastAsia" w:ascii="宋体" w:hAnsi="宋体" w:cs="宋体"/>
                <w:color w:val="auto"/>
                <w:szCs w:val="21"/>
                <w:lang w:val="en-US" w:eastAsia="zh-CN"/>
              </w:rPr>
            </w:pPr>
            <w:r>
              <w:rPr>
                <w:rFonts w:hint="eastAsia" w:ascii="Calibri" w:hAnsi="Calibri" w:cs="Times New Roman"/>
                <w:color w:val="auto"/>
                <w:szCs w:val="24"/>
                <w:lang w:eastAsia="zh-CN"/>
              </w:rPr>
              <w:t>（</w:t>
            </w:r>
            <w:r>
              <w:rPr>
                <w:rFonts w:hint="eastAsia" w:ascii="Calibri" w:hAnsi="Calibri" w:cs="Times New Roman"/>
                <w:color w:val="auto"/>
                <w:szCs w:val="24"/>
                <w:lang w:val="en-US" w:eastAsia="zh-CN"/>
              </w:rPr>
              <w:t>5）专职</w:t>
            </w:r>
            <w:r>
              <w:rPr>
                <w:rFonts w:hint="eastAsia" w:ascii="Calibri" w:hAnsi="Calibri" w:cs="Times New Roman"/>
                <w:color w:val="auto"/>
                <w:szCs w:val="24"/>
              </w:rPr>
              <w:t>人员不少于</w:t>
            </w:r>
            <w:r>
              <w:rPr>
                <w:rFonts w:hint="eastAsia" w:ascii="Calibri" w:hAnsi="Calibri" w:cs="Times New Roman"/>
                <w:color w:val="auto"/>
                <w:szCs w:val="24"/>
                <w:lang w:val="en-US" w:eastAsia="zh-CN"/>
              </w:rPr>
              <w:t>2</w:t>
            </w:r>
            <w:r>
              <w:rPr>
                <w:rFonts w:hint="eastAsia" w:ascii="Calibri" w:hAnsi="Calibri" w:cs="Times New Roman"/>
                <w:color w:val="auto"/>
                <w:szCs w:val="24"/>
              </w:rPr>
              <w:t>人具有1年以上相关工作经验</w:t>
            </w:r>
            <w:r>
              <w:rPr>
                <w:rFonts w:hint="eastAsia" w:ascii="Calibri" w:hAnsi="Calibri" w:cs="Times New Roman"/>
                <w:color w:val="auto"/>
                <w:szCs w:val="24"/>
                <w:lang w:eastAsia="zh-CN"/>
              </w:rPr>
              <w:t>，每有</w:t>
            </w:r>
            <w:r>
              <w:rPr>
                <w:rFonts w:hint="eastAsia" w:ascii="Calibri" w:hAnsi="Calibri" w:cs="Times New Roman"/>
                <w:color w:val="auto"/>
                <w:szCs w:val="24"/>
                <w:lang w:val="en-US" w:eastAsia="zh-CN"/>
              </w:rPr>
              <w:t>1名符合该条件的得1分，最多得</w:t>
            </w:r>
            <w:r>
              <w:rPr>
                <w:rFonts w:hint="default" w:ascii="Calibri" w:hAnsi="Calibri" w:cs="Times New Roman"/>
                <w:color w:val="auto"/>
                <w:szCs w:val="24"/>
                <w:lang w:val="en-US" w:eastAsia="zh-CN"/>
              </w:rPr>
              <w:t>2分</w:t>
            </w:r>
            <w:r>
              <w:rPr>
                <w:rFonts w:hint="eastAsia" w:ascii="Calibri" w:hAnsi="Calibri" w:cs="Times New Roman"/>
                <w:color w:val="auto"/>
                <w:szCs w:val="24"/>
                <w:lang w:val="en-US" w:eastAsia="zh-CN"/>
              </w:rPr>
              <w:t>。</w:t>
            </w:r>
          </w:p>
          <w:p>
            <w:pPr>
              <w:numPr>
                <w:ilvl w:val="0"/>
                <w:numId w:val="0"/>
              </w:numPr>
              <w:wordWrap w:val="0"/>
              <w:spacing w:line="240" w:lineRule="exact"/>
              <w:rPr>
                <w:rFonts w:hint="eastAsia"/>
                <w:color w:val="auto"/>
                <w:lang w:eastAsia="zh-CN"/>
              </w:rPr>
            </w:pPr>
            <w:r>
              <w:rPr>
                <w:rFonts w:hint="eastAsia" w:ascii="宋体" w:hAnsi="宋体" w:cs="宋体"/>
                <w:color w:val="auto"/>
                <w:szCs w:val="21"/>
                <w:lang w:eastAsia="zh-CN"/>
              </w:rPr>
              <w:t>需提供工作单位出具的工作证明或者服务人员本人的社保证明</w:t>
            </w:r>
          </w:p>
        </w:tc>
        <w:tc>
          <w:tcPr>
            <w:tcW w:w="1185" w:type="dxa"/>
            <w:tcBorders>
              <w:top w:val="single" w:color="auto" w:sz="4" w:space="0"/>
              <w:left w:val="single" w:color="auto" w:sz="4" w:space="0"/>
              <w:right w:val="double" w:color="auto" w:sz="4" w:space="0"/>
            </w:tcBorders>
            <w:vAlign w:val="center"/>
          </w:tcPr>
          <w:p>
            <w:pPr>
              <w:snapToGrid w:val="0"/>
              <w:spacing w:line="2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992" w:type="dxa"/>
            <w:vMerge w:val="continue"/>
            <w:tcBorders>
              <w:left w:val="double" w:color="auto" w:sz="4" w:space="0"/>
              <w:right w:val="single" w:color="auto" w:sz="4" w:space="0"/>
            </w:tcBorders>
            <w:vAlign w:val="center"/>
          </w:tcPr>
          <w:p>
            <w:pPr>
              <w:adjustRightInd w:val="0"/>
              <w:snapToGrid w:val="0"/>
              <w:spacing w:line="240" w:lineRule="exact"/>
              <w:jc w:val="center"/>
              <w:rPr>
                <w:rFonts w:hint="eastAsia" w:ascii="宋体" w:hAnsi="宋体"/>
                <w:b/>
                <w:bCs/>
                <w:snapToGrid w:val="0"/>
                <w:color w:val="auto"/>
                <w:kern w:val="0"/>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napToGrid w:val="0"/>
                <w:color w:val="auto"/>
                <w:szCs w:val="21"/>
                <w:lang w:val="en-US" w:eastAsia="zh-CN"/>
              </w:rPr>
            </w:pPr>
            <w:r>
              <w:rPr>
                <w:rFonts w:hint="eastAsia" w:ascii="宋体" w:hAnsi="宋体"/>
                <w:snapToGrid w:val="0"/>
                <w:color w:val="auto"/>
                <w:szCs w:val="21"/>
                <w:lang w:val="en-US" w:eastAsia="zh-CN"/>
              </w:rPr>
              <w:t>服务方案</w:t>
            </w:r>
          </w:p>
        </w:tc>
        <w:tc>
          <w:tcPr>
            <w:tcW w:w="1087" w:type="dxa"/>
            <w:tcBorders>
              <w:top w:val="single" w:color="auto" w:sz="4" w:space="0"/>
              <w:left w:val="single" w:color="auto" w:sz="4" w:space="0"/>
              <w:right w:val="single" w:color="auto" w:sz="4" w:space="0"/>
            </w:tcBorders>
            <w:vAlign w:val="center"/>
          </w:tcPr>
          <w:p>
            <w:pPr>
              <w:snapToGrid w:val="0"/>
              <w:spacing w:line="240" w:lineRule="exact"/>
              <w:jc w:val="center"/>
              <w:rPr>
                <w:rFonts w:hint="default" w:ascii="宋体" w:hAnsi="宋体" w:eastAsia="宋体"/>
                <w:snapToGrid w:val="0"/>
                <w:color w:val="auto"/>
                <w:szCs w:val="21"/>
                <w:lang w:val="en-US" w:eastAsia="zh-CN"/>
              </w:rPr>
            </w:pPr>
            <w:r>
              <w:rPr>
                <w:rFonts w:hint="default" w:ascii="Calibri" w:hAnsi="Calibri"/>
                <w:snapToGrid/>
                <w:color w:val="auto"/>
                <w:szCs w:val="24"/>
                <w:lang w:val="en-US" w:eastAsia="zh-CN"/>
              </w:rPr>
              <w:t>12</w:t>
            </w:r>
          </w:p>
        </w:tc>
        <w:tc>
          <w:tcPr>
            <w:tcW w:w="4485" w:type="dxa"/>
            <w:tcBorders>
              <w:top w:val="single" w:color="auto" w:sz="4" w:space="0"/>
              <w:left w:val="single" w:color="auto" w:sz="4" w:space="0"/>
              <w:right w:val="single" w:color="auto" w:sz="4" w:space="0"/>
            </w:tcBorders>
            <w:vAlign w:val="center"/>
          </w:tcPr>
          <w:p>
            <w:pPr>
              <w:wordWrap w:val="0"/>
              <w:spacing w:line="240" w:lineRule="exact"/>
              <w:rPr>
                <w:rFonts w:hint="eastAsia" w:ascii="宋体" w:hAnsi="宋体"/>
                <w:color w:val="auto"/>
                <w:szCs w:val="21"/>
              </w:rPr>
            </w:pPr>
            <w:r>
              <w:rPr>
                <w:rFonts w:hint="eastAsia" w:ascii="宋体" w:hAnsi="宋体" w:cs="宋体"/>
                <w:color w:val="auto"/>
                <w:szCs w:val="21"/>
                <w:lang w:val="en-US" w:eastAsia="zh-CN"/>
              </w:rPr>
              <w:t>投标人根据服务内容编制项目服务实施方案。根据服务实施方案的合理性、可行性进行评分：评优得11-12分，评良得9-10分，评中得7-8分，评差得0-6分。累计上限得12分。</w:t>
            </w:r>
          </w:p>
        </w:tc>
        <w:tc>
          <w:tcPr>
            <w:tcW w:w="1185" w:type="dxa"/>
            <w:tcBorders>
              <w:top w:val="single" w:color="auto" w:sz="4" w:space="0"/>
              <w:left w:val="single" w:color="auto" w:sz="4" w:space="0"/>
              <w:right w:val="double" w:color="auto" w:sz="4" w:space="0"/>
            </w:tcBorders>
            <w:vAlign w:val="center"/>
          </w:tcPr>
          <w:p>
            <w:pPr>
              <w:snapToGrid w:val="0"/>
              <w:spacing w:line="2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992" w:type="dxa"/>
            <w:vMerge w:val="continue"/>
            <w:tcBorders>
              <w:left w:val="double" w:color="auto" w:sz="4" w:space="0"/>
              <w:right w:val="single" w:color="auto" w:sz="4" w:space="0"/>
            </w:tcBorders>
            <w:vAlign w:val="center"/>
          </w:tcPr>
          <w:p>
            <w:pPr>
              <w:adjustRightInd w:val="0"/>
              <w:snapToGrid w:val="0"/>
              <w:spacing w:line="240" w:lineRule="exact"/>
              <w:jc w:val="center"/>
              <w:rPr>
                <w:rFonts w:hint="eastAsia" w:ascii="宋体" w:hAnsi="宋体"/>
                <w:b/>
                <w:bCs/>
                <w:snapToGrid w:val="0"/>
                <w:color w:val="auto"/>
                <w:kern w:val="0"/>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napToGrid w:val="0"/>
                <w:color w:val="auto"/>
                <w:szCs w:val="21"/>
                <w:lang w:val="en-US" w:eastAsia="zh-CN"/>
              </w:rPr>
            </w:pPr>
            <w:r>
              <w:rPr>
                <w:rFonts w:hint="eastAsia" w:ascii="宋体" w:hAnsi="宋体"/>
                <w:snapToGrid w:val="0"/>
                <w:color w:val="auto"/>
                <w:szCs w:val="21"/>
                <w:lang w:val="en-US" w:eastAsia="zh-CN"/>
              </w:rPr>
              <w:t>内部管理制度</w:t>
            </w:r>
          </w:p>
        </w:tc>
        <w:tc>
          <w:tcPr>
            <w:tcW w:w="1087" w:type="dxa"/>
            <w:tcBorders>
              <w:top w:val="single" w:color="auto" w:sz="4" w:space="0"/>
              <w:left w:val="single" w:color="auto" w:sz="4" w:space="0"/>
              <w:right w:val="single" w:color="auto" w:sz="4" w:space="0"/>
            </w:tcBorders>
            <w:vAlign w:val="center"/>
          </w:tcPr>
          <w:p>
            <w:pPr>
              <w:snapToGrid w:val="0"/>
              <w:spacing w:line="240" w:lineRule="exact"/>
              <w:jc w:val="center"/>
              <w:rPr>
                <w:rFonts w:hint="eastAsia" w:ascii="宋体" w:hAnsi="宋体" w:eastAsia="宋体"/>
                <w:snapToGrid w:val="0"/>
                <w:color w:val="auto"/>
                <w:szCs w:val="21"/>
                <w:lang w:val="en-US" w:eastAsia="zh-CN"/>
              </w:rPr>
            </w:pPr>
            <w:r>
              <w:rPr>
                <w:rFonts w:hint="default" w:ascii="Calibri" w:hAnsi="Calibri" w:eastAsia="宋体"/>
                <w:snapToGrid/>
                <w:color w:val="auto"/>
                <w:szCs w:val="24"/>
                <w:lang w:val="en-US" w:eastAsia="zh-CN"/>
              </w:rPr>
              <w:t>2</w:t>
            </w:r>
          </w:p>
        </w:tc>
        <w:tc>
          <w:tcPr>
            <w:tcW w:w="4485" w:type="dxa"/>
            <w:tcBorders>
              <w:top w:val="single" w:color="auto" w:sz="4" w:space="0"/>
              <w:left w:val="single" w:color="auto" w:sz="4" w:space="0"/>
              <w:right w:val="single" w:color="auto" w:sz="4" w:space="0"/>
            </w:tcBorders>
            <w:vAlign w:val="center"/>
          </w:tcPr>
          <w:p>
            <w:pPr>
              <w:pStyle w:val="10"/>
              <w:adjustRightInd/>
              <w:spacing w:line="240" w:lineRule="exact"/>
              <w:rPr>
                <w:rFonts w:cs="CESI仿宋-GB2312" w:asciiTheme="minorEastAsia" w:hAnsiTheme="minorEastAsia" w:eastAsiaTheme="minorEastAsia"/>
                <w:color w:val="auto"/>
                <w:sz w:val="21"/>
                <w:szCs w:val="21"/>
              </w:rPr>
            </w:pPr>
            <w:r>
              <w:rPr>
                <w:rFonts w:hint="eastAsia" w:cs="CESI仿宋-GB2312" w:asciiTheme="minorEastAsia" w:hAnsiTheme="minorEastAsia" w:eastAsiaTheme="minorEastAsia"/>
                <w:color w:val="auto"/>
                <w:sz w:val="21"/>
                <w:szCs w:val="21"/>
              </w:rPr>
              <w:t>投标人具有完善的内部管理制度（包括但不限于日常管理、案卷整理与归档等）。评分标准：</w:t>
            </w:r>
          </w:p>
          <w:p>
            <w:pPr>
              <w:pStyle w:val="10"/>
              <w:adjustRightInd/>
              <w:spacing w:line="240" w:lineRule="exact"/>
              <w:rPr>
                <w:rFonts w:cs="CESI仿宋-GB2312" w:asciiTheme="minorEastAsia" w:hAnsiTheme="minorEastAsia" w:eastAsiaTheme="minorEastAsia"/>
                <w:color w:val="auto"/>
                <w:sz w:val="21"/>
                <w:szCs w:val="21"/>
              </w:rPr>
            </w:pPr>
            <w:r>
              <w:rPr>
                <w:rFonts w:hint="eastAsia" w:cs="CESI仿宋-GB2312" w:asciiTheme="minorEastAsia" w:hAnsiTheme="minorEastAsia" w:eastAsiaTheme="minorEastAsia"/>
                <w:color w:val="auto"/>
                <w:sz w:val="21"/>
                <w:szCs w:val="21"/>
              </w:rPr>
              <w:t>（1）投标人提供的</w:t>
            </w:r>
            <w:r>
              <w:rPr>
                <w:rFonts w:hint="eastAsia" w:cs="CESI仿宋-GB2312" w:asciiTheme="minorEastAsia" w:hAnsiTheme="minorEastAsia" w:eastAsiaTheme="minorEastAsia"/>
                <w:color w:val="auto"/>
                <w:sz w:val="21"/>
                <w:szCs w:val="21"/>
                <w:lang w:eastAsia="zh-CN"/>
              </w:rPr>
              <w:t>内部</w:t>
            </w:r>
            <w:r>
              <w:rPr>
                <w:rFonts w:hint="eastAsia" w:cs="CESI仿宋-GB2312" w:asciiTheme="minorEastAsia" w:hAnsiTheme="minorEastAsia" w:eastAsiaTheme="minorEastAsia"/>
                <w:color w:val="auto"/>
                <w:sz w:val="21"/>
                <w:szCs w:val="21"/>
              </w:rPr>
              <w:t>管理制度完善、具体的，得</w:t>
            </w:r>
            <w:r>
              <w:rPr>
                <w:rFonts w:hint="eastAsia" w:cs="CESI仿宋-GB2312" w:asciiTheme="minorEastAsia" w:hAnsiTheme="minorEastAsia" w:eastAsiaTheme="minorEastAsia"/>
                <w:color w:val="auto"/>
                <w:sz w:val="21"/>
                <w:szCs w:val="21"/>
                <w:lang w:val="en-US" w:eastAsia="zh-CN"/>
              </w:rPr>
              <w:t>2分</w:t>
            </w:r>
            <w:r>
              <w:rPr>
                <w:rFonts w:hint="eastAsia" w:cs="CESI仿宋-GB2312" w:asciiTheme="minorEastAsia" w:hAnsiTheme="minorEastAsia" w:eastAsiaTheme="minorEastAsia"/>
                <w:color w:val="auto"/>
                <w:sz w:val="21"/>
                <w:szCs w:val="21"/>
              </w:rPr>
              <w:t>；</w:t>
            </w:r>
          </w:p>
          <w:p>
            <w:pPr>
              <w:pStyle w:val="10"/>
              <w:adjustRightInd/>
              <w:spacing w:line="240" w:lineRule="exact"/>
              <w:rPr>
                <w:rFonts w:cs="CESI仿宋-GB2312" w:asciiTheme="minorEastAsia" w:hAnsiTheme="minorEastAsia" w:eastAsiaTheme="minorEastAsia"/>
                <w:color w:val="auto"/>
                <w:sz w:val="21"/>
                <w:szCs w:val="21"/>
              </w:rPr>
            </w:pPr>
            <w:r>
              <w:rPr>
                <w:rFonts w:hint="eastAsia" w:cs="CESI仿宋-GB2312" w:asciiTheme="minorEastAsia" w:hAnsiTheme="minorEastAsia" w:eastAsiaTheme="minorEastAsia"/>
                <w:color w:val="auto"/>
                <w:sz w:val="21"/>
                <w:szCs w:val="21"/>
              </w:rPr>
              <w:t>（</w:t>
            </w:r>
            <w:r>
              <w:rPr>
                <w:rFonts w:hint="eastAsia" w:cs="CESI仿宋-GB2312" w:asciiTheme="minorEastAsia" w:hAnsiTheme="minorEastAsia" w:eastAsiaTheme="minorEastAsia"/>
                <w:color w:val="auto"/>
                <w:sz w:val="21"/>
                <w:szCs w:val="21"/>
                <w:lang w:val="en-US" w:eastAsia="zh-CN"/>
              </w:rPr>
              <w:t>2</w:t>
            </w:r>
            <w:r>
              <w:rPr>
                <w:rFonts w:hint="eastAsia" w:cs="CESI仿宋-GB2312" w:asciiTheme="minorEastAsia" w:hAnsiTheme="minorEastAsia" w:eastAsiaTheme="minorEastAsia"/>
                <w:color w:val="auto"/>
                <w:sz w:val="21"/>
                <w:szCs w:val="21"/>
              </w:rPr>
              <w:t>）投标人提供的</w:t>
            </w:r>
            <w:r>
              <w:rPr>
                <w:rFonts w:hint="eastAsia" w:cs="CESI仿宋-GB2312" w:asciiTheme="minorEastAsia" w:hAnsiTheme="minorEastAsia" w:eastAsiaTheme="minorEastAsia"/>
                <w:color w:val="auto"/>
                <w:sz w:val="21"/>
                <w:szCs w:val="21"/>
                <w:lang w:eastAsia="zh-CN"/>
              </w:rPr>
              <w:t>内部</w:t>
            </w:r>
            <w:r>
              <w:rPr>
                <w:rFonts w:hint="eastAsia" w:cs="CESI仿宋-GB2312" w:asciiTheme="minorEastAsia" w:hAnsiTheme="minorEastAsia" w:eastAsiaTheme="minorEastAsia"/>
                <w:color w:val="auto"/>
                <w:sz w:val="21"/>
                <w:szCs w:val="21"/>
              </w:rPr>
              <w:t>管理制度一般的，得</w:t>
            </w:r>
            <w:r>
              <w:rPr>
                <w:rFonts w:hint="eastAsia" w:cs="CESI仿宋-GB2312" w:asciiTheme="minorEastAsia" w:hAnsiTheme="minorEastAsia" w:eastAsiaTheme="minorEastAsia"/>
                <w:color w:val="auto"/>
                <w:sz w:val="21"/>
                <w:szCs w:val="21"/>
                <w:lang w:val="en-US" w:eastAsia="zh-CN"/>
              </w:rPr>
              <w:t>1分</w:t>
            </w:r>
            <w:r>
              <w:rPr>
                <w:rFonts w:hint="eastAsia" w:cs="CESI仿宋-GB2312" w:asciiTheme="minorEastAsia" w:hAnsiTheme="minorEastAsia" w:eastAsiaTheme="minorEastAsia"/>
                <w:color w:val="auto"/>
                <w:sz w:val="21"/>
                <w:szCs w:val="21"/>
              </w:rPr>
              <w:t>；</w:t>
            </w:r>
          </w:p>
          <w:p>
            <w:pPr>
              <w:numPr>
                <w:ilvl w:val="255"/>
                <w:numId w:val="0"/>
              </w:numPr>
              <w:snapToGrid w:val="0"/>
              <w:spacing w:line="240" w:lineRule="exact"/>
              <w:rPr>
                <w:rFonts w:hint="eastAsia" w:ascii="宋体" w:hAnsi="宋体"/>
                <w:color w:val="auto"/>
                <w:szCs w:val="21"/>
              </w:rPr>
            </w:pPr>
            <w:r>
              <w:rPr>
                <w:rFonts w:hint="eastAsia" w:cs="CESI仿宋-GB2312" w:asciiTheme="minorEastAsia" w:hAnsiTheme="minorEastAsia" w:eastAsiaTheme="minorEastAsia"/>
                <w:color w:val="auto"/>
                <w:sz w:val="21"/>
                <w:szCs w:val="21"/>
              </w:rPr>
              <w:t>其他不得分。</w:t>
            </w:r>
          </w:p>
        </w:tc>
        <w:tc>
          <w:tcPr>
            <w:tcW w:w="1185" w:type="dxa"/>
            <w:tcBorders>
              <w:top w:val="single" w:color="auto" w:sz="4" w:space="0"/>
              <w:left w:val="single" w:color="auto" w:sz="4" w:space="0"/>
              <w:right w:val="double" w:color="auto" w:sz="4" w:space="0"/>
            </w:tcBorders>
            <w:vAlign w:val="center"/>
          </w:tcPr>
          <w:p>
            <w:pPr>
              <w:snapToGrid w:val="0"/>
              <w:spacing w:line="24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atLeast"/>
          <w:jc w:val="center"/>
        </w:trPr>
        <w:tc>
          <w:tcPr>
            <w:tcW w:w="992" w:type="dxa"/>
            <w:vMerge w:val="restart"/>
            <w:tcBorders>
              <w:left w:val="double" w:color="auto" w:sz="4" w:space="0"/>
              <w:right w:val="single" w:color="auto" w:sz="4" w:space="0"/>
            </w:tcBorders>
            <w:vAlign w:val="center"/>
          </w:tcPr>
          <w:p>
            <w:pPr>
              <w:spacing w:line="240" w:lineRule="exact"/>
              <w:jc w:val="center"/>
              <w:rPr>
                <w:rFonts w:hint="default" w:ascii="宋体" w:hAnsi="宋体" w:eastAsia="宋体"/>
                <w:b/>
                <w:bCs/>
                <w:snapToGrid w:val="0"/>
                <w:color w:val="auto"/>
                <w:kern w:val="0"/>
                <w:szCs w:val="21"/>
                <w:lang w:val="en-US" w:eastAsia="zh-CN"/>
              </w:rPr>
            </w:pPr>
            <w:r>
              <w:rPr>
                <w:rFonts w:hint="eastAsia" w:ascii="宋体" w:hAnsi="宋体"/>
                <w:b/>
                <w:bCs/>
                <w:snapToGrid w:val="0"/>
                <w:color w:val="auto"/>
                <w:kern w:val="0"/>
                <w:szCs w:val="21"/>
                <w:lang w:val="en-US" w:eastAsia="zh-CN"/>
              </w:rPr>
              <w:t>资信标（总分</w:t>
            </w:r>
            <w:r>
              <w:rPr>
                <w:rFonts w:hint="eastAsia" w:ascii="宋体" w:hAnsi="宋体"/>
                <w:b/>
                <w:bCs/>
                <w:snapToGrid w:val="0"/>
                <w:color w:val="auto"/>
                <w:kern w:val="0"/>
                <w:szCs w:val="21"/>
                <w:lang w:val="en-US" w:eastAsia="zh-CN"/>
              </w:rPr>
              <w:t>40）</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napToGrid w:val="0"/>
                <w:color w:val="auto"/>
                <w:szCs w:val="21"/>
              </w:rPr>
            </w:pPr>
            <w:r>
              <w:rPr>
                <w:rFonts w:hint="eastAsia" w:ascii="宋体" w:hAnsi="宋体" w:cs="宋体"/>
                <w:color w:val="auto"/>
                <w:szCs w:val="21"/>
                <w:lang w:val="en-US" w:eastAsia="zh-CN"/>
              </w:rPr>
              <w:t>类似</w:t>
            </w:r>
            <w:r>
              <w:rPr>
                <w:rFonts w:hint="eastAsia" w:ascii="宋体" w:hAnsi="宋体" w:cs="宋体"/>
                <w:color w:val="auto"/>
                <w:szCs w:val="21"/>
              </w:rPr>
              <w:t>项目业绩</w:t>
            </w:r>
          </w:p>
        </w:tc>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default" w:ascii="宋体" w:hAnsi="宋体" w:eastAsia="宋体"/>
                <w:snapToGrid w:val="0"/>
                <w:color w:val="auto"/>
                <w:szCs w:val="21"/>
                <w:lang w:eastAsia="zh-CN"/>
              </w:rPr>
            </w:pPr>
            <w:r>
              <w:rPr>
                <w:rFonts w:hint="default" w:ascii="Calibri" w:hAnsi="Calibri"/>
                <w:snapToGrid/>
                <w:color w:val="auto"/>
                <w:szCs w:val="24"/>
                <w:lang w:val="en-US" w:eastAsia="zh-CN"/>
              </w:rPr>
              <w:t>2</w:t>
            </w:r>
            <w:r>
              <w:rPr>
                <w:rFonts w:hint="default" w:ascii="Calibri" w:hAnsi="Calibri"/>
                <w:snapToGrid/>
                <w:color w:val="auto"/>
                <w:szCs w:val="24"/>
                <w:lang w:eastAsia="zh-CN"/>
              </w:rPr>
              <w:t>5</w:t>
            </w:r>
          </w:p>
        </w:tc>
        <w:tc>
          <w:tcPr>
            <w:tcW w:w="4485" w:type="dxa"/>
            <w:tcBorders>
              <w:top w:val="single" w:color="auto" w:sz="4" w:space="0"/>
              <w:left w:val="single" w:color="auto" w:sz="4" w:space="0"/>
              <w:bottom w:val="single" w:color="auto" w:sz="4" w:space="0"/>
              <w:right w:val="single" w:color="auto" w:sz="4" w:space="0"/>
            </w:tcBorders>
            <w:vAlign w:val="center"/>
          </w:tcPr>
          <w:p>
            <w:pPr>
              <w:wordWrap w:val="0"/>
              <w:spacing w:line="240" w:lineRule="exact"/>
              <w:rPr>
                <w:rFonts w:hint="eastAsia" w:ascii="宋体" w:hAnsi="宋体"/>
                <w:color w:val="auto"/>
                <w:szCs w:val="21"/>
              </w:rPr>
            </w:pPr>
            <w:r>
              <w:rPr>
                <w:rFonts w:hint="eastAsia" w:ascii="宋体" w:hAnsi="宋体"/>
                <w:color w:val="auto"/>
                <w:szCs w:val="21"/>
              </w:rPr>
              <w:t>本项目招标公告发布之日起近</w:t>
            </w:r>
            <w:r>
              <w:rPr>
                <w:rFonts w:hint="eastAsia" w:ascii="宋体" w:hAnsi="宋体"/>
                <w:color w:val="auto"/>
                <w:szCs w:val="21"/>
                <w:lang w:val="en-US" w:eastAsia="zh-CN"/>
              </w:rPr>
              <w:t>三</w:t>
            </w:r>
            <w:r>
              <w:rPr>
                <w:rFonts w:hint="eastAsia" w:ascii="宋体" w:hAnsi="宋体"/>
                <w:color w:val="auto"/>
                <w:szCs w:val="21"/>
              </w:rPr>
              <w:t>年内</w:t>
            </w:r>
            <w:r>
              <w:rPr>
                <w:rFonts w:hint="eastAsia" w:ascii="宋体" w:hAnsi="宋体"/>
                <w:color w:val="auto"/>
                <w:szCs w:val="21"/>
                <w:lang w:eastAsia="zh-CN"/>
              </w:rPr>
              <w:t>（</w:t>
            </w:r>
            <w:r>
              <w:rPr>
                <w:rFonts w:hint="eastAsia" w:ascii="宋体" w:hAnsi="宋体"/>
                <w:color w:val="auto"/>
                <w:szCs w:val="21"/>
                <w:lang w:val="en-US" w:eastAsia="zh-CN"/>
              </w:rPr>
              <w:t>2022年</w:t>
            </w:r>
            <w:r>
              <w:rPr>
                <w:rFonts w:hint="default" w:ascii="宋体" w:hAnsi="宋体"/>
                <w:color w:val="auto"/>
                <w:szCs w:val="21"/>
                <w:lang w:val="en-US" w:eastAsia="zh-CN"/>
              </w:rPr>
              <w:t>9</w:t>
            </w:r>
            <w:r>
              <w:rPr>
                <w:rFonts w:hint="eastAsia" w:ascii="宋体" w:hAnsi="宋体"/>
                <w:color w:val="auto"/>
                <w:szCs w:val="21"/>
                <w:lang w:val="en-US" w:eastAsia="zh-CN"/>
              </w:rPr>
              <w:t>月至2025年</w:t>
            </w:r>
            <w:r>
              <w:rPr>
                <w:rFonts w:hint="default" w:ascii="宋体" w:hAnsi="宋体"/>
                <w:color w:val="auto"/>
                <w:szCs w:val="21"/>
                <w:lang w:val="en-US" w:eastAsia="zh-CN"/>
              </w:rPr>
              <w:t>9</w:t>
            </w:r>
            <w:r>
              <w:rPr>
                <w:rFonts w:hint="eastAsia" w:ascii="宋体" w:hAnsi="宋体"/>
                <w:color w:val="auto"/>
                <w:szCs w:val="21"/>
                <w:lang w:val="en-US" w:eastAsia="zh-CN"/>
              </w:rPr>
              <w:t>月</w:t>
            </w:r>
            <w:r>
              <w:rPr>
                <w:rFonts w:hint="eastAsia" w:ascii="宋体" w:hAnsi="宋体"/>
                <w:color w:val="auto"/>
                <w:szCs w:val="21"/>
                <w:lang w:eastAsia="zh-CN"/>
              </w:rPr>
              <w:t>）的类似项目业绩。</w:t>
            </w:r>
          </w:p>
          <w:p>
            <w:pPr>
              <w:wordWrap w:val="0"/>
              <w:spacing w:line="240" w:lineRule="exact"/>
              <w:rPr>
                <w:rFonts w:hint="eastAsia" w:ascii="宋体" w:hAnsi="宋体" w:eastAsia="宋体"/>
                <w:color w:val="auto"/>
                <w:szCs w:val="21"/>
                <w:lang w:eastAsia="zh-CN"/>
              </w:rPr>
            </w:pPr>
            <w:r>
              <w:rPr>
                <w:rFonts w:hint="eastAsia" w:ascii="宋体" w:hAnsi="宋体"/>
                <w:color w:val="auto"/>
                <w:szCs w:val="21"/>
                <w:lang w:eastAsia="zh-CN"/>
              </w:rPr>
              <w:t>需</w:t>
            </w:r>
            <w:r>
              <w:rPr>
                <w:rFonts w:hint="eastAsia" w:ascii="宋体" w:hAnsi="宋体"/>
                <w:color w:val="auto"/>
                <w:szCs w:val="21"/>
              </w:rPr>
              <w:t>提供</w:t>
            </w:r>
            <w:r>
              <w:rPr>
                <w:rFonts w:hint="eastAsia" w:ascii="宋体" w:hAnsi="宋体"/>
                <w:color w:val="auto"/>
                <w:szCs w:val="21"/>
                <w:lang w:eastAsia="zh-CN"/>
              </w:rPr>
              <w:t>与政府部门签订的与房改历史遗留问题处理</w:t>
            </w:r>
            <w:r>
              <w:rPr>
                <w:rFonts w:hint="default" w:ascii="宋体" w:hAnsi="宋体"/>
                <w:color w:val="auto"/>
                <w:szCs w:val="21"/>
                <w:lang w:eastAsia="zh-CN"/>
              </w:rPr>
              <w:t>或住房保障</w:t>
            </w:r>
            <w:r>
              <w:rPr>
                <w:rFonts w:hint="eastAsia" w:ascii="宋体" w:hAnsi="宋体"/>
                <w:color w:val="auto"/>
                <w:szCs w:val="21"/>
                <w:lang w:val="en-US" w:eastAsia="zh-CN"/>
              </w:rPr>
              <w:t>服务</w:t>
            </w:r>
            <w:r>
              <w:rPr>
                <w:rFonts w:hint="eastAsia" w:ascii="宋体" w:hAnsi="宋体"/>
                <w:color w:val="auto"/>
                <w:szCs w:val="21"/>
              </w:rPr>
              <w:t>合同，以合同签订时间为准。每提供一份相关</w:t>
            </w:r>
            <w:r>
              <w:rPr>
                <w:rFonts w:hint="eastAsia" w:ascii="宋体" w:hAnsi="宋体"/>
                <w:color w:val="auto"/>
                <w:szCs w:val="21"/>
                <w:lang w:eastAsia="zh-CN"/>
              </w:rPr>
              <w:t>服务</w:t>
            </w:r>
            <w:r>
              <w:rPr>
                <w:rFonts w:hint="eastAsia" w:ascii="宋体" w:hAnsi="宋体" w:eastAsia="宋体"/>
                <w:color w:val="auto"/>
                <w:szCs w:val="21"/>
              </w:rPr>
              <w:t>合同</w:t>
            </w:r>
            <w:r>
              <w:rPr>
                <w:rFonts w:hint="eastAsia" w:ascii="宋体" w:hAnsi="宋体"/>
                <w:color w:val="auto"/>
                <w:szCs w:val="21"/>
                <w:lang w:eastAsia="zh-CN"/>
              </w:rPr>
              <w:t>，得</w:t>
            </w:r>
            <w:r>
              <w:rPr>
                <w:rFonts w:hint="eastAsia" w:ascii="宋体" w:hAnsi="宋体"/>
                <w:color w:val="auto"/>
                <w:szCs w:val="21"/>
                <w:lang w:val="en-US" w:eastAsia="zh-CN"/>
              </w:rPr>
              <w:t>4分，</w:t>
            </w:r>
            <w:r>
              <w:rPr>
                <w:rFonts w:hint="eastAsia" w:ascii="宋体" w:hAnsi="宋体" w:eastAsia="宋体"/>
                <w:color w:val="auto"/>
                <w:szCs w:val="21"/>
              </w:rPr>
              <w:t>提供</w:t>
            </w:r>
            <w:r>
              <w:rPr>
                <w:rFonts w:hint="eastAsia" w:ascii="宋体" w:hAnsi="宋体" w:eastAsia="宋体"/>
                <w:color w:val="auto"/>
                <w:szCs w:val="21"/>
                <w:lang w:val="en-US" w:eastAsia="zh-CN"/>
              </w:rPr>
              <w:t xml:space="preserve"> </w:t>
            </w:r>
            <w:r>
              <w:rPr>
                <w:rFonts w:hint="default" w:ascii="宋体" w:hAnsi="宋体"/>
                <w:color w:val="auto"/>
                <w:szCs w:val="21"/>
                <w:lang w:eastAsia="zh-CN"/>
              </w:rPr>
              <w:t>5</w:t>
            </w:r>
            <w:r>
              <w:rPr>
                <w:rFonts w:hint="eastAsia" w:ascii="宋体" w:hAnsi="宋体" w:eastAsia="宋体"/>
                <w:color w:val="auto"/>
                <w:szCs w:val="21"/>
              </w:rPr>
              <w:t>份或以上得</w:t>
            </w:r>
            <w:r>
              <w:rPr>
                <w:rFonts w:hint="eastAsia" w:ascii="宋体" w:hAnsi="宋体"/>
                <w:color w:val="auto"/>
                <w:szCs w:val="21"/>
                <w:lang w:val="en-US" w:eastAsia="zh-CN"/>
              </w:rPr>
              <w:t>20</w:t>
            </w:r>
            <w:r>
              <w:rPr>
                <w:rFonts w:hint="eastAsia" w:ascii="宋体" w:hAnsi="宋体" w:eastAsia="宋体"/>
                <w:color w:val="auto"/>
                <w:szCs w:val="21"/>
              </w:rPr>
              <w:t>分。</w:t>
            </w:r>
            <w:r>
              <w:rPr>
                <w:rFonts w:hint="eastAsia" w:ascii="宋体" w:hAnsi="宋体"/>
                <w:color w:val="auto"/>
                <w:szCs w:val="21"/>
                <w:lang w:eastAsia="zh-CN"/>
              </w:rPr>
              <w:t>每份合同有主办人员参与的加</w:t>
            </w:r>
            <w:r>
              <w:rPr>
                <w:rFonts w:hint="eastAsia" w:ascii="宋体" w:hAnsi="宋体"/>
                <w:color w:val="auto"/>
                <w:szCs w:val="21"/>
                <w:lang w:val="en-US" w:eastAsia="zh-CN"/>
              </w:rPr>
              <w:t>1分，最多加5分。该项总分25分。</w:t>
            </w:r>
            <w:r>
              <w:rPr>
                <w:rFonts w:hint="eastAsia" w:ascii="宋体" w:hAnsi="宋体" w:eastAsia="宋体"/>
                <w:color w:val="auto"/>
                <w:szCs w:val="21"/>
              </w:rPr>
              <w:t>（以提</w:t>
            </w:r>
            <w:r>
              <w:rPr>
                <w:rFonts w:hint="eastAsia" w:ascii="宋体" w:hAnsi="宋体"/>
                <w:color w:val="auto"/>
                <w:szCs w:val="21"/>
              </w:rPr>
              <w:t>供合同关键页的扫描件为准，原件备查，否则不得分。）</w:t>
            </w:r>
            <w:r>
              <w:rPr>
                <w:rFonts w:hint="eastAsia" w:ascii="宋体" w:hAnsi="宋体"/>
                <w:color w:val="auto"/>
                <w:szCs w:val="21"/>
                <w:lang w:eastAsia="zh-CN"/>
              </w:rPr>
              <w:t>（需提供主办人员参与的相关证明）</w:t>
            </w:r>
          </w:p>
        </w:tc>
        <w:tc>
          <w:tcPr>
            <w:tcW w:w="1185" w:type="dxa"/>
            <w:tcBorders>
              <w:top w:val="single" w:color="auto" w:sz="4" w:space="0"/>
              <w:left w:val="single" w:color="auto" w:sz="4" w:space="0"/>
              <w:bottom w:val="single" w:color="auto" w:sz="4" w:space="0"/>
              <w:right w:val="double" w:color="auto" w:sz="4" w:space="0"/>
            </w:tcBorders>
            <w:vAlign w:val="center"/>
          </w:tcPr>
          <w:p>
            <w:pPr>
              <w:spacing w:line="2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992" w:type="dxa"/>
            <w:vMerge w:val="continue"/>
            <w:tcBorders>
              <w:left w:val="double" w:color="auto" w:sz="4" w:space="0"/>
              <w:right w:val="single" w:color="auto" w:sz="4" w:space="0"/>
            </w:tcBorders>
            <w:vAlign w:val="center"/>
          </w:tcPr>
          <w:p>
            <w:pPr>
              <w:spacing w:line="240" w:lineRule="exact"/>
              <w:jc w:val="center"/>
              <w:rPr>
                <w:rFonts w:ascii="宋体" w:hAnsi="宋体"/>
                <w:color w:val="auto"/>
                <w:szCs w:val="21"/>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过往履约评价</w:t>
            </w:r>
          </w:p>
        </w:tc>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宋体"/>
                <w:color w:val="auto"/>
                <w:lang w:eastAsia="zh-CN"/>
              </w:rPr>
            </w:pPr>
            <w:r>
              <w:rPr>
                <w:rFonts w:hint="default"/>
                <w:color w:val="auto"/>
                <w:lang w:eastAsia="zh-CN"/>
              </w:rPr>
              <w:t>5</w:t>
            </w:r>
          </w:p>
        </w:tc>
        <w:tc>
          <w:tcPr>
            <w:tcW w:w="4485"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ascii="宋体" w:hAnsi="宋体" w:eastAsia="宋体" w:cs="Times New Roman"/>
                <w:color w:val="auto"/>
                <w:kern w:val="2"/>
                <w:sz w:val="21"/>
                <w:szCs w:val="21"/>
                <w:lang w:val="en-US" w:eastAsia="zh-CN" w:bidi="ar-SA"/>
              </w:rPr>
              <w:t>投标人近三年（2022年</w:t>
            </w:r>
            <w:r>
              <w:rPr>
                <w:rFonts w:hint="default" w:ascii="宋体" w:hAnsi="宋体" w:cs="Times New Roman"/>
                <w:color w:val="auto"/>
                <w:kern w:val="2"/>
                <w:sz w:val="21"/>
                <w:szCs w:val="21"/>
                <w:lang w:val="en-US" w:eastAsia="zh-CN" w:bidi="ar-SA"/>
              </w:rPr>
              <w:t>9</w:t>
            </w:r>
            <w:r>
              <w:rPr>
                <w:rFonts w:hint="eastAsia" w:ascii="宋体" w:hAnsi="宋体" w:cs="Times New Roman"/>
                <w:color w:val="auto"/>
                <w:kern w:val="2"/>
                <w:sz w:val="21"/>
                <w:szCs w:val="21"/>
                <w:lang w:val="en-US" w:eastAsia="zh-CN" w:bidi="ar-SA"/>
              </w:rPr>
              <w:t>月</w:t>
            </w:r>
            <w:r>
              <w:rPr>
                <w:rFonts w:hint="eastAsia" w:ascii="宋体" w:hAnsi="宋体" w:eastAsia="宋体" w:cs="Times New Roman"/>
                <w:color w:val="auto"/>
                <w:kern w:val="2"/>
                <w:sz w:val="21"/>
                <w:szCs w:val="21"/>
                <w:lang w:val="en-US" w:eastAsia="zh-CN" w:bidi="ar-SA"/>
              </w:rPr>
              <w:t>至今期间）为政府机关、事业单位提供咨询服务的工作经验中，项目履约评价为优秀或良好的得3分，每增加一个加1分，总分不超过5分；没有的不得分。</w:t>
            </w:r>
          </w:p>
          <w:p>
            <w:pPr>
              <w:wordWrap w:val="0"/>
              <w:spacing w:line="240" w:lineRule="exact"/>
              <w:rPr>
                <w:rFonts w:hint="eastAsia" w:ascii="宋体" w:hAnsi="宋体" w:eastAsiaTheme="minorEastAsia"/>
                <w:color w:val="auto"/>
                <w:szCs w:val="21"/>
                <w:lang w:eastAsia="zh-CN"/>
              </w:rPr>
            </w:pPr>
          </w:p>
        </w:tc>
        <w:tc>
          <w:tcPr>
            <w:tcW w:w="1185" w:type="dxa"/>
            <w:tcBorders>
              <w:top w:val="single" w:color="auto" w:sz="4" w:space="0"/>
              <w:left w:val="single" w:color="auto" w:sz="4" w:space="0"/>
              <w:bottom w:val="single" w:color="auto" w:sz="4" w:space="0"/>
              <w:right w:val="double" w:color="auto" w:sz="4" w:space="0"/>
            </w:tcBorders>
            <w:vAlign w:val="center"/>
          </w:tcPr>
          <w:p>
            <w:pPr>
              <w:spacing w:line="2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992" w:type="dxa"/>
            <w:vMerge w:val="continue"/>
            <w:tcBorders>
              <w:left w:val="double" w:color="auto" w:sz="4" w:space="0"/>
              <w:right w:val="single" w:color="auto" w:sz="4" w:space="0"/>
            </w:tcBorders>
            <w:vAlign w:val="center"/>
          </w:tcPr>
          <w:p>
            <w:pPr>
              <w:spacing w:line="240" w:lineRule="exact"/>
              <w:jc w:val="center"/>
              <w:rPr>
                <w:rFonts w:hint="default" w:ascii="宋体" w:hAnsi="宋体" w:eastAsia="宋体"/>
                <w:color w:val="auto"/>
                <w:szCs w:val="21"/>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投标人为中小企业</w:t>
            </w:r>
          </w:p>
        </w:tc>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宋体"/>
                <w:color w:val="auto"/>
                <w:lang w:val="en-US" w:eastAsia="zh-CN"/>
              </w:rPr>
            </w:pPr>
            <w:r>
              <w:rPr>
                <w:rFonts w:hint="eastAsia"/>
                <w:color w:val="auto"/>
                <w:lang w:val="en-US" w:eastAsia="zh-CN"/>
              </w:rPr>
              <w:t>5</w:t>
            </w:r>
          </w:p>
        </w:tc>
        <w:tc>
          <w:tcPr>
            <w:tcW w:w="4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left"/>
              <w:rPr>
                <w:rFonts w:hint="eastAsia"/>
                <w:color w:val="auto"/>
                <w:lang w:val="en-US" w:eastAsia="zh-CN"/>
              </w:rPr>
            </w:pPr>
            <w:r>
              <w:rPr>
                <w:rFonts w:hint="eastAsia"/>
                <w:color w:val="auto"/>
                <w:lang w:val="en-US" w:eastAsia="zh-CN"/>
              </w:rPr>
              <w:t>投标人为中小企业的，得5分。</w:t>
            </w:r>
          </w:p>
          <w:p>
            <w:pPr>
              <w:snapToGrid w:val="0"/>
              <w:spacing w:line="240" w:lineRule="exact"/>
              <w:jc w:val="left"/>
              <w:rPr>
                <w:rFonts w:hint="default" w:eastAsia="宋体"/>
                <w:color w:val="auto"/>
                <w:lang w:val="en-US" w:eastAsia="zh-CN"/>
              </w:rPr>
            </w:pPr>
            <w:r>
              <w:rPr>
                <w:rFonts w:hint="eastAsia"/>
                <w:color w:val="auto"/>
                <w:lang w:val="en-US" w:eastAsia="zh-CN"/>
              </w:rPr>
              <w:t>投标人需提供中小企业声明函。</w:t>
            </w:r>
          </w:p>
        </w:tc>
        <w:tc>
          <w:tcPr>
            <w:tcW w:w="1185" w:type="dxa"/>
            <w:tcBorders>
              <w:top w:val="single" w:color="auto" w:sz="4" w:space="0"/>
              <w:left w:val="single" w:color="auto" w:sz="4" w:space="0"/>
              <w:bottom w:val="single" w:color="auto" w:sz="4" w:space="0"/>
              <w:right w:val="double" w:color="auto" w:sz="4" w:space="0"/>
            </w:tcBorders>
            <w:vAlign w:val="center"/>
          </w:tcPr>
          <w:p>
            <w:pPr>
              <w:spacing w:line="2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992" w:type="dxa"/>
            <w:vMerge w:val="continue"/>
            <w:tcBorders>
              <w:left w:val="double" w:color="auto" w:sz="4" w:space="0"/>
              <w:right w:val="single" w:color="auto" w:sz="4" w:space="0"/>
            </w:tcBorders>
            <w:vAlign w:val="center"/>
          </w:tcPr>
          <w:p>
            <w:pPr>
              <w:spacing w:line="240" w:lineRule="exact"/>
              <w:jc w:val="center"/>
              <w:rPr>
                <w:rFonts w:hint="eastAsia" w:ascii="宋体" w:hAnsi="宋体"/>
                <w:color w:val="auto"/>
                <w:szCs w:val="21"/>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color w:val="auto"/>
                <w:szCs w:val="21"/>
                <w:lang w:val="en-US" w:eastAsia="zh-CN"/>
              </w:rPr>
            </w:pPr>
            <w:r>
              <w:rPr>
                <w:rFonts w:hint="eastAsia" w:ascii="宋体" w:hAnsi="宋体"/>
                <w:color w:val="auto"/>
                <w:szCs w:val="21"/>
                <w:lang w:val="en-US" w:eastAsia="zh-CN"/>
              </w:rPr>
              <w:t>行业处分、行政处罚</w:t>
            </w:r>
          </w:p>
        </w:tc>
        <w:tc>
          <w:tcPr>
            <w:tcW w:w="10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eastAsia="宋体"/>
                <w:color w:val="auto"/>
                <w:lang w:val="en-US" w:eastAsia="zh-CN"/>
              </w:rPr>
            </w:pPr>
            <w:r>
              <w:rPr>
                <w:rFonts w:hint="eastAsia"/>
                <w:color w:val="auto"/>
                <w:lang w:val="en-US" w:eastAsia="zh-CN"/>
              </w:rPr>
              <w:t>5</w:t>
            </w:r>
          </w:p>
        </w:tc>
        <w:tc>
          <w:tcPr>
            <w:tcW w:w="4485" w:type="dxa"/>
            <w:tcBorders>
              <w:top w:val="single" w:color="auto" w:sz="4" w:space="0"/>
              <w:left w:val="single" w:color="auto" w:sz="4" w:space="0"/>
              <w:bottom w:val="single" w:color="auto" w:sz="4" w:space="0"/>
              <w:right w:val="single" w:color="auto" w:sz="4" w:space="0"/>
            </w:tcBorders>
            <w:vAlign w:val="center"/>
          </w:tcPr>
          <w:p>
            <w:pPr>
              <w:wordWrap w:val="0"/>
              <w:spacing w:line="240" w:lineRule="exact"/>
              <w:rPr>
                <w:color w:val="auto"/>
                <w:szCs w:val="21"/>
              </w:rPr>
            </w:pPr>
            <w:r>
              <w:rPr>
                <w:color w:val="auto"/>
                <w:szCs w:val="21"/>
              </w:rPr>
              <w:t>该项得分为</w:t>
            </w:r>
            <w:r>
              <w:rPr>
                <w:rFonts w:hint="default"/>
                <w:color w:val="auto"/>
                <w:szCs w:val="21"/>
                <w:lang w:eastAsia="zh-CN"/>
              </w:rPr>
              <w:t>5</w:t>
            </w:r>
            <w:r>
              <w:rPr>
                <w:color w:val="auto"/>
                <w:szCs w:val="21"/>
              </w:rPr>
              <w:t>分，</w:t>
            </w:r>
            <w:r>
              <w:rPr>
                <w:rFonts w:hint="eastAsia"/>
                <w:color w:val="auto"/>
                <w:szCs w:val="21"/>
              </w:rPr>
              <w:t>提供</w:t>
            </w:r>
            <w:r>
              <w:rPr>
                <w:rFonts w:hint="eastAsia"/>
                <w:color w:val="auto"/>
                <w:szCs w:val="21"/>
                <w:lang w:eastAsia="zh-CN"/>
              </w:rPr>
              <w:t>行业</w:t>
            </w:r>
            <w:r>
              <w:rPr>
                <w:rFonts w:hint="eastAsia"/>
                <w:color w:val="auto"/>
                <w:szCs w:val="21"/>
              </w:rPr>
              <w:t>主管部门出具的投标人近三年（</w:t>
            </w:r>
            <w:r>
              <w:rPr>
                <w:color w:val="auto"/>
                <w:szCs w:val="21"/>
              </w:rPr>
              <w:t>20</w:t>
            </w:r>
            <w:r>
              <w:rPr>
                <w:rFonts w:hint="eastAsia"/>
                <w:color w:val="auto"/>
                <w:szCs w:val="21"/>
                <w:lang w:val="en-US" w:eastAsia="zh-CN"/>
              </w:rPr>
              <w:t>22</w:t>
            </w:r>
            <w:r>
              <w:rPr>
                <w:color w:val="auto"/>
                <w:szCs w:val="21"/>
              </w:rPr>
              <w:t>年</w:t>
            </w:r>
            <w:r>
              <w:rPr>
                <w:rFonts w:hint="eastAsia"/>
                <w:color w:val="auto"/>
                <w:szCs w:val="21"/>
                <w:lang w:val="en-US" w:eastAsia="zh-CN"/>
              </w:rPr>
              <w:t>9</w:t>
            </w:r>
            <w:r>
              <w:rPr>
                <w:color w:val="auto"/>
                <w:szCs w:val="21"/>
              </w:rPr>
              <w:t>月至20</w:t>
            </w:r>
            <w:r>
              <w:rPr>
                <w:rFonts w:hint="eastAsia"/>
                <w:color w:val="auto"/>
                <w:szCs w:val="21"/>
                <w:lang w:val="en-US" w:eastAsia="zh-CN"/>
              </w:rPr>
              <w:t>25</w:t>
            </w:r>
            <w:r>
              <w:rPr>
                <w:color w:val="auto"/>
                <w:szCs w:val="21"/>
              </w:rPr>
              <w:t>年</w:t>
            </w:r>
            <w:r>
              <w:rPr>
                <w:rFonts w:hint="eastAsia"/>
                <w:color w:val="auto"/>
                <w:szCs w:val="21"/>
                <w:lang w:val="en-US" w:eastAsia="zh-CN"/>
              </w:rPr>
              <w:t>9</w:t>
            </w:r>
            <w:r>
              <w:rPr>
                <w:color w:val="auto"/>
                <w:szCs w:val="21"/>
              </w:rPr>
              <w:t>月</w:t>
            </w:r>
            <w:r>
              <w:rPr>
                <w:rFonts w:hint="eastAsia"/>
                <w:color w:val="auto"/>
                <w:szCs w:val="21"/>
              </w:rPr>
              <w:t>）无处罚证明以及投标人所在地</w:t>
            </w:r>
            <w:r>
              <w:rPr>
                <w:rFonts w:hint="eastAsia"/>
                <w:color w:val="auto"/>
                <w:szCs w:val="21"/>
                <w:lang w:eastAsia="zh-CN"/>
              </w:rPr>
              <w:t>行业</w:t>
            </w:r>
            <w:r>
              <w:rPr>
                <w:rFonts w:hint="eastAsia"/>
                <w:color w:val="auto"/>
                <w:szCs w:val="21"/>
              </w:rPr>
              <w:t>协会出具的投标人近三年（</w:t>
            </w:r>
            <w:r>
              <w:rPr>
                <w:color w:val="auto"/>
                <w:szCs w:val="21"/>
              </w:rPr>
              <w:t>20</w:t>
            </w:r>
            <w:r>
              <w:rPr>
                <w:rFonts w:hint="eastAsia"/>
                <w:color w:val="auto"/>
                <w:szCs w:val="21"/>
                <w:lang w:val="en-US" w:eastAsia="zh-CN"/>
              </w:rPr>
              <w:t>22</w:t>
            </w:r>
            <w:r>
              <w:rPr>
                <w:color w:val="auto"/>
                <w:szCs w:val="21"/>
              </w:rPr>
              <w:t>年</w:t>
            </w:r>
            <w:r>
              <w:rPr>
                <w:rFonts w:hint="eastAsia"/>
                <w:color w:val="auto"/>
                <w:szCs w:val="21"/>
                <w:lang w:val="en-US" w:eastAsia="zh-CN"/>
              </w:rPr>
              <w:t>9</w:t>
            </w:r>
            <w:r>
              <w:rPr>
                <w:color w:val="auto"/>
                <w:szCs w:val="21"/>
              </w:rPr>
              <w:t>月至20</w:t>
            </w:r>
            <w:r>
              <w:rPr>
                <w:rFonts w:hint="eastAsia"/>
                <w:color w:val="auto"/>
                <w:szCs w:val="21"/>
                <w:lang w:val="en-US" w:eastAsia="zh-CN"/>
              </w:rPr>
              <w:t>25</w:t>
            </w:r>
            <w:r>
              <w:rPr>
                <w:color w:val="auto"/>
                <w:szCs w:val="21"/>
              </w:rPr>
              <w:t>年</w:t>
            </w:r>
            <w:r>
              <w:rPr>
                <w:rFonts w:hint="eastAsia"/>
                <w:color w:val="auto"/>
                <w:szCs w:val="21"/>
                <w:lang w:val="en-US" w:eastAsia="zh-CN"/>
              </w:rPr>
              <w:t>9</w:t>
            </w:r>
            <w:r>
              <w:rPr>
                <w:color w:val="auto"/>
                <w:szCs w:val="21"/>
              </w:rPr>
              <w:t>月</w:t>
            </w:r>
            <w:r>
              <w:rPr>
                <w:rFonts w:hint="eastAsia"/>
                <w:color w:val="auto"/>
                <w:szCs w:val="21"/>
              </w:rPr>
              <w:t>）无行业处分证明。</w:t>
            </w:r>
          </w:p>
          <w:p>
            <w:pPr>
              <w:snapToGrid w:val="0"/>
              <w:spacing w:line="240" w:lineRule="exact"/>
              <w:jc w:val="left"/>
              <w:rPr>
                <w:color w:val="auto"/>
              </w:rPr>
            </w:pPr>
            <w:r>
              <w:rPr>
                <w:color w:val="auto"/>
                <w:szCs w:val="21"/>
              </w:rPr>
              <w:t>若有处分记录为</w:t>
            </w:r>
            <w:r>
              <w:rPr>
                <w:rFonts w:hint="eastAsia"/>
                <w:color w:val="auto"/>
                <w:szCs w:val="21"/>
              </w:rPr>
              <w:t>0</w:t>
            </w:r>
            <w:r>
              <w:rPr>
                <w:color w:val="auto"/>
                <w:szCs w:val="21"/>
              </w:rPr>
              <w:t>分</w:t>
            </w:r>
            <w:r>
              <w:rPr>
                <w:rFonts w:hint="eastAsia"/>
                <w:color w:val="auto"/>
                <w:szCs w:val="21"/>
              </w:rPr>
              <w:t>。</w:t>
            </w:r>
          </w:p>
        </w:tc>
        <w:tc>
          <w:tcPr>
            <w:tcW w:w="1185" w:type="dxa"/>
            <w:tcBorders>
              <w:top w:val="single" w:color="auto" w:sz="4" w:space="0"/>
              <w:left w:val="single" w:color="auto" w:sz="4" w:space="0"/>
              <w:bottom w:val="single" w:color="auto" w:sz="4" w:space="0"/>
              <w:right w:val="double" w:color="auto" w:sz="4" w:space="0"/>
            </w:tcBorders>
            <w:vAlign w:val="center"/>
          </w:tcPr>
          <w:p>
            <w:pPr>
              <w:spacing w:line="2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992" w:type="dxa"/>
            <w:tcBorders>
              <w:left w:val="double" w:color="auto" w:sz="4" w:space="0"/>
              <w:bottom w:val="double" w:color="auto" w:sz="4" w:space="0"/>
              <w:right w:val="single" w:color="auto" w:sz="4" w:space="0"/>
            </w:tcBorders>
            <w:vAlign w:val="center"/>
          </w:tcPr>
          <w:p>
            <w:pPr>
              <w:spacing w:line="240" w:lineRule="exact"/>
              <w:jc w:val="center"/>
              <w:rPr>
                <w:rFonts w:hint="default" w:ascii="宋体" w:hAnsi="宋体"/>
                <w:color w:val="auto"/>
                <w:szCs w:val="21"/>
                <w:lang w:val="en-US" w:eastAsia="zh-CN"/>
              </w:rPr>
            </w:pPr>
            <w:r>
              <w:rPr>
                <w:rFonts w:hint="eastAsia" w:ascii="宋体" w:hAnsi="宋体"/>
                <w:b/>
                <w:bCs/>
                <w:color w:val="auto"/>
                <w:szCs w:val="21"/>
                <w:lang w:val="en-US" w:eastAsia="zh-CN"/>
              </w:rPr>
              <w:t>价格（总分20分）</w:t>
            </w:r>
          </w:p>
        </w:tc>
        <w:tc>
          <w:tcPr>
            <w:tcW w:w="1145" w:type="dxa"/>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hint="default" w:ascii="宋体" w:hAnsi="宋体"/>
                <w:color w:val="auto"/>
                <w:szCs w:val="21"/>
                <w:lang w:val="en-US" w:eastAsia="zh-CN"/>
              </w:rPr>
            </w:pPr>
            <w:r>
              <w:rPr>
                <w:rFonts w:hint="eastAsia" w:ascii="宋体" w:hAnsi="宋体"/>
                <w:color w:val="auto"/>
                <w:szCs w:val="21"/>
                <w:lang w:val="en-US" w:eastAsia="zh-CN"/>
              </w:rPr>
              <w:t>投标报价</w:t>
            </w:r>
          </w:p>
        </w:tc>
        <w:tc>
          <w:tcPr>
            <w:tcW w:w="1087" w:type="dxa"/>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hint="default" w:eastAsia="宋体"/>
                <w:color w:val="auto"/>
                <w:lang w:val="en-US" w:eastAsia="zh-CN"/>
              </w:rPr>
            </w:pPr>
            <w:r>
              <w:rPr>
                <w:rFonts w:hint="eastAsia"/>
                <w:color w:val="auto"/>
                <w:lang w:val="en-US" w:eastAsia="zh-CN"/>
              </w:rPr>
              <w:t>20</w:t>
            </w:r>
          </w:p>
        </w:tc>
        <w:tc>
          <w:tcPr>
            <w:tcW w:w="4485" w:type="dxa"/>
            <w:tcBorders>
              <w:top w:val="single" w:color="auto" w:sz="4" w:space="0"/>
              <w:left w:val="single" w:color="auto" w:sz="4" w:space="0"/>
              <w:bottom w:val="double" w:color="auto" w:sz="4" w:space="0"/>
              <w:right w:val="single" w:color="auto" w:sz="4" w:space="0"/>
            </w:tcBorders>
            <w:vAlign w:val="top"/>
          </w:tcPr>
          <w:p>
            <w:pPr>
              <w:wordWrap w:val="0"/>
              <w:snapToGrid w:val="0"/>
              <w:spacing w:line="240" w:lineRule="exact"/>
              <w:jc w:val="left"/>
              <w:rPr>
                <w:rFonts w:hint="default"/>
                <w:color w:val="auto"/>
                <w:szCs w:val="21"/>
              </w:rPr>
            </w:pPr>
            <w:r>
              <w:rPr>
                <w:rFonts w:hint="eastAsia"/>
                <w:color w:val="auto"/>
                <w:szCs w:val="21"/>
                <w:lang w:val="en-US" w:eastAsia="zh-CN"/>
              </w:rPr>
              <w:t>报价最低者得20分，其他按照</w:t>
            </w:r>
            <w:r>
              <w:rPr>
                <w:color w:val="auto"/>
                <w:szCs w:val="21"/>
              </w:rPr>
              <w:t>低价优先法计算</w:t>
            </w:r>
            <w:r>
              <w:rPr>
                <w:rFonts w:hint="eastAsia"/>
                <w:color w:val="auto"/>
                <w:szCs w:val="21"/>
                <w:lang w:val="en-US" w:eastAsia="zh-CN"/>
              </w:rPr>
              <w:t>得分。</w:t>
            </w:r>
            <w:r>
              <w:rPr>
                <w:rFonts w:hint="default"/>
                <w:color w:val="auto"/>
                <w:szCs w:val="21"/>
              </w:rPr>
              <w:t>价格分计算方法：采用低价优先法计算，即满足招标文件要求且投标价格最低的投标报价为评标基准价，其价格分为满分。其他投标单位的价格分统一按照下列公式计算：</w:t>
            </w:r>
          </w:p>
          <w:p>
            <w:pPr>
              <w:wordWrap w:val="0"/>
              <w:snapToGrid w:val="0"/>
              <w:spacing w:line="240" w:lineRule="exact"/>
              <w:jc w:val="left"/>
              <w:rPr>
                <w:rFonts w:hint="default" w:eastAsia="宋体"/>
                <w:color w:val="auto"/>
                <w:szCs w:val="21"/>
                <w:lang w:eastAsia="zh-CN"/>
              </w:rPr>
            </w:pPr>
            <w:r>
              <w:rPr>
                <w:rFonts w:hint="default"/>
                <w:color w:val="auto"/>
                <w:szCs w:val="21"/>
              </w:rPr>
              <w:t>投标报价得分=(评标基准价／投标报价)×100</w:t>
            </w:r>
          </w:p>
        </w:tc>
        <w:tc>
          <w:tcPr>
            <w:tcW w:w="1185" w:type="dxa"/>
            <w:tcBorders>
              <w:top w:val="single" w:color="auto" w:sz="4" w:space="0"/>
              <w:left w:val="single" w:color="auto" w:sz="4" w:space="0"/>
              <w:bottom w:val="double" w:color="auto" w:sz="4" w:space="0"/>
              <w:right w:val="double" w:color="auto" w:sz="4" w:space="0"/>
            </w:tcBorders>
            <w:vAlign w:val="center"/>
          </w:tcPr>
          <w:p>
            <w:pPr>
              <w:spacing w:line="240" w:lineRule="exact"/>
              <w:jc w:val="center"/>
              <w:rPr>
                <w:color w:val="auto"/>
              </w:rPr>
            </w:pPr>
          </w:p>
        </w:tc>
      </w:tr>
    </w:tbl>
    <w:p>
      <w:pPr>
        <w:widowControl/>
        <w:shd w:val="clear" w:color="auto" w:fill="FFFFFF"/>
        <w:adjustRightInd w:val="0"/>
        <w:snapToGrid w:val="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评标专家签名：                    评标日期：</w:t>
      </w:r>
    </w:p>
    <w:p>
      <w:pPr>
        <w:widowControl/>
        <w:shd w:val="clear" w:color="auto" w:fill="FFFFFF"/>
        <w:adjustRightInd w:val="0"/>
        <w:snapToGrid w:val="0"/>
        <w:rPr>
          <w:rFonts w:ascii="仿宋_GB2312" w:hAnsi="仿宋_GB2312" w:eastAsia="仿宋_GB2312" w:cs="仿宋_GB2312"/>
          <w:color w:val="auto"/>
          <w:kern w:val="0"/>
          <w:sz w:val="28"/>
          <w:szCs w:val="28"/>
        </w:rPr>
      </w:pPr>
    </w:p>
    <w:p>
      <w:pPr>
        <w:widowControl/>
        <w:shd w:val="clear" w:color="auto" w:fill="FFFFFF"/>
        <w:adjustRightInd w:val="0"/>
        <w:snapToGrid w:val="0"/>
        <w:rPr>
          <w:rFonts w:ascii="仿宋_GB2312" w:hAnsi="仿宋_GB2312" w:eastAsia="仿宋_GB2312" w:cs="仿宋_GB2312"/>
          <w:color w:val="auto"/>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kern w:val="0"/>
          <w:sz w:val="28"/>
          <w:szCs w:val="28"/>
        </w:rPr>
        <w:t>备注：有取值范围的，含上限值不含下限值。每一项的得分均不能超过该项最高分值；缺项则该项为0分或不合格为0分</w:t>
      </w:r>
    </w:p>
    <w:p>
      <w:pPr>
        <w:spacing w:before="240" w:after="60" w:line="312" w:lineRule="auto"/>
        <w:jc w:val="left"/>
        <w:rPr>
          <w:rFonts w:ascii="黑体" w:hAnsi="黑体" w:eastAsia="黑体"/>
          <w:b/>
          <w:bCs/>
          <w:color w:val="auto"/>
          <w:sz w:val="32"/>
          <w:szCs w:val="32"/>
        </w:rPr>
      </w:pPr>
      <w:r>
        <w:rPr>
          <w:rFonts w:hint="eastAsia" w:ascii="黑体" w:hAnsi="黑体" w:eastAsia="黑体"/>
          <w:b/>
          <w:bCs/>
          <w:color w:val="auto"/>
          <w:sz w:val="32"/>
          <w:szCs w:val="32"/>
        </w:rPr>
        <w:t>附件</w:t>
      </w:r>
      <w:r>
        <w:rPr>
          <w:rFonts w:hint="eastAsia" w:ascii="黑体" w:hAnsi="黑体" w:eastAsia="黑体"/>
          <w:b/>
          <w:bCs/>
          <w:color w:val="auto"/>
          <w:sz w:val="32"/>
          <w:szCs w:val="32"/>
          <w:lang w:val="en-US" w:eastAsia="zh-CN"/>
        </w:rPr>
        <w:t>2</w:t>
      </w:r>
      <w:r>
        <w:rPr>
          <w:rFonts w:hint="eastAsia" w:ascii="黑体" w:hAnsi="黑体" w:eastAsia="黑体"/>
          <w:b/>
          <w:bCs/>
          <w:color w:val="auto"/>
          <w:sz w:val="32"/>
          <w:szCs w:val="32"/>
        </w:rPr>
        <w:t>：</w:t>
      </w:r>
    </w:p>
    <w:p>
      <w:pPr>
        <w:pStyle w:val="3"/>
        <w:spacing w:before="120" w:after="120" w:line="600" w:lineRule="exact"/>
        <w:ind w:left="420" w:leftChars="200" w:firstLine="640"/>
        <w:jc w:val="center"/>
        <w:rPr>
          <w:rFonts w:ascii="宋体" w:hAnsi="宋体"/>
          <w:color w:val="auto"/>
        </w:rPr>
      </w:pPr>
      <w:r>
        <w:rPr>
          <w:rFonts w:hint="eastAsia" w:ascii="宋体" w:hAnsi="宋体"/>
          <w:color w:val="auto"/>
        </w:rPr>
        <w:t>招标文件响应声明书（模版）</w:t>
      </w:r>
    </w:p>
    <w:p>
      <w:pPr>
        <w:rPr>
          <w:color w:val="auto"/>
        </w:rPr>
      </w:pPr>
    </w:p>
    <w:p>
      <w:pPr>
        <w:autoSpaceDE w:val="0"/>
        <w:autoSpaceDN w:val="0"/>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u w:val="single"/>
        </w:rPr>
        <w:t>（招标人）</w:t>
      </w:r>
      <w:r>
        <w:rPr>
          <w:rFonts w:hint="eastAsia" w:ascii="仿宋_GB2312" w:hAnsi="仿宋_GB2312" w:eastAsia="仿宋_GB2312" w:cs="仿宋_GB2312"/>
          <w:color w:val="auto"/>
          <w:sz w:val="28"/>
          <w:szCs w:val="28"/>
        </w:rPr>
        <w:t>：</w:t>
      </w:r>
    </w:p>
    <w:p>
      <w:p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（投标单位全称） </w:t>
      </w: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u w:val="single"/>
        </w:rPr>
        <w:t xml:space="preserve"> （全名、职务）</w:t>
      </w:r>
      <w:r>
        <w:rPr>
          <w:rFonts w:hint="eastAsia" w:ascii="仿宋_GB2312" w:hAnsi="仿宋_GB2312" w:eastAsia="仿宋_GB2312" w:cs="仿宋_GB2312"/>
          <w:color w:val="auto"/>
          <w:sz w:val="28"/>
          <w:szCs w:val="28"/>
        </w:rPr>
        <w:t>为全权代表，参加贵方组织的</w:t>
      </w:r>
      <w:r>
        <w:rPr>
          <w:rFonts w:hint="eastAsia" w:ascii="仿宋_GB2312" w:hAnsi="仿宋_GB2312" w:eastAsia="仿宋_GB2312" w:cs="仿宋_GB2312"/>
          <w:color w:val="auto"/>
          <w:sz w:val="28"/>
          <w:szCs w:val="28"/>
          <w:u w:val="single"/>
        </w:rPr>
        <w:t>（      项目）</w:t>
      </w:r>
      <w:r>
        <w:rPr>
          <w:rFonts w:hint="eastAsia" w:ascii="仿宋_GB2312" w:hAnsi="仿宋_GB2312" w:eastAsia="仿宋_GB2312" w:cs="仿宋_GB2312"/>
          <w:color w:val="auto"/>
          <w:sz w:val="28"/>
          <w:szCs w:val="28"/>
        </w:rPr>
        <w:t>招标活动并投标，为此：</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我方已详细阅读了全部招标文件，包括修改文件（如有）及全部参考资料和附件。我们完全理解并同意放弃对这方面有不明及误解的权利。愿意接受招标文件中的各项要求。</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我方提供招标文件要求的全部资料，并保证真实性、合法性。</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若中标，我方将按照招标文件规定，履行合同责任和义务。</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询价响应书自开标日起有效期为15个工作日。</w:t>
      </w:r>
    </w:p>
    <w:p>
      <w:pPr>
        <w:numPr>
          <w:ilvl w:val="0"/>
          <w:numId w:val="1"/>
        </w:num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我方与本招标文件响应有关的一切正式往来通讯请寄：</w:t>
      </w:r>
    </w:p>
    <w:p>
      <w:pPr>
        <w:autoSpaceDE w:val="0"/>
        <w:autoSpaceDN w:val="0"/>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地址：邮编：</w:t>
      </w:r>
    </w:p>
    <w:p>
      <w:pPr>
        <w:autoSpaceDE w:val="0"/>
        <w:autoSpaceDN w:val="0"/>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电话：传真：</w:t>
      </w:r>
    </w:p>
    <w:p>
      <w:pPr>
        <w:autoSpaceDE w:val="0"/>
        <w:autoSpaceDN w:val="0"/>
        <w:adjustRightInd w:val="0"/>
        <w:snapToGrid w:val="0"/>
        <w:spacing w:line="300" w:lineRule="auto"/>
        <w:rPr>
          <w:rFonts w:ascii="仿宋_GB2312" w:hAnsi="仿宋_GB2312" w:eastAsia="仿宋_GB2312" w:cs="仿宋_GB2312"/>
          <w:color w:val="auto"/>
          <w:sz w:val="28"/>
          <w:szCs w:val="28"/>
        </w:rPr>
      </w:pPr>
    </w:p>
    <w:p>
      <w:pPr>
        <w:autoSpaceDE w:val="0"/>
        <w:autoSpaceDN w:val="0"/>
        <w:adjustRightInd w:val="0"/>
        <w:snapToGrid w:val="0"/>
        <w:spacing w:line="300" w:lineRule="auto"/>
        <w:rPr>
          <w:rFonts w:ascii="仿宋_GB2312" w:hAnsi="仿宋_GB2312" w:eastAsia="仿宋_GB2312" w:cs="仿宋_GB2312"/>
          <w:color w:val="auto"/>
          <w:sz w:val="28"/>
          <w:szCs w:val="28"/>
        </w:rPr>
      </w:pPr>
    </w:p>
    <w:p>
      <w:p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投标单位名称（公章）：</w:t>
      </w:r>
    </w:p>
    <w:p>
      <w:p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授权代表签字：</w:t>
      </w:r>
    </w:p>
    <w:p>
      <w:pPr>
        <w:autoSpaceDE w:val="0"/>
        <w:autoSpaceDN w:val="0"/>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投标响应日期：  年  月  日</w:t>
      </w:r>
    </w:p>
    <w:p>
      <w:pPr>
        <w:pStyle w:val="3"/>
        <w:spacing w:before="120" w:after="120" w:line="600" w:lineRule="exact"/>
        <w:ind w:left="420" w:leftChars="200" w:firstLine="640"/>
        <w:jc w:val="center"/>
        <w:rPr>
          <w:rFonts w:ascii="仿宋_GB2312" w:hAnsi="仿宋_GB2312" w:eastAsia="仿宋_GB2312" w:cs="仿宋_GB2312"/>
          <w:color w:val="auto"/>
        </w:rPr>
      </w:pPr>
    </w:p>
    <w:p>
      <w:pPr>
        <w:rPr>
          <w:rFonts w:ascii="仿宋_GB2312" w:hAnsi="仿宋_GB2312" w:eastAsia="仿宋_GB2312" w:cs="仿宋_GB2312"/>
          <w:color w:val="auto"/>
        </w:rPr>
      </w:pPr>
    </w:p>
    <w:p>
      <w:pPr>
        <w:rPr>
          <w:rFonts w:ascii="仿宋_GB2312" w:hAnsi="仿宋_GB2312" w:eastAsia="仿宋_GB2312" w:cs="仿宋_GB2312"/>
          <w:color w:val="auto"/>
        </w:rPr>
      </w:pPr>
    </w:p>
    <w:p>
      <w:pPr>
        <w:rPr>
          <w:rFonts w:ascii="仿宋_GB2312" w:hAnsi="仿宋_GB2312" w:eastAsia="仿宋_GB2312" w:cs="仿宋_GB2312"/>
          <w:color w:val="auto"/>
        </w:rPr>
      </w:pPr>
    </w:p>
    <w:p>
      <w:pPr>
        <w:rPr>
          <w:color w:val="auto"/>
        </w:rPr>
      </w:pPr>
    </w:p>
    <w:p>
      <w:pPr>
        <w:rPr>
          <w:color w:val="auto"/>
        </w:rPr>
      </w:pPr>
      <w:r>
        <w:rPr>
          <w:color w:val="auto"/>
        </w:rPr>
        <w:br w:type="page"/>
      </w:r>
    </w:p>
    <w:p>
      <w:pPr>
        <w:spacing w:before="240" w:after="60" w:line="312" w:lineRule="auto"/>
        <w:jc w:val="left"/>
        <w:rPr>
          <w:rFonts w:ascii="黑体" w:hAnsi="黑体" w:eastAsia="黑体"/>
          <w:b/>
          <w:bCs/>
          <w:color w:val="auto"/>
          <w:sz w:val="32"/>
          <w:szCs w:val="32"/>
        </w:rPr>
      </w:pPr>
      <w:r>
        <w:rPr>
          <w:rFonts w:hint="eastAsia" w:ascii="黑体" w:hAnsi="黑体" w:eastAsia="黑体"/>
          <w:b/>
          <w:bCs/>
          <w:color w:val="auto"/>
          <w:sz w:val="32"/>
          <w:szCs w:val="32"/>
        </w:rPr>
        <w:t>附件</w:t>
      </w:r>
      <w:r>
        <w:rPr>
          <w:rFonts w:hint="eastAsia" w:ascii="黑体" w:hAnsi="黑体" w:eastAsia="黑体"/>
          <w:b/>
          <w:bCs/>
          <w:color w:val="auto"/>
          <w:sz w:val="32"/>
          <w:szCs w:val="32"/>
          <w:lang w:val="en-US" w:eastAsia="zh-CN"/>
        </w:rPr>
        <w:t>3</w:t>
      </w:r>
      <w:r>
        <w:rPr>
          <w:rFonts w:hint="eastAsia" w:ascii="黑体" w:hAnsi="黑体" w:eastAsia="黑体"/>
          <w:b/>
          <w:bCs/>
          <w:color w:val="auto"/>
          <w:sz w:val="32"/>
          <w:szCs w:val="32"/>
        </w:rPr>
        <w:t>：</w:t>
      </w:r>
    </w:p>
    <w:p>
      <w:pPr>
        <w:pStyle w:val="3"/>
        <w:spacing w:before="120" w:after="120" w:line="600" w:lineRule="exact"/>
        <w:ind w:left="420" w:leftChars="200" w:firstLine="640"/>
        <w:jc w:val="center"/>
        <w:rPr>
          <w:rFonts w:ascii="宋体" w:hAnsi="宋体"/>
          <w:color w:val="auto"/>
        </w:rPr>
      </w:pPr>
      <w:r>
        <w:rPr>
          <w:rFonts w:hint="eastAsia" w:ascii="宋体" w:hAnsi="宋体"/>
          <w:color w:val="auto"/>
        </w:rPr>
        <w:t>投标一览表</w:t>
      </w:r>
    </w:p>
    <w:p>
      <w:pPr>
        <w:spacing w:line="600" w:lineRule="exact"/>
        <w:ind w:left="420" w:leftChars="200"/>
        <w:rPr>
          <w:rStyle w:val="12"/>
          <w:rFonts w:ascii="仿宋_GB2312" w:hAnsi="仿宋_GB2312" w:eastAsia="仿宋_GB2312" w:cs="仿宋_GB2312"/>
          <w:color w:val="auto"/>
          <w:sz w:val="24"/>
          <w:u w:val="single"/>
        </w:rPr>
      </w:pPr>
      <w:r>
        <w:rPr>
          <w:rStyle w:val="12"/>
          <w:rFonts w:hint="eastAsia" w:ascii="仿宋_GB2312" w:hAnsi="仿宋_GB2312" w:eastAsia="仿宋_GB2312" w:cs="仿宋_GB2312"/>
          <w:color w:val="auto"/>
          <w:sz w:val="24"/>
        </w:rPr>
        <w:t xml:space="preserve">项目名称： </w:t>
      </w:r>
    </w:p>
    <w:p>
      <w:pPr>
        <w:spacing w:line="600" w:lineRule="exact"/>
        <w:ind w:left="420" w:leftChars="200"/>
        <w:rPr>
          <w:rStyle w:val="12"/>
          <w:rFonts w:ascii="仿宋_GB2312" w:hAnsi="仿宋_GB2312" w:eastAsia="仿宋_GB2312" w:cs="仿宋_GB2312"/>
          <w:color w:val="auto"/>
          <w:sz w:val="24"/>
          <w:u w:val="single"/>
        </w:rPr>
      </w:pPr>
      <w:r>
        <w:rPr>
          <w:rStyle w:val="12"/>
          <w:rFonts w:hint="eastAsia" w:ascii="仿宋_GB2312" w:hAnsi="仿宋_GB2312" w:eastAsia="仿宋_GB2312" w:cs="仿宋_GB2312"/>
          <w:color w:val="auto"/>
          <w:sz w:val="24"/>
        </w:rPr>
        <w:t xml:space="preserve">投标人名称 ： </w:t>
      </w:r>
    </w:p>
    <w:p>
      <w:pPr>
        <w:spacing w:line="360" w:lineRule="auto"/>
        <w:ind w:left="420" w:leftChars="200"/>
        <w:rPr>
          <w:rStyle w:val="12"/>
          <w:rFonts w:ascii="仿宋_GB2312" w:hAnsi="仿宋_GB2312" w:eastAsia="仿宋_GB2312" w:cs="仿宋_GB2312"/>
          <w:color w:val="auto"/>
        </w:rPr>
      </w:pPr>
    </w:p>
    <w:tbl>
      <w:tblPr>
        <w:tblStyle w:val="8"/>
        <w:tblW w:w="8604" w:type="dxa"/>
        <w:jc w:val="center"/>
        <w:tblLayout w:type="fixed"/>
        <w:tblCellMar>
          <w:top w:w="0" w:type="dxa"/>
          <w:left w:w="108" w:type="dxa"/>
          <w:bottom w:w="0" w:type="dxa"/>
          <w:right w:w="108" w:type="dxa"/>
        </w:tblCellMar>
      </w:tblPr>
      <w:tblGrid>
        <w:gridCol w:w="4802"/>
        <w:gridCol w:w="1783"/>
        <w:gridCol w:w="2019"/>
      </w:tblGrid>
      <w:tr>
        <w:tblPrEx>
          <w:tblCellMar>
            <w:top w:w="0" w:type="dxa"/>
            <w:left w:w="108" w:type="dxa"/>
            <w:bottom w:w="0" w:type="dxa"/>
            <w:right w:w="108" w:type="dxa"/>
          </w:tblCellMar>
        </w:tblPrEx>
        <w:trPr>
          <w:cantSplit/>
          <w:trHeight w:val="713"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12"/>
                <w:rFonts w:ascii="仿宋_GB2312" w:hAnsi="仿宋_GB2312" w:eastAsia="仿宋_GB2312" w:cs="仿宋_GB2312"/>
                <w:color w:val="auto"/>
                <w:sz w:val="24"/>
              </w:rPr>
            </w:pPr>
            <w:r>
              <w:rPr>
                <w:rStyle w:val="12"/>
                <w:rFonts w:hint="eastAsia" w:ascii="仿宋_GB2312" w:hAnsi="仿宋_GB2312" w:eastAsia="仿宋_GB2312" w:cs="仿宋_GB2312"/>
                <w:color w:val="auto"/>
                <w:sz w:val="24"/>
              </w:rPr>
              <w:t>项目名称</w:t>
            </w:r>
          </w:p>
        </w:tc>
        <w:tc>
          <w:tcPr>
            <w:tcW w:w="1783" w:type="dxa"/>
            <w:tcBorders>
              <w:top w:val="single" w:color="auto" w:sz="4" w:space="0"/>
              <w:left w:val="nil"/>
              <w:bottom w:val="single" w:color="auto" w:sz="4" w:space="0"/>
              <w:right w:val="single" w:color="auto" w:sz="4" w:space="0"/>
            </w:tcBorders>
            <w:vAlign w:val="center"/>
          </w:tcPr>
          <w:p>
            <w:pPr>
              <w:spacing w:line="400" w:lineRule="exact"/>
              <w:jc w:val="center"/>
              <w:rPr>
                <w:rStyle w:val="12"/>
                <w:rFonts w:ascii="仿宋_GB2312" w:hAnsi="仿宋_GB2312" w:eastAsia="仿宋_GB2312" w:cs="仿宋_GB2312"/>
                <w:color w:val="auto"/>
                <w:sz w:val="24"/>
              </w:rPr>
            </w:pPr>
            <w:r>
              <w:rPr>
                <w:rStyle w:val="12"/>
                <w:rFonts w:hint="eastAsia" w:ascii="仿宋_GB2312" w:hAnsi="仿宋_GB2312" w:eastAsia="仿宋_GB2312" w:cs="仿宋_GB2312"/>
                <w:color w:val="auto"/>
                <w:sz w:val="24"/>
              </w:rPr>
              <w:t>投标总价</w:t>
            </w:r>
          </w:p>
        </w:tc>
        <w:tc>
          <w:tcPr>
            <w:tcW w:w="2019" w:type="dxa"/>
            <w:tcBorders>
              <w:top w:val="single" w:color="auto" w:sz="4" w:space="0"/>
              <w:left w:val="nil"/>
              <w:bottom w:val="single" w:color="auto" w:sz="4" w:space="0"/>
              <w:right w:val="single" w:color="auto" w:sz="4" w:space="0"/>
            </w:tcBorders>
            <w:vAlign w:val="center"/>
          </w:tcPr>
          <w:p>
            <w:pPr>
              <w:spacing w:line="400" w:lineRule="exact"/>
              <w:jc w:val="center"/>
              <w:rPr>
                <w:rStyle w:val="12"/>
                <w:rFonts w:ascii="仿宋_GB2312" w:hAnsi="仿宋_GB2312" w:eastAsia="仿宋_GB2312" w:cs="仿宋_GB2312"/>
                <w:color w:val="auto"/>
                <w:sz w:val="24"/>
              </w:rPr>
            </w:pPr>
            <w:r>
              <w:rPr>
                <w:rStyle w:val="12"/>
                <w:rFonts w:hint="eastAsia" w:ascii="仿宋_GB2312" w:hAnsi="仿宋_GB2312" w:eastAsia="仿宋_GB2312" w:cs="仿宋_GB2312"/>
                <w:color w:val="auto"/>
                <w:sz w:val="24"/>
              </w:rPr>
              <w:t>备注</w:t>
            </w:r>
          </w:p>
        </w:tc>
      </w:tr>
      <w:tr>
        <w:tblPrEx>
          <w:tblCellMar>
            <w:top w:w="0" w:type="dxa"/>
            <w:left w:w="108" w:type="dxa"/>
            <w:bottom w:w="0" w:type="dxa"/>
            <w:right w:w="108" w:type="dxa"/>
          </w:tblCellMar>
        </w:tblPrEx>
        <w:trPr>
          <w:cantSplit/>
          <w:trHeight w:val="762" w:hRule="atLeast"/>
          <w:jc w:val="center"/>
        </w:trPr>
        <w:tc>
          <w:tcPr>
            <w:tcW w:w="48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vAlign w:val="center"/>
          </w:tcPr>
          <w:p>
            <w:pPr>
              <w:spacing w:line="400" w:lineRule="exact"/>
              <w:ind w:firstLine="480" w:firstLineChars="200"/>
              <w:jc w:val="center"/>
              <w:rPr>
                <w:rFonts w:ascii="仿宋_GB2312" w:hAnsi="仿宋_GB2312" w:eastAsia="仿宋_GB2312" w:cs="仿宋_GB2312"/>
                <w:color w:val="auto"/>
                <w:sz w:val="24"/>
              </w:rPr>
            </w:pPr>
          </w:p>
        </w:tc>
        <w:tc>
          <w:tcPr>
            <w:tcW w:w="2019" w:type="dxa"/>
            <w:tcBorders>
              <w:top w:val="single" w:color="auto" w:sz="4" w:space="0"/>
              <w:left w:val="nil"/>
              <w:bottom w:val="single" w:color="auto" w:sz="4" w:space="0"/>
              <w:right w:val="single" w:color="auto" w:sz="4" w:space="0"/>
            </w:tcBorders>
            <w:vAlign w:val="center"/>
          </w:tcPr>
          <w:p>
            <w:pPr>
              <w:spacing w:line="400" w:lineRule="exact"/>
              <w:ind w:firstLine="480" w:firstLineChars="200"/>
              <w:jc w:val="center"/>
              <w:rPr>
                <w:rFonts w:ascii="仿宋_GB2312" w:hAnsi="仿宋_GB2312" w:eastAsia="仿宋_GB2312" w:cs="仿宋_GB2312"/>
                <w:color w:val="auto"/>
                <w:sz w:val="24"/>
              </w:rPr>
            </w:pPr>
          </w:p>
        </w:tc>
      </w:tr>
    </w:tbl>
    <w:p>
      <w:pPr>
        <w:spacing w:line="360" w:lineRule="auto"/>
        <w:ind w:left="420" w:leftChars="200"/>
        <w:rPr>
          <w:rFonts w:ascii="仿宋_GB2312" w:hAnsi="仿宋_GB2312" w:eastAsia="仿宋_GB2312" w:cs="仿宋_GB2312"/>
          <w:color w:val="auto"/>
        </w:rPr>
      </w:pPr>
    </w:p>
    <w:p>
      <w:pPr>
        <w:spacing w:line="360" w:lineRule="auto"/>
        <w:ind w:left="420" w:leftChars="200"/>
        <w:rPr>
          <w:rFonts w:ascii="仿宋_GB2312" w:hAnsi="仿宋_GB2312" w:eastAsia="仿宋_GB2312" w:cs="仿宋_GB2312"/>
          <w:color w:val="auto"/>
        </w:rPr>
      </w:pPr>
    </w:p>
    <w:p>
      <w:pPr>
        <w:spacing w:line="360" w:lineRule="auto"/>
        <w:ind w:left="420" w:leftChars="200"/>
        <w:rPr>
          <w:rFonts w:ascii="仿宋_GB2312" w:hAnsi="仿宋_GB2312" w:eastAsia="仿宋_GB2312" w:cs="仿宋_GB2312"/>
          <w:color w:val="auto"/>
        </w:rPr>
      </w:pPr>
    </w:p>
    <w:p>
      <w:pPr>
        <w:spacing w:line="360" w:lineRule="exact"/>
        <w:ind w:left="420" w:leftChars="200"/>
        <w:rPr>
          <w:rStyle w:val="12"/>
          <w:rFonts w:ascii="仿宋_GB2312" w:hAnsi="仿宋_GB2312" w:eastAsia="仿宋_GB2312" w:cs="仿宋_GB2312"/>
          <w:color w:val="auto"/>
          <w:sz w:val="24"/>
          <w:u w:val="single"/>
        </w:rPr>
      </w:pPr>
      <w:r>
        <w:rPr>
          <w:rStyle w:val="12"/>
          <w:rFonts w:hint="eastAsia" w:ascii="仿宋_GB2312" w:hAnsi="仿宋_GB2312" w:eastAsia="仿宋_GB2312" w:cs="仿宋_GB2312"/>
          <w:color w:val="auto"/>
          <w:sz w:val="24"/>
        </w:rPr>
        <w:t xml:space="preserve">投标人代表签字:                        单位盖章：  </w:t>
      </w:r>
    </w:p>
    <w:p>
      <w:pPr>
        <w:spacing w:line="360" w:lineRule="auto"/>
        <w:ind w:left="420" w:leftChars="200"/>
        <w:rPr>
          <w:rFonts w:ascii="仿宋_GB2312" w:hAnsi="仿宋_GB2312" w:eastAsia="仿宋_GB2312" w:cs="仿宋_GB2312"/>
          <w:color w:val="auto"/>
        </w:rPr>
      </w:pPr>
    </w:p>
    <w:p>
      <w:pPr>
        <w:ind w:left="420" w:leftChars="200"/>
        <w:rPr>
          <w:rFonts w:ascii="仿宋_GB2312" w:hAnsi="仿宋_GB2312" w:eastAsia="仿宋_GB2312" w:cs="仿宋_GB2312"/>
          <w:color w:val="auto"/>
        </w:rPr>
      </w:pPr>
    </w:p>
    <w:p>
      <w:pPr>
        <w:ind w:left="779" w:leftChars="371"/>
        <w:jc w:val="center"/>
        <w:rPr>
          <w:rStyle w:val="12"/>
          <w:rFonts w:ascii="MS Shell Dlg" w:hAnsi="MS Shell Dlg" w:cs="MS Shell Dlg"/>
          <w:color w:val="auto"/>
          <w:sz w:val="28"/>
          <w:szCs w:val="28"/>
        </w:rPr>
      </w:pPr>
    </w:p>
    <w:p>
      <w:pPr>
        <w:spacing w:before="240" w:after="60" w:line="312" w:lineRule="auto"/>
        <w:jc w:val="left"/>
        <w:rPr>
          <w:rFonts w:ascii="黑体" w:hAnsi="黑体" w:eastAsia="黑体"/>
          <w:b/>
          <w:bCs/>
          <w:color w:val="auto"/>
          <w:sz w:val="32"/>
          <w:szCs w:val="32"/>
        </w:rPr>
      </w:pPr>
      <w:r>
        <w:rPr>
          <w:rFonts w:ascii="楷体_GB2312" w:hAnsi="宋体"/>
          <w:color w:val="auto"/>
        </w:rPr>
        <w:br w:type="page"/>
      </w:r>
      <w:r>
        <w:rPr>
          <w:rFonts w:hint="eastAsia" w:ascii="黑体" w:hAnsi="黑体" w:eastAsia="黑体"/>
          <w:b/>
          <w:bCs/>
          <w:color w:val="auto"/>
          <w:sz w:val="32"/>
          <w:szCs w:val="32"/>
        </w:rPr>
        <w:t>附件</w:t>
      </w:r>
      <w:r>
        <w:rPr>
          <w:rFonts w:hint="eastAsia" w:ascii="黑体" w:hAnsi="黑体" w:eastAsia="黑体"/>
          <w:b/>
          <w:bCs/>
          <w:color w:val="auto"/>
          <w:sz w:val="32"/>
          <w:szCs w:val="32"/>
          <w:lang w:val="en-US" w:eastAsia="zh-CN"/>
        </w:rPr>
        <w:t>4</w:t>
      </w:r>
      <w:r>
        <w:rPr>
          <w:rFonts w:hint="eastAsia" w:ascii="黑体" w:hAnsi="黑体" w:eastAsia="黑体"/>
          <w:b/>
          <w:bCs/>
          <w:color w:val="auto"/>
          <w:sz w:val="32"/>
          <w:szCs w:val="32"/>
        </w:rPr>
        <w:t>：</w:t>
      </w:r>
    </w:p>
    <w:p>
      <w:pPr>
        <w:pStyle w:val="3"/>
        <w:spacing w:before="120" w:after="120" w:line="600" w:lineRule="exact"/>
        <w:ind w:firstLine="640"/>
        <w:jc w:val="center"/>
        <w:rPr>
          <w:rFonts w:ascii="宋体" w:hAnsi="宋体"/>
          <w:color w:val="auto"/>
        </w:rPr>
      </w:pPr>
      <w:r>
        <w:rPr>
          <w:rFonts w:hint="eastAsia" w:ascii="宋体" w:hAnsi="宋体"/>
          <w:color w:val="auto"/>
        </w:rPr>
        <w:t>投标人及</w:t>
      </w:r>
      <w:r>
        <w:rPr>
          <w:rFonts w:hint="eastAsia" w:ascii="宋体" w:hAnsi="宋体"/>
          <w:color w:val="auto"/>
          <w:lang w:val="en-US" w:eastAsia="zh-CN"/>
        </w:rPr>
        <w:t>服务</w:t>
      </w:r>
      <w:r>
        <w:rPr>
          <w:rFonts w:hint="eastAsia" w:ascii="宋体" w:hAnsi="宋体"/>
          <w:color w:val="auto"/>
        </w:rPr>
        <w:t>人员资格证明文件</w:t>
      </w:r>
    </w:p>
    <w:p>
      <w:pPr>
        <w:jc w:val="center"/>
        <w:rPr>
          <w:b/>
          <w:bCs/>
          <w:color w:val="auto"/>
          <w:sz w:val="28"/>
          <w:szCs w:val="28"/>
        </w:rPr>
      </w:pPr>
    </w:p>
    <w:p>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1.投标单位执业许可证复印件；</w:t>
      </w:r>
    </w:p>
    <w:p>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2.深圳市政府采购网投标资格或深圳市政府采购供应商资格证明文件；</w:t>
      </w:r>
    </w:p>
    <w:p>
      <w:pPr>
        <w:spacing w:line="50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3.法定代表人身份证明书、法定代表人授权委托书</w:t>
      </w:r>
      <w:r>
        <w:rPr>
          <w:rFonts w:hint="eastAsia" w:ascii="仿宋_GB2312" w:hAnsi="仿宋_GB2312" w:eastAsia="仿宋_GB2312" w:cs="仿宋_GB2312"/>
          <w:color w:val="auto"/>
          <w:sz w:val="28"/>
          <w:szCs w:val="28"/>
          <w:lang w:eastAsia="zh-CN"/>
        </w:rPr>
        <w:t>；</w:t>
      </w:r>
    </w:p>
    <w:p>
      <w:pPr>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4.项目负责人的资格证明文件</w:t>
      </w:r>
    </w:p>
    <w:p>
      <w:pPr>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5.主办人员的资格证明文件；</w:t>
      </w:r>
    </w:p>
    <w:p>
      <w:pPr>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6.专职人员的资格证明文件；</w:t>
      </w:r>
    </w:p>
    <w:p>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7.招标文件要求的其他资格证明文件。</w:t>
      </w:r>
    </w:p>
    <w:p>
      <w:pPr>
        <w:spacing w:line="500" w:lineRule="exact"/>
        <w:rPr>
          <w:rFonts w:hint="eastAsia" w:ascii="仿宋_GB2312" w:hAnsi="仿宋_GB2312" w:eastAsia="仿宋_GB2312" w:cs="仿宋_GB2312"/>
          <w:color w:val="auto"/>
          <w:sz w:val="28"/>
          <w:szCs w:val="28"/>
          <w:lang w:eastAsia="zh-CN"/>
        </w:rPr>
      </w:pP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投标人代表签字:</w:t>
      </w:r>
    </w:p>
    <w:p>
      <w:pPr>
        <w:spacing w:line="500" w:lineRule="exact"/>
        <w:rPr>
          <w:rFonts w:ascii="仿宋_GB2312" w:hAnsi="仿宋_GB2312" w:eastAsia="仿宋_GB2312" w:cs="仿宋_GB2312"/>
          <w:color w:val="auto"/>
          <w:sz w:val="28"/>
          <w:szCs w:val="28"/>
        </w:rPr>
      </w:pPr>
    </w:p>
    <w:p>
      <w:pPr>
        <w:spacing w:line="500" w:lineRule="exac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单位盖章：</w:t>
      </w:r>
    </w:p>
    <w:p>
      <w:pPr>
        <w:spacing w:line="360" w:lineRule="auto"/>
        <w:rPr>
          <w:rFonts w:ascii="仿宋" w:hAnsi="仿宋" w:eastAsia="仿宋"/>
          <w:color w:val="auto"/>
          <w:kern w:val="0"/>
        </w:rPr>
      </w:pPr>
    </w:p>
    <w:p>
      <w:pPr>
        <w:rPr>
          <w:rFonts w:ascii="仿宋" w:hAnsi="仿宋" w:eastAsia="仿宋"/>
          <w:color w:val="auto"/>
        </w:rPr>
      </w:pPr>
    </w:p>
    <w:p>
      <w:pPr>
        <w:rPr>
          <w:rFonts w:ascii="仿宋" w:hAnsi="仿宋" w:eastAsia="仿宋"/>
          <w:color w:val="auto"/>
        </w:rPr>
      </w:pPr>
    </w:p>
    <w:p>
      <w:pPr>
        <w:rPr>
          <w:color w:val="auto"/>
        </w:rPr>
      </w:pPr>
    </w:p>
    <w:p>
      <w:pPr>
        <w:rPr>
          <w:color w:val="auto"/>
        </w:rPr>
      </w:pPr>
    </w:p>
    <w:p>
      <w:pPr>
        <w:rPr>
          <w:color w:val="auto"/>
        </w:rPr>
      </w:pPr>
    </w:p>
    <w:p>
      <w:pPr>
        <w:spacing w:line="360" w:lineRule="auto"/>
        <w:jc w:val="center"/>
        <w:rPr>
          <w:rFonts w:ascii="宋体" w:hAnsi="宋体"/>
          <w:color w:val="auto"/>
        </w:rPr>
      </w:pPr>
      <w:r>
        <w:rPr>
          <w:rFonts w:ascii="楷体_GB2312" w:hAnsi="宋体"/>
          <w:color w:val="auto"/>
        </w:rPr>
        <w:br w:type="page"/>
      </w:r>
    </w:p>
    <w:p>
      <w:pPr>
        <w:spacing w:before="240" w:after="60" w:line="312" w:lineRule="auto"/>
        <w:jc w:val="left"/>
        <w:rPr>
          <w:rFonts w:ascii="黑体" w:hAnsi="黑体" w:eastAsia="黑体"/>
          <w:b/>
          <w:bCs/>
          <w:color w:val="auto"/>
          <w:sz w:val="32"/>
          <w:szCs w:val="32"/>
        </w:rPr>
      </w:pPr>
      <w:r>
        <w:rPr>
          <w:rFonts w:hint="eastAsia" w:ascii="黑体" w:hAnsi="黑体" w:eastAsia="黑体"/>
          <w:b/>
          <w:bCs/>
          <w:color w:val="auto"/>
          <w:sz w:val="32"/>
          <w:szCs w:val="32"/>
        </w:rPr>
        <w:t>附件</w:t>
      </w:r>
      <w:r>
        <w:rPr>
          <w:rFonts w:hint="eastAsia" w:ascii="黑体" w:hAnsi="黑体" w:eastAsia="黑体"/>
          <w:b/>
          <w:bCs/>
          <w:color w:val="auto"/>
          <w:sz w:val="32"/>
          <w:szCs w:val="32"/>
          <w:lang w:val="en-US" w:eastAsia="zh-CN"/>
        </w:rPr>
        <w:t>5</w:t>
      </w:r>
      <w:r>
        <w:rPr>
          <w:rFonts w:hint="eastAsia" w:ascii="黑体" w:hAnsi="黑体" w:eastAsia="黑体"/>
          <w:b/>
          <w:bCs/>
          <w:color w:val="auto"/>
          <w:sz w:val="32"/>
          <w:szCs w:val="32"/>
        </w:rPr>
        <w:t>：</w:t>
      </w:r>
    </w:p>
    <w:p>
      <w:pPr>
        <w:pStyle w:val="3"/>
        <w:spacing w:before="120" w:after="120" w:line="600" w:lineRule="exact"/>
        <w:ind w:firstLine="0" w:firstLineChars="0"/>
        <w:jc w:val="center"/>
        <w:rPr>
          <w:rFonts w:ascii="宋体" w:hAnsi="宋体"/>
          <w:color w:val="auto"/>
        </w:rPr>
      </w:pPr>
      <w:r>
        <w:rPr>
          <w:rFonts w:hint="eastAsia" w:ascii="宋体" w:hAnsi="宋体"/>
          <w:color w:val="auto"/>
        </w:rPr>
        <w:t>投标承诺函</w:t>
      </w:r>
    </w:p>
    <w:p>
      <w:pPr>
        <w:pStyle w:val="3"/>
        <w:spacing w:before="120" w:after="120" w:line="600" w:lineRule="exact"/>
        <w:ind w:firstLine="640"/>
        <w:jc w:val="center"/>
        <w:rPr>
          <w:rFonts w:ascii="宋体" w:hAnsi="宋体"/>
          <w:color w:val="auto"/>
        </w:rPr>
      </w:pPr>
      <w:r>
        <w:rPr>
          <w:rFonts w:hint="eastAsia" w:ascii="宋体" w:hAnsi="宋体"/>
          <w:color w:val="auto"/>
        </w:rPr>
        <w:t>（可自行补充服务质量承诺内容）</w:t>
      </w:r>
    </w:p>
    <w:p>
      <w:pPr>
        <w:jc w:val="center"/>
        <w:rPr>
          <w:b/>
          <w:bCs/>
          <w:color w:val="auto"/>
          <w:sz w:val="28"/>
          <w:szCs w:val="28"/>
        </w:rPr>
      </w:pPr>
    </w:p>
    <w:p>
      <w:pPr>
        <w:jc w:val="left"/>
        <w:rPr>
          <w:rFonts w:hint="default" w:ascii="仿宋" w:hAnsi="仿宋" w:eastAsia="仿宋"/>
          <w:b/>
          <w:bCs/>
          <w:color w:val="auto"/>
          <w:sz w:val="24"/>
          <w:lang w:eastAsia="zh-CN"/>
        </w:rPr>
      </w:pPr>
      <w:r>
        <w:rPr>
          <w:rFonts w:hint="eastAsia" w:ascii="仿宋" w:hAnsi="仿宋" w:eastAsia="仿宋"/>
          <w:b/>
          <w:bCs/>
          <w:color w:val="auto"/>
          <w:sz w:val="24"/>
        </w:rPr>
        <w:t>致：深圳市南山</w:t>
      </w:r>
      <w:r>
        <w:rPr>
          <w:rFonts w:hint="eastAsia" w:ascii="仿宋" w:hAnsi="仿宋" w:eastAsia="仿宋"/>
          <w:b/>
          <w:bCs/>
          <w:color w:val="auto"/>
          <w:sz w:val="24"/>
          <w:lang w:val="en-US" w:eastAsia="zh-CN"/>
        </w:rPr>
        <w:t>区</w:t>
      </w:r>
      <w:r>
        <w:rPr>
          <w:rFonts w:hint="default" w:ascii="仿宋" w:hAnsi="仿宋" w:eastAsia="仿宋"/>
          <w:b/>
          <w:bCs/>
          <w:color w:val="auto"/>
          <w:sz w:val="24"/>
          <w:lang w:eastAsia="zh-CN"/>
        </w:rPr>
        <w:t>住宅保障</w:t>
      </w:r>
      <w:r>
        <w:rPr>
          <w:rFonts w:hint="eastAsia" w:ascii="仿宋" w:hAnsi="仿宋" w:eastAsia="仿宋"/>
          <w:b/>
          <w:bCs/>
          <w:color w:val="auto"/>
          <w:sz w:val="24"/>
          <w:lang w:eastAsia="zh-CN"/>
        </w:rPr>
        <w:t>中心</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rPr>
        <w:t>我单位参加</w:t>
      </w:r>
      <w:r>
        <w:rPr>
          <w:rFonts w:hint="default" w:ascii="仿宋_GB2312" w:hAnsi="仿宋_GB2312" w:eastAsia="仿宋_GB2312" w:cs="仿宋_GB2312"/>
          <w:color w:val="auto"/>
          <w:sz w:val="24"/>
        </w:rPr>
        <w:t>贵单位</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32"/>
          <w:szCs w:val="32"/>
        </w:rPr>
        <w:t>XXXXXXXXXXXXXXXXXXXX</w:t>
      </w:r>
      <w:r>
        <w:rPr>
          <w:rFonts w:hint="eastAsia" w:ascii="仿宋_GB2312" w:hAnsi="仿宋_GB2312" w:eastAsia="仿宋_GB2312" w:cs="仿宋_GB2312"/>
          <w:color w:val="auto"/>
          <w:sz w:val="24"/>
        </w:rPr>
        <w:t xml:space="preserve"> ”投标，在此郑重承诺：</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rPr>
        <w:t>我单位近</w:t>
      </w:r>
      <w:r>
        <w:rPr>
          <w:rFonts w:hint="default" w:ascii="仿宋_GB2312" w:hAnsi="仿宋_GB2312" w:eastAsia="仿宋_GB2312" w:cs="仿宋_GB2312"/>
          <w:color w:val="auto"/>
          <w:sz w:val="24"/>
        </w:rPr>
        <w:t>三</w:t>
      </w:r>
      <w:r>
        <w:rPr>
          <w:rFonts w:hint="eastAsia" w:ascii="仿宋_GB2312" w:hAnsi="仿宋_GB2312" w:eastAsia="仿宋_GB2312" w:cs="仿宋_GB2312"/>
          <w:color w:val="auto"/>
          <w:sz w:val="24"/>
        </w:rPr>
        <w:t>年无违法违规行为，无行为处罚、惩戒等不良执业记录及不良反映，业内拥有良好的声誉。</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rPr>
        <w:t>如我单位中标，将严格遵守以下承诺：</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1、按时完成本服务项目，提供项目所需的充足人力及其他资源保障，保证服务质量。</w:t>
      </w:r>
    </w:p>
    <w:p>
      <w:pPr>
        <w:spacing w:line="500" w:lineRule="exact"/>
        <w:ind w:firstLine="525"/>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2、贵</w:t>
      </w:r>
      <w:r>
        <w:rPr>
          <w:rFonts w:hint="default" w:ascii="仿宋_GB2312" w:hAnsi="仿宋_GB2312" w:eastAsia="仿宋_GB2312" w:cs="仿宋_GB2312"/>
          <w:color w:val="auto"/>
          <w:sz w:val="24"/>
          <w:lang w:eastAsia="zh-CN"/>
        </w:rPr>
        <w:t>单位</w:t>
      </w:r>
      <w:r>
        <w:rPr>
          <w:rFonts w:hint="eastAsia" w:ascii="仿宋_GB2312" w:hAnsi="仿宋_GB2312" w:eastAsia="仿宋_GB2312" w:cs="仿宋_GB2312"/>
          <w:color w:val="auto"/>
          <w:sz w:val="24"/>
        </w:rPr>
        <w:t>有权确认项目组成员</w:t>
      </w:r>
      <w:r>
        <w:rPr>
          <w:rFonts w:hint="eastAsia" w:ascii="仿宋_GB2312" w:hAnsi="仿宋_GB2312" w:eastAsia="仿宋_GB2312" w:cs="仿宋_GB2312"/>
          <w:color w:val="auto"/>
          <w:sz w:val="24"/>
          <w:lang w:eastAsia="zh-CN"/>
        </w:rPr>
        <w:t>。</w:t>
      </w:r>
    </w:p>
    <w:p>
      <w:pPr>
        <w:spacing w:line="500" w:lineRule="exact"/>
        <w:ind w:firstLine="525"/>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3、投标文件中服务人员与实际服务人员一致。</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、接受贵</w:t>
      </w:r>
      <w:r>
        <w:rPr>
          <w:rFonts w:hint="default" w:ascii="仿宋_GB2312" w:hAnsi="仿宋_GB2312" w:eastAsia="仿宋_GB2312" w:cs="仿宋_GB2312"/>
          <w:color w:val="auto"/>
          <w:sz w:val="24"/>
          <w:lang w:eastAsia="zh-CN"/>
        </w:rPr>
        <w:t>单位</w:t>
      </w:r>
      <w:r>
        <w:rPr>
          <w:rFonts w:hint="eastAsia" w:ascii="仿宋_GB2312" w:hAnsi="仿宋_GB2312" w:eastAsia="仿宋_GB2312" w:cs="仿宋_GB2312"/>
          <w:color w:val="auto"/>
          <w:sz w:val="24"/>
        </w:rPr>
        <w:t>质询，按照要求对项目实施方案进行现场讲解，并对提出的问题进行澄清和说明。</w:t>
      </w:r>
    </w:p>
    <w:p>
      <w:pPr>
        <w:spacing w:line="500" w:lineRule="exact"/>
        <w:ind w:firstLine="525"/>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、有保守本项目秘密的义务，项目中收集的</w:t>
      </w:r>
      <w:r>
        <w:rPr>
          <w:rFonts w:hint="default" w:ascii="仿宋_GB2312" w:hAnsi="仿宋_GB2312" w:eastAsia="仿宋_GB2312" w:cs="仿宋_GB2312"/>
          <w:color w:val="auto"/>
          <w:sz w:val="24"/>
        </w:rPr>
        <w:t>贵单位</w:t>
      </w:r>
      <w:r>
        <w:rPr>
          <w:rFonts w:hint="eastAsia" w:ascii="仿宋_GB2312" w:hAnsi="仿宋_GB2312" w:eastAsia="仿宋_GB2312" w:cs="仿宋_GB2312"/>
          <w:color w:val="auto"/>
          <w:sz w:val="24"/>
        </w:rPr>
        <w:t>所有资料均严格保密。</w:t>
      </w:r>
    </w:p>
    <w:p>
      <w:pPr>
        <w:spacing w:line="5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如违背承诺，我司愿承担相关违约和赔偿责任，贵</w:t>
      </w:r>
      <w:r>
        <w:rPr>
          <w:rFonts w:hint="default" w:ascii="仿宋_GB2312" w:hAnsi="仿宋_GB2312" w:eastAsia="仿宋_GB2312" w:cs="仿宋_GB2312"/>
          <w:color w:val="auto"/>
          <w:sz w:val="24"/>
          <w:lang w:eastAsia="zh-CN"/>
        </w:rPr>
        <w:t>单位</w:t>
      </w:r>
      <w:r>
        <w:rPr>
          <w:rFonts w:hint="eastAsia" w:ascii="仿宋_GB2312" w:hAnsi="仿宋_GB2312" w:eastAsia="仿宋_GB2312" w:cs="仿宋_GB2312"/>
          <w:color w:val="auto"/>
          <w:sz w:val="24"/>
        </w:rPr>
        <w:t>可在对我方的合同付款中扣抵。</w:t>
      </w:r>
    </w:p>
    <w:p>
      <w:pPr>
        <w:spacing w:line="5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、服务质量承诺：</w:t>
      </w:r>
    </w:p>
    <w:p>
      <w:pPr>
        <w:spacing w:line="500" w:lineRule="exact"/>
        <w:rPr>
          <w:rFonts w:ascii="仿宋_GB2312" w:hAnsi="仿宋_GB2312" w:eastAsia="仿宋_GB2312" w:cs="仿宋_GB2312"/>
          <w:color w:val="auto"/>
          <w:sz w:val="24"/>
        </w:rPr>
      </w:pPr>
    </w:p>
    <w:p>
      <w:pPr>
        <w:spacing w:line="500" w:lineRule="exact"/>
        <w:ind w:firstLine="480" w:firstLineChars="200"/>
        <w:rPr>
          <w:rFonts w:ascii="仿宋_GB2312" w:hAnsi="仿宋_GB2312" w:eastAsia="仿宋_GB2312" w:cs="仿宋_GB2312"/>
          <w:color w:val="auto"/>
          <w:sz w:val="24"/>
        </w:rPr>
      </w:pPr>
    </w:p>
    <w:p>
      <w:pPr>
        <w:spacing w:line="500" w:lineRule="exact"/>
        <w:ind w:firstLine="480" w:firstLineChars="2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承诺人：</w:t>
      </w:r>
    </w:p>
    <w:p>
      <w:pPr>
        <w:spacing w:line="500" w:lineRule="exact"/>
        <w:ind w:firstLine="480" w:firstLineChars="200"/>
        <w:rPr>
          <w:rFonts w:ascii="仿宋_GB2312" w:hAnsi="仿宋_GB2312" w:eastAsia="仿宋_GB2312" w:cs="仿宋_GB2312"/>
          <w:color w:val="auto"/>
          <w:sz w:val="24"/>
        </w:rPr>
      </w:pPr>
    </w:p>
    <w:p>
      <w:pPr>
        <w:spacing w:line="500" w:lineRule="exact"/>
        <w:ind w:firstLine="480" w:firstLineChars="2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投标人代表签字:                 单位盖章：</w:t>
      </w:r>
    </w:p>
    <w:p>
      <w:pPr>
        <w:spacing w:line="500" w:lineRule="exact"/>
        <w:ind w:firstLine="4320" w:firstLineChars="1800"/>
        <w:jc w:val="left"/>
        <w:rPr>
          <w:rFonts w:hint="eastAsia" w:ascii="仿宋_GB2312" w:hAnsi="仿宋_GB2312" w:eastAsia="仿宋_GB2312" w:cs="仿宋_GB2312"/>
          <w:color w:val="auto"/>
          <w:sz w:val="24"/>
        </w:rPr>
      </w:pPr>
    </w:p>
    <w:p>
      <w:pPr>
        <w:rPr>
          <w:rFonts w:hint="eastAsia" w:eastAsia="仿宋_GB2312"/>
          <w:color w:val="auto"/>
          <w:lang w:val="en-US" w:eastAsia="zh-CN"/>
        </w:rPr>
      </w:pPr>
      <w:r>
        <w:rPr>
          <w:rFonts w:hint="eastAsia" w:ascii="仿宋_GB2312" w:hAnsi="仿宋_GB2312" w:eastAsia="仿宋_GB2312" w:cs="仿宋_GB2312"/>
          <w:color w:val="auto"/>
          <w:sz w:val="24"/>
        </w:rPr>
        <w:t xml:space="preserve">日期：      年     月     </w:t>
      </w:r>
      <w:r>
        <w:rPr>
          <w:rFonts w:hint="eastAsia" w:ascii="仿宋_GB2312" w:hAnsi="仿宋_GB2312" w:eastAsia="仿宋_GB2312" w:cs="仿宋_GB2312"/>
          <w:color w:val="auto"/>
          <w:sz w:val="24"/>
          <w:lang w:val="en-US" w:eastAsia="zh-CN"/>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0E5F"/>
    <w:multiLevelType w:val="multilevel"/>
    <w:tmpl w:val="38C10E5F"/>
    <w:lvl w:ilvl="0" w:tentative="0">
      <w:start w:val="1"/>
      <w:numFmt w:val="decimal"/>
      <w:suff w:val="nothing"/>
      <w:lvlText w:val="%1、"/>
      <w:lvlJc w:val="left"/>
      <w:pPr>
        <w:ind w:left="0" w:firstLine="0"/>
      </w:pPr>
      <w:rPr>
        <w:rFonts w:hint="default"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41FEB"/>
    <w:rsid w:val="03241FEB"/>
    <w:rsid w:val="24BB7E6D"/>
    <w:rsid w:val="6B1F4E4B"/>
    <w:rsid w:val="729D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ind w:firstLine="880" w:firstLineChars="200"/>
      <w:outlineLvl w:val="1"/>
    </w:pPr>
    <w:rPr>
      <w:rFonts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spacing w:after="120" w:afterLines="0"/>
      <w:ind w:firstLine="420" w:firstLineChars="100"/>
    </w:pPr>
  </w:style>
  <w:style w:type="paragraph" w:customStyle="1" w:styleId="10">
    <w:name w:val="表格"/>
    <w:basedOn w:val="11"/>
    <w:qFormat/>
    <w:uiPriority w:val="0"/>
    <w:pPr>
      <w:spacing w:afterLines="0" w:line="380" w:lineRule="exact"/>
      <w:ind w:firstLine="0" w:firstLineChars="0"/>
    </w:pPr>
    <w:rPr>
      <w:sz w:val="26"/>
    </w:rPr>
  </w:style>
  <w:style w:type="paragraph" w:customStyle="1" w:styleId="11">
    <w:name w:val="尽调正文"/>
    <w:qFormat/>
    <w:uiPriority w:val="0"/>
    <w:pPr>
      <w:widowControl w:val="0"/>
      <w:adjustRightInd w:val="0"/>
      <w:snapToGrid w:val="0"/>
      <w:spacing w:afterLines="50" w:line="312" w:lineRule="auto"/>
      <w:ind w:firstLine="480" w:firstLineChars="200"/>
      <w:jc w:val="both"/>
    </w:pPr>
    <w:rPr>
      <w:rFonts w:ascii="仿宋" w:hAnsi="仿宋" w:eastAsia="仿宋" w:cs="Arial"/>
      <w:sz w:val="24"/>
      <w:szCs w:val="24"/>
    </w:rPr>
  </w:style>
  <w:style w:type="character" w:customStyle="1" w:styleId="12">
    <w:name w:val="15"/>
    <w:qFormat/>
    <w:uiPriority w:val="0"/>
    <w:rPr>
      <w:rFonts w:hint="default" w:ascii="Calibri" w:hAnsi="Calibri" w:cs="Calibr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2025-09-02T06:26:00Z</dcterms:created>
  <dc:creator>Lenovo</dc:creator>
  <cp:lastModifiedBy>Lenovo</cp:lastModifiedBy>
  <dcterms:modified xsi:type="dcterms:W3CDTF">2025-09-02T06:30:11Z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440F5F2C82814F17997AA6CF80DA72C6</vt:lpwstr>
  </property>
</Properties>
</file>