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227CA">
      <w:pPr>
        <w:widowControl/>
        <w:jc w:val="center"/>
        <w:rPr>
          <w:rFonts w:ascii="宋体" w:hAnsi="宋体" w:cs="Arial"/>
          <w:b/>
          <w:bCs/>
          <w:sz w:val="44"/>
          <w:szCs w:val="44"/>
        </w:rPr>
      </w:pPr>
      <w:r>
        <w:rPr>
          <w:rFonts w:hint="eastAsia" w:ascii="宋体" w:hAnsi="宋体" w:cs="Arial"/>
          <w:b/>
          <w:bCs/>
          <w:sz w:val="44"/>
          <w:szCs w:val="44"/>
          <w:lang w:val="en-US" w:eastAsia="zh-CN"/>
        </w:rPr>
        <w:t>2025年南山区建筑施工安全教育和小散工程安全培训</w:t>
      </w:r>
      <w:r>
        <w:rPr>
          <w:rFonts w:hint="eastAsia" w:ascii="宋体" w:hAnsi="宋体" w:cs="Arial"/>
          <w:b/>
          <w:bCs/>
          <w:sz w:val="44"/>
          <w:szCs w:val="44"/>
        </w:rPr>
        <w:t>工作</w:t>
      </w:r>
    </w:p>
    <w:p w14:paraId="32447BC1">
      <w:pPr>
        <w:widowControl/>
        <w:jc w:val="center"/>
        <w:rPr>
          <w:rFonts w:ascii="宋体" w:hAnsi="宋体" w:cs="Arial"/>
          <w:b/>
          <w:bCs/>
          <w:sz w:val="44"/>
          <w:szCs w:val="44"/>
        </w:rPr>
      </w:pPr>
    </w:p>
    <w:p w14:paraId="35631304">
      <w:pPr>
        <w:widowControl/>
        <w:jc w:val="center"/>
        <w:rPr>
          <w:rFonts w:ascii="宋体" w:hAnsi="宋体" w:cs="Arial"/>
          <w:b/>
          <w:bCs/>
          <w:sz w:val="44"/>
          <w:szCs w:val="44"/>
        </w:rPr>
      </w:pPr>
    </w:p>
    <w:p w14:paraId="4DE3A8B0">
      <w:pPr>
        <w:spacing w:before="156" w:beforeLines="50" w:after="156" w:afterLines="50" w:line="360" w:lineRule="auto"/>
        <w:jc w:val="center"/>
        <w:rPr>
          <w:rFonts w:ascii="黑体" w:hAnsi="宋体" w:eastAsia="黑体"/>
          <w:b/>
          <w:bCs/>
          <w:sz w:val="72"/>
          <w:szCs w:val="72"/>
        </w:rPr>
      </w:pPr>
      <w:r>
        <w:rPr>
          <w:rFonts w:hint="eastAsia" w:ascii="黑体" w:hAnsi="黑体" w:eastAsia="黑体"/>
          <w:b/>
          <w:bCs/>
          <w:sz w:val="72"/>
          <w:szCs w:val="72"/>
        </w:rPr>
        <w:t>招</w:t>
      </w:r>
    </w:p>
    <w:p w14:paraId="323B66CD">
      <w:pPr>
        <w:spacing w:before="156" w:beforeLines="50" w:after="156" w:afterLines="50" w:line="360" w:lineRule="auto"/>
        <w:jc w:val="center"/>
        <w:rPr>
          <w:rFonts w:ascii="黑体" w:hAnsi="宋体" w:eastAsia="黑体"/>
          <w:b/>
          <w:bCs/>
          <w:sz w:val="72"/>
          <w:szCs w:val="72"/>
        </w:rPr>
      </w:pPr>
    </w:p>
    <w:p w14:paraId="0C021398">
      <w:pPr>
        <w:spacing w:before="156" w:beforeLines="50" w:after="156" w:afterLines="50" w:line="360" w:lineRule="auto"/>
        <w:jc w:val="center"/>
        <w:rPr>
          <w:rFonts w:ascii="黑体" w:hAnsi="宋体" w:eastAsia="黑体"/>
          <w:b/>
          <w:bCs/>
          <w:sz w:val="72"/>
          <w:szCs w:val="72"/>
        </w:rPr>
      </w:pPr>
      <w:r>
        <w:rPr>
          <w:rFonts w:hint="eastAsia" w:ascii="黑体" w:hAnsi="黑体" w:eastAsia="黑体"/>
          <w:b/>
          <w:bCs/>
          <w:sz w:val="72"/>
          <w:szCs w:val="72"/>
        </w:rPr>
        <w:t>标</w:t>
      </w:r>
    </w:p>
    <w:p w14:paraId="5304E19C">
      <w:pPr>
        <w:spacing w:before="156" w:beforeLines="50" w:after="156" w:afterLines="50" w:line="360" w:lineRule="auto"/>
        <w:jc w:val="center"/>
        <w:rPr>
          <w:rFonts w:ascii="黑体" w:hAnsi="宋体" w:eastAsia="黑体"/>
          <w:b/>
          <w:bCs/>
          <w:sz w:val="48"/>
          <w:szCs w:val="48"/>
        </w:rPr>
      </w:pPr>
    </w:p>
    <w:p w14:paraId="2CEF5B37">
      <w:pPr>
        <w:spacing w:before="156" w:beforeLines="50" w:after="156" w:afterLines="50" w:line="360" w:lineRule="auto"/>
        <w:jc w:val="center"/>
        <w:rPr>
          <w:rFonts w:ascii="黑体" w:hAnsi="宋体" w:eastAsia="黑体"/>
          <w:b/>
          <w:bCs/>
          <w:sz w:val="72"/>
          <w:szCs w:val="72"/>
        </w:rPr>
      </w:pPr>
      <w:r>
        <w:rPr>
          <w:rFonts w:hint="eastAsia" w:ascii="黑体" w:hAnsi="黑体" w:eastAsia="黑体"/>
          <w:b/>
          <w:bCs/>
          <w:sz w:val="72"/>
          <w:szCs w:val="72"/>
        </w:rPr>
        <w:t>书</w:t>
      </w:r>
    </w:p>
    <w:p w14:paraId="0E6BC5B4">
      <w:pPr>
        <w:spacing w:line="360" w:lineRule="auto"/>
        <w:ind w:left="420" w:leftChars="200"/>
        <w:jc w:val="center"/>
        <w:rPr>
          <w:rFonts w:ascii="宋体" w:hAnsi="宋体"/>
          <w:sz w:val="44"/>
          <w:szCs w:val="44"/>
        </w:rPr>
      </w:pPr>
    </w:p>
    <w:p w14:paraId="4BB88A0A">
      <w:pPr>
        <w:spacing w:line="360" w:lineRule="auto"/>
        <w:ind w:left="420" w:leftChars="200"/>
        <w:jc w:val="center"/>
        <w:rPr>
          <w:rFonts w:ascii="方正小标宋简体" w:hAnsi="宋体" w:cs="Arial"/>
          <w:sz w:val="48"/>
          <w:szCs w:val="48"/>
        </w:rPr>
      </w:pPr>
    </w:p>
    <w:p w14:paraId="00A59ADD">
      <w:pPr>
        <w:spacing w:line="600" w:lineRule="exact"/>
        <w:jc w:val="center"/>
        <w:rPr>
          <w:rFonts w:ascii="宋体" w:hAnsi="宋体"/>
          <w:b/>
          <w:bCs/>
          <w:sz w:val="32"/>
          <w:szCs w:val="32"/>
        </w:rPr>
      </w:pPr>
      <w:r>
        <w:rPr>
          <w:rFonts w:hint="eastAsia" w:ascii="宋体" w:hAnsi="宋体"/>
          <w:b/>
          <w:bCs/>
          <w:sz w:val="32"/>
          <w:szCs w:val="32"/>
        </w:rPr>
        <w:t>深圳市南山区住房和建设局</w:t>
      </w:r>
    </w:p>
    <w:p w14:paraId="438771F4">
      <w:pPr>
        <w:spacing w:line="600" w:lineRule="exact"/>
        <w:jc w:val="center"/>
      </w:pPr>
      <w:r>
        <w:rPr>
          <w:rFonts w:hint="eastAsia" w:ascii="宋体" w:hAnsi="宋体"/>
          <w:b/>
          <w:bCs/>
          <w:sz w:val="32"/>
          <w:szCs w:val="32"/>
        </w:rPr>
        <w:t>202</w:t>
      </w:r>
      <w:r>
        <w:rPr>
          <w:rFonts w:hint="eastAsia" w:ascii="宋体" w:hAnsi="宋体"/>
          <w:b/>
          <w:bCs/>
          <w:sz w:val="32"/>
          <w:szCs w:val="32"/>
          <w:lang w:val="en-US" w:eastAsia="zh-CN"/>
        </w:rPr>
        <w:t>5</w:t>
      </w:r>
      <w:r>
        <w:rPr>
          <w:rFonts w:hint="eastAsia" w:ascii="宋体" w:hAnsi="宋体"/>
          <w:b/>
          <w:bCs/>
          <w:sz w:val="32"/>
          <w:szCs w:val="32"/>
        </w:rPr>
        <w:t>年</w:t>
      </w:r>
      <w:r>
        <w:rPr>
          <w:rFonts w:hint="eastAsia" w:ascii="宋体" w:hAnsi="宋体"/>
          <w:b/>
          <w:bCs/>
          <w:sz w:val="32"/>
          <w:szCs w:val="32"/>
          <w:lang w:val="en-US" w:eastAsia="zh-CN"/>
        </w:rPr>
        <w:t>3</w:t>
      </w:r>
      <w:r>
        <w:rPr>
          <w:rFonts w:hint="eastAsia" w:ascii="宋体" w:hAnsi="宋体"/>
          <w:b/>
          <w:bCs/>
          <w:sz w:val="32"/>
          <w:szCs w:val="32"/>
        </w:rPr>
        <w:t>月</w:t>
      </w:r>
    </w:p>
    <w:p w14:paraId="26EF898C">
      <w:pPr>
        <w:widowControl/>
        <w:jc w:val="left"/>
        <w:rPr>
          <w:rFonts w:ascii="宋体" w:hAnsi="宋体" w:cs="宋体"/>
          <w:b/>
          <w:bCs/>
          <w:sz w:val="44"/>
          <w:szCs w:val="44"/>
        </w:rPr>
      </w:pPr>
    </w:p>
    <w:p w14:paraId="68AC3F3F">
      <w:pPr>
        <w:rPr>
          <w:rFonts w:ascii="宋体" w:hAnsi="宋体" w:cs="宋体"/>
          <w:b/>
          <w:bCs/>
          <w:sz w:val="44"/>
          <w:szCs w:val="44"/>
        </w:rPr>
      </w:pPr>
      <w:r>
        <w:rPr>
          <w:rFonts w:ascii="宋体" w:hAnsi="宋体" w:cs="宋体"/>
          <w:b/>
          <w:bCs/>
          <w:sz w:val="44"/>
          <w:szCs w:val="44"/>
        </w:rPr>
        <w:br w:type="page"/>
      </w:r>
    </w:p>
    <w:p w14:paraId="37AD0F0A">
      <w:pPr>
        <w:widowControl/>
        <w:jc w:val="left"/>
        <w:rPr>
          <w:rFonts w:ascii="宋体" w:hAnsi="宋体" w:cs="宋体"/>
          <w:b/>
          <w:bCs/>
          <w:sz w:val="44"/>
          <w:szCs w:val="44"/>
        </w:rPr>
        <w:sectPr>
          <w:headerReference r:id="rId3" w:type="default"/>
          <w:footerReference r:id="rId4" w:type="default"/>
          <w:pgSz w:w="11906" w:h="16838"/>
          <w:pgMar w:top="1400" w:right="1797" w:bottom="1089" w:left="1797" w:header="720" w:footer="720" w:gutter="0"/>
          <w:cols w:space="720" w:num="1"/>
          <w:docGrid w:type="lines" w:linePitch="312" w:charSpace="0"/>
        </w:sectPr>
      </w:pPr>
    </w:p>
    <w:p w14:paraId="3B554131">
      <w:pPr>
        <w:spacing w:before="156" w:beforeLines="50" w:after="156" w:afterLines="50" w:line="500" w:lineRule="exact"/>
        <w:jc w:val="center"/>
        <w:outlineLvl w:val="0"/>
        <w:rPr>
          <w:rFonts w:ascii="黑体" w:hAnsi="黑体" w:eastAsia="黑体"/>
          <w:sz w:val="44"/>
          <w:szCs w:val="44"/>
        </w:rPr>
      </w:pPr>
      <w:r>
        <w:rPr>
          <w:rFonts w:ascii="黑体" w:hAnsi="黑体" w:eastAsia="黑体"/>
          <w:sz w:val="44"/>
          <w:szCs w:val="44"/>
        </w:rPr>
        <w:t>第一部分</w:t>
      </w:r>
      <w:r>
        <w:rPr>
          <w:rFonts w:hint="eastAsia" w:ascii="黑体" w:hAnsi="黑体" w:eastAsia="黑体"/>
          <w:sz w:val="44"/>
          <w:szCs w:val="44"/>
          <w:lang w:val="en-US" w:eastAsia="zh-CN"/>
        </w:rPr>
        <w:t xml:space="preserve"> </w:t>
      </w:r>
      <w:r>
        <w:rPr>
          <w:rFonts w:ascii="黑体" w:hAnsi="黑体" w:eastAsia="黑体"/>
          <w:sz w:val="44"/>
          <w:szCs w:val="44"/>
        </w:rPr>
        <w:t>投标须知</w:t>
      </w:r>
    </w:p>
    <w:p w14:paraId="5BC49983">
      <w:pPr>
        <w:spacing w:before="156" w:beforeLines="50" w:after="156" w:afterLines="50" w:line="500" w:lineRule="exact"/>
        <w:ind w:firstLine="640" w:firstLineChars="200"/>
        <w:outlineLvl w:val="0"/>
        <w:rPr>
          <w:rFonts w:hint="eastAsia" w:ascii="黑体" w:hAnsi="黑体" w:eastAsia="黑体"/>
          <w:sz w:val="32"/>
          <w:szCs w:val="32"/>
        </w:rPr>
      </w:pPr>
    </w:p>
    <w:p w14:paraId="674F373D">
      <w:pPr>
        <w:spacing w:before="156" w:beforeLines="50" w:after="156" w:afterLines="50" w:line="500" w:lineRule="exact"/>
        <w:ind w:firstLine="640" w:firstLineChars="200"/>
        <w:outlineLvl w:val="0"/>
        <w:rPr>
          <w:rFonts w:ascii="黑体" w:hAnsi="黑体" w:eastAsia="黑体"/>
          <w:sz w:val="32"/>
          <w:szCs w:val="32"/>
        </w:rPr>
      </w:pPr>
      <w:r>
        <w:rPr>
          <w:rFonts w:hint="eastAsia" w:ascii="黑体" w:hAnsi="黑体" w:eastAsia="黑体"/>
          <w:sz w:val="32"/>
          <w:szCs w:val="32"/>
        </w:rPr>
        <w:t>一、项目背景</w:t>
      </w:r>
    </w:p>
    <w:p w14:paraId="0D331C64">
      <w:pPr>
        <w:spacing w:before="156" w:beforeLines="50" w:after="156" w:afterLines="50" w:line="500" w:lineRule="exact"/>
        <w:ind w:firstLine="640" w:firstLineChars="200"/>
        <w:outlineLvl w:val="0"/>
        <w:rPr>
          <w:rFonts w:ascii="仿宋_GB2312" w:hAnsi="仿宋_GB2312" w:eastAsia="仿宋_GB2312" w:cs="仿宋_GB2312"/>
          <w:sz w:val="32"/>
          <w:szCs w:val="32"/>
        </w:rPr>
      </w:pPr>
      <w:r>
        <w:rPr>
          <w:rFonts w:hint="eastAsia" w:ascii="仿宋_GB2312" w:eastAsia="仿宋_GB2312"/>
          <w:sz w:val="32"/>
          <w:szCs w:val="32"/>
          <w:highlight w:val="none"/>
        </w:rPr>
        <w:t>根据</w:t>
      </w:r>
      <w:r>
        <w:rPr>
          <w:rFonts w:hint="eastAsia" w:ascii="仿宋_GB2312" w:eastAsia="仿宋_GB2312"/>
          <w:sz w:val="32"/>
          <w:szCs w:val="32"/>
          <w:highlight w:val="none"/>
          <w:lang w:eastAsia="zh-CN"/>
        </w:rPr>
        <w:t>国家、省、市关于安全生产治本攻坚三年行动计划的</w:t>
      </w:r>
      <w:r>
        <w:rPr>
          <w:rFonts w:hint="eastAsia" w:ascii="仿宋_GB2312" w:eastAsia="仿宋_GB2312"/>
          <w:sz w:val="32"/>
          <w:szCs w:val="32"/>
          <w:highlight w:val="none"/>
        </w:rPr>
        <w:t>战略部署</w:t>
      </w:r>
      <w:r>
        <w:rPr>
          <w:rFonts w:hint="eastAsia" w:ascii="仿宋_GB2312" w:eastAsia="仿宋_GB2312"/>
          <w:sz w:val="32"/>
          <w:szCs w:val="32"/>
          <w:highlight w:val="none"/>
          <w:lang w:eastAsia="zh-CN"/>
        </w:rPr>
        <w:t>和《深圳市小散工程和零星作业安全生产纳管暂行办法》、《</w:t>
      </w:r>
      <w:r>
        <w:rPr>
          <w:rFonts w:hint="eastAsia" w:ascii="仿宋_GB2312" w:eastAsia="仿宋_GB2312"/>
          <w:sz w:val="32"/>
          <w:szCs w:val="32"/>
          <w:highlight w:val="none"/>
          <w:lang w:val="en-US" w:eastAsia="zh-CN"/>
        </w:rPr>
        <w:t>全市房屋市政工程安全生产治本攻坚三年行动实施方案（2024-2026年）</w:t>
      </w:r>
      <w:r>
        <w:rPr>
          <w:rFonts w:hint="eastAsia" w:ascii="仿宋_GB2312" w:eastAsia="仿宋_GB2312"/>
          <w:sz w:val="32"/>
          <w:szCs w:val="32"/>
          <w:highlight w:val="none"/>
          <w:lang w:eastAsia="zh-CN"/>
        </w:rPr>
        <w:t>》要求，</w:t>
      </w:r>
      <w:r>
        <w:rPr>
          <w:rFonts w:hint="eastAsia" w:ascii="仿宋_GB2312" w:hAnsi="仿宋_GB2312" w:eastAsia="仿宋_GB2312" w:cs="仿宋_GB2312"/>
          <w:sz w:val="32"/>
          <w:szCs w:val="32"/>
        </w:rPr>
        <w:t>进一步深化南山区建筑行业安全教育</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局拟对区管在建项目的各参建方从业人员</w:t>
      </w:r>
      <w:r>
        <w:rPr>
          <w:rFonts w:hint="eastAsia" w:ascii="仿宋_GB2312" w:hAnsi="仿宋_GB2312" w:eastAsia="仿宋_GB2312" w:cs="仿宋_GB2312"/>
          <w:sz w:val="32"/>
          <w:szCs w:val="32"/>
          <w:lang w:eastAsia="zh-CN"/>
        </w:rPr>
        <w:t>和各街道办、社区工作站以及物业服务企业的小散工程管理人员</w:t>
      </w:r>
      <w:r>
        <w:rPr>
          <w:rFonts w:hint="eastAsia" w:ascii="仿宋_GB2312" w:hAnsi="仿宋_GB2312" w:eastAsia="仿宋_GB2312" w:cs="仿宋_GB2312"/>
          <w:sz w:val="32"/>
          <w:szCs w:val="32"/>
        </w:rPr>
        <w:t>，采取集中式教育</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和工地现场</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的方式，开展全方位、多层次的安全教育</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工作。</w:t>
      </w:r>
    </w:p>
    <w:p w14:paraId="4557400D">
      <w:pPr>
        <w:numPr>
          <w:ilvl w:val="0"/>
          <w:numId w:val="2"/>
        </w:numPr>
        <w:spacing w:before="156" w:beforeLines="50" w:after="156" w:afterLines="50" w:line="500" w:lineRule="exact"/>
        <w:ind w:firstLine="640" w:firstLineChars="200"/>
        <w:outlineLvl w:val="0"/>
        <w:rPr>
          <w:rFonts w:ascii="黑体" w:hAnsi="黑体" w:eastAsia="黑体"/>
          <w:b/>
          <w:bCs/>
          <w:sz w:val="32"/>
          <w:szCs w:val="32"/>
        </w:rPr>
      </w:pPr>
      <w:r>
        <w:rPr>
          <w:rFonts w:hint="eastAsia" w:ascii="黑体" w:hAnsi="黑体" w:eastAsia="黑体"/>
          <w:sz w:val="32"/>
          <w:szCs w:val="32"/>
        </w:rPr>
        <w:t>项目服务内容</w:t>
      </w:r>
    </w:p>
    <w:p w14:paraId="2EDC159A">
      <w:pPr>
        <w:spacing w:line="5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区管在建项目从业人员安全教育培训</w:t>
      </w:r>
      <w:r>
        <w:rPr>
          <w:rFonts w:hint="eastAsia" w:ascii="楷体_GB2312" w:hAnsi="楷体_GB2312" w:eastAsia="楷体_GB2312" w:cs="楷体_GB2312"/>
          <w:sz w:val="32"/>
          <w:szCs w:val="32"/>
        </w:rPr>
        <w:t>内容</w:t>
      </w:r>
    </w:p>
    <w:p w14:paraId="72B1D5C1">
      <w:pPr>
        <w:spacing w:line="5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1.培训对象:南山区在建项目建设、施工、监理单位安全管理人员和现场施工作业人员。</w:t>
      </w:r>
    </w:p>
    <w:p w14:paraId="55ABB8D1">
      <w:pPr>
        <w:spacing w:line="5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培训内容：针对管理人员主要包括《建筑工地防火安全管理》、《物体打击事故的预防》、《高处坠落事故的预防》、《模板坍塌事故的预防》、《起重机械伤害事故的预防》、《基坑坍塌事故的预防》、《触电事故的预防》、《中毒和窒息的预防》、《台风雨季期间施工安全管理》、《暑季高温期间施工安全管理》、《交通安全》等专题内容；针对现场施工作业人员主要包括建设工程施工过程的基本安全知识、安全生产操作、危险源和风险点的辨识、安全防护设施和器材的正确使用、典型事故案例分析等内容培训。</w:t>
      </w:r>
    </w:p>
    <w:p w14:paraId="729B6D0A">
      <w:pPr>
        <w:spacing w:line="56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eastAsia="zh-CN"/>
        </w:rPr>
        <w:t>培训</w:t>
      </w:r>
      <w:r>
        <w:rPr>
          <w:rFonts w:hint="eastAsia" w:ascii="仿宋_GB2312" w:hAnsi="仿宋_GB2312" w:eastAsia="仿宋_GB2312" w:cs="仿宋_GB2312"/>
          <w:bCs/>
          <w:sz w:val="32"/>
          <w:szCs w:val="32"/>
        </w:rPr>
        <w:t>方式：对建筑施工项目管理人员开展集中式</w:t>
      </w:r>
      <w:r>
        <w:rPr>
          <w:rFonts w:hint="eastAsia" w:ascii="仿宋_GB2312" w:hAnsi="仿宋_GB2312" w:eastAsia="仿宋_GB2312" w:cs="仿宋_GB2312"/>
          <w:bCs/>
          <w:sz w:val="32"/>
          <w:szCs w:val="32"/>
          <w:lang w:eastAsia="zh-CN"/>
        </w:rPr>
        <w:t>培训</w:t>
      </w:r>
      <w:r>
        <w:rPr>
          <w:rFonts w:hint="eastAsia" w:ascii="仿宋_GB2312" w:hAnsi="仿宋_GB2312" w:eastAsia="仿宋_GB2312" w:cs="仿宋_GB2312"/>
          <w:bCs/>
          <w:sz w:val="32"/>
          <w:szCs w:val="32"/>
        </w:rPr>
        <w:t>；对建筑施工人员安排专家深入工地开展小型安全教育</w:t>
      </w:r>
      <w:r>
        <w:rPr>
          <w:rFonts w:hint="eastAsia" w:ascii="仿宋_GB2312" w:hAnsi="仿宋_GB2312" w:eastAsia="仿宋_GB2312" w:cs="仿宋_GB2312"/>
          <w:bCs/>
          <w:sz w:val="32"/>
          <w:szCs w:val="32"/>
          <w:lang w:eastAsia="zh-CN"/>
        </w:rPr>
        <w:t>培训</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负责制定培训课件</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印制培训材料，注重</w:t>
      </w:r>
      <w:r>
        <w:rPr>
          <w:rFonts w:hint="eastAsia" w:ascii="仿宋_GB2312" w:hAnsi="仿宋_GB2312" w:eastAsia="仿宋_GB2312" w:cs="仿宋_GB2312"/>
          <w:bCs/>
          <w:sz w:val="32"/>
          <w:szCs w:val="32"/>
        </w:rPr>
        <w:t>案例剖析、互动问答等形式</w:t>
      </w:r>
      <w:r>
        <w:rPr>
          <w:rFonts w:hint="eastAsia" w:ascii="仿宋_GB2312" w:hAnsi="仿宋_GB2312" w:eastAsia="仿宋_GB2312" w:cs="仿宋_GB2312"/>
          <w:bCs/>
          <w:sz w:val="32"/>
          <w:szCs w:val="32"/>
          <w:lang w:eastAsia="zh-CN"/>
        </w:rPr>
        <w:t>。</w:t>
      </w:r>
    </w:p>
    <w:p w14:paraId="3F9A7F57">
      <w:pPr>
        <w:keepNext w:val="0"/>
        <w:keepLines w:val="0"/>
        <w:pageBreakBefore w:val="0"/>
        <w:kinsoku/>
        <w:wordWrap/>
        <w:overflowPunct/>
        <w:topLinePunct w:val="0"/>
        <w:autoSpaceDE/>
        <w:autoSpaceDN/>
        <w:bidi w:val="0"/>
        <w:adjustRightInd/>
        <w:spacing w:line="560" w:lineRule="exact"/>
        <w:ind w:left="0" w:leftChars="0" w:right="0" w:firstLine="640" w:firstLineChars="200"/>
        <w:textAlignment w:val="auto"/>
        <w:outlineLvl w:val="9"/>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4.培训场次：126场次，其中集中式培训6场次，深入工地培训120场次。</w:t>
      </w:r>
    </w:p>
    <w:p w14:paraId="3BC3DDE5">
      <w:pPr>
        <w:spacing w:line="50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（二）小散工程管理人员安全教育培训内容</w:t>
      </w:r>
    </w:p>
    <w:p w14:paraId="53C25675">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1.培训对象：</w:t>
      </w:r>
      <w:r>
        <w:rPr>
          <w:rFonts w:hint="eastAsia" w:ascii="仿宋_GB2312" w:hAnsi="仿宋_GB2312" w:eastAsia="仿宋_GB2312" w:cs="仿宋_GB2312"/>
          <w:sz w:val="32"/>
          <w:szCs w:val="32"/>
        </w:rPr>
        <w:t>各街道</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、社区工作站小散工程管理人员和执法人员、网格员、物业企业服务人员、股份有限公司相关</w:t>
      </w:r>
      <w:r>
        <w:rPr>
          <w:rFonts w:hint="eastAsia" w:ascii="仿宋_GB2312" w:hAnsi="仿宋_GB2312" w:eastAsia="仿宋_GB2312" w:cs="仿宋_GB2312"/>
          <w:sz w:val="32"/>
          <w:szCs w:val="32"/>
          <w:lang w:eastAsia="zh-CN"/>
        </w:rPr>
        <w:t>小散工程管理</w:t>
      </w:r>
      <w:r>
        <w:rPr>
          <w:rFonts w:hint="eastAsia" w:ascii="仿宋_GB2312" w:hAnsi="仿宋_GB2312" w:eastAsia="仿宋_GB2312" w:cs="仿宋_GB2312"/>
          <w:sz w:val="32"/>
          <w:szCs w:val="32"/>
        </w:rPr>
        <w:t>人员等。</w:t>
      </w:r>
    </w:p>
    <w:p w14:paraId="0A45F97D">
      <w:pPr>
        <w:spacing w:line="560" w:lineRule="exact"/>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2.培训内容：高空作业、施工临时用电、施工机具、吊篮作业、脚手架作业等方面巡查要点知识、小散工程安全生产纳管知识等。</w:t>
      </w:r>
    </w:p>
    <w:p w14:paraId="3B53A996">
      <w:pPr>
        <w:spacing w:line="56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eastAsia="zh-CN"/>
        </w:rPr>
        <w:t>培训</w:t>
      </w:r>
      <w:r>
        <w:rPr>
          <w:rFonts w:hint="eastAsia" w:ascii="仿宋_GB2312" w:hAnsi="仿宋_GB2312" w:eastAsia="仿宋_GB2312" w:cs="仿宋_GB2312"/>
          <w:bCs/>
          <w:sz w:val="32"/>
          <w:szCs w:val="32"/>
        </w:rPr>
        <w:t>方式：</w:t>
      </w:r>
      <w:r>
        <w:rPr>
          <w:rFonts w:hint="eastAsia" w:ascii="仿宋_GB2312" w:hAnsi="仿宋_GB2312" w:eastAsia="仿宋_GB2312" w:cs="仿宋_GB2312"/>
          <w:bCs/>
          <w:sz w:val="32"/>
          <w:szCs w:val="32"/>
          <w:lang w:eastAsia="zh-CN"/>
        </w:rPr>
        <w:t>负责制定培训课件</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印制培训材料，</w:t>
      </w:r>
      <w:r>
        <w:rPr>
          <w:rFonts w:hint="eastAsia" w:ascii="仿宋_GB2312" w:hAnsi="仿宋_GB2312" w:eastAsia="仿宋_GB2312" w:cs="仿宋_GB2312"/>
          <w:bCs/>
          <w:sz w:val="32"/>
          <w:szCs w:val="32"/>
        </w:rPr>
        <w:t>采取PPT幻灯片展示、案例剖析、互动问答等形式，开展集中式</w:t>
      </w:r>
      <w:r>
        <w:rPr>
          <w:rFonts w:hint="eastAsia" w:ascii="仿宋_GB2312" w:hAnsi="仿宋_GB2312" w:eastAsia="仿宋_GB2312" w:cs="仿宋_GB2312"/>
          <w:bCs/>
          <w:sz w:val="32"/>
          <w:szCs w:val="32"/>
          <w:lang w:eastAsia="zh-CN"/>
        </w:rPr>
        <w:t>培训</w:t>
      </w:r>
      <w:r>
        <w:rPr>
          <w:rFonts w:hint="eastAsia" w:ascii="仿宋_GB2312" w:hAnsi="仿宋_GB2312" w:eastAsia="仿宋_GB2312" w:cs="仿宋_GB2312"/>
          <w:bCs/>
          <w:sz w:val="32"/>
          <w:szCs w:val="32"/>
        </w:rPr>
        <w:t>，讲解小散工程安全生产纳管的重要性、巡查工作的要点等。</w:t>
      </w:r>
    </w:p>
    <w:p w14:paraId="7D94DD63">
      <w:pPr>
        <w:widowControl/>
        <w:spacing w:line="620" w:lineRule="exact"/>
        <w:ind w:firstLine="640"/>
        <w:rPr>
          <w:rFonts w:hint="default"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4.</w:t>
      </w:r>
      <w:r>
        <w:rPr>
          <w:rFonts w:hint="eastAsia" w:ascii="仿宋_GB2312" w:eastAsia="仿宋_GB2312" w:cs="Times New Roman"/>
          <w:sz w:val="32"/>
          <w:szCs w:val="32"/>
          <w:highlight w:val="none"/>
          <w:lang w:val="en-US" w:eastAsia="zh-CN"/>
        </w:rPr>
        <w:t>培训</w:t>
      </w:r>
      <w:r>
        <w:rPr>
          <w:rFonts w:hint="eastAsia" w:ascii="仿宋_GB2312" w:hAnsi="Times New Roman" w:eastAsia="仿宋_GB2312" w:cs="Times New Roman"/>
          <w:sz w:val="32"/>
          <w:szCs w:val="32"/>
          <w:highlight w:val="none"/>
          <w:lang w:val="en-US" w:eastAsia="zh-CN"/>
        </w:rPr>
        <w:t>场次：</w:t>
      </w:r>
      <w:r>
        <w:rPr>
          <w:rFonts w:hint="eastAsia" w:ascii="仿宋_GB2312" w:eastAsia="仿宋_GB2312" w:cs="Times New Roman"/>
          <w:sz w:val="32"/>
          <w:szCs w:val="32"/>
          <w:highlight w:val="none"/>
          <w:lang w:val="en-US" w:eastAsia="zh-CN"/>
        </w:rPr>
        <w:t>16</w:t>
      </w:r>
      <w:r>
        <w:rPr>
          <w:rFonts w:hint="eastAsia" w:ascii="仿宋_GB2312" w:hAnsi="Times New Roman" w:eastAsia="仿宋_GB2312" w:cs="Times New Roman"/>
          <w:sz w:val="32"/>
          <w:szCs w:val="32"/>
          <w:highlight w:val="none"/>
          <w:lang w:val="en-US" w:eastAsia="zh-CN"/>
        </w:rPr>
        <w:t>场次，每个街道</w:t>
      </w:r>
      <w:r>
        <w:rPr>
          <w:rFonts w:hint="eastAsia" w:ascii="仿宋_GB2312" w:eastAsia="仿宋_GB2312" w:cs="Times New Roman"/>
          <w:sz w:val="32"/>
          <w:szCs w:val="32"/>
          <w:highlight w:val="none"/>
          <w:lang w:val="en-US" w:eastAsia="zh-CN"/>
        </w:rPr>
        <w:t>2</w:t>
      </w:r>
      <w:r>
        <w:rPr>
          <w:rFonts w:hint="eastAsia" w:ascii="仿宋_GB2312" w:hAnsi="Times New Roman" w:eastAsia="仿宋_GB2312" w:cs="Times New Roman"/>
          <w:sz w:val="32"/>
          <w:szCs w:val="32"/>
          <w:highlight w:val="none"/>
          <w:lang w:val="en-US" w:eastAsia="zh-CN"/>
        </w:rPr>
        <w:t>场次</w:t>
      </w:r>
      <w:r>
        <w:rPr>
          <w:rFonts w:hint="eastAsia" w:ascii="仿宋_GB2312" w:eastAsia="仿宋_GB2312" w:cs="Times New Roman"/>
          <w:sz w:val="32"/>
          <w:szCs w:val="32"/>
          <w:highlight w:val="none"/>
          <w:lang w:val="en-US" w:eastAsia="zh-CN"/>
        </w:rPr>
        <w:t>。</w:t>
      </w:r>
    </w:p>
    <w:p w14:paraId="09E10A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（三）成果验收</w:t>
      </w:r>
    </w:p>
    <w:p w14:paraId="76A54C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培训结束后中标单位要对培训工作进行梳理，形成完整的档案资料和工作总结。档案资料一场次一档案，包括参培人员签到表、课件、影像资料等，一式两份（含电子档和纸质档）；工作总结包括培训的情况、对项目工人安全水平的评价等。</w:t>
      </w:r>
    </w:p>
    <w:p w14:paraId="3FF07796">
      <w:pPr>
        <w:spacing w:before="156" w:beforeLines="50" w:after="156" w:afterLines="50" w:line="500" w:lineRule="exact"/>
        <w:ind w:firstLine="640" w:firstLineChars="200"/>
        <w:outlineLvl w:val="0"/>
        <w:rPr>
          <w:rFonts w:ascii="黑体" w:hAnsi="黑体" w:eastAsia="黑体"/>
          <w:sz w:val="32"/>
          <w:szCs w:val="32"/>
        </w:rPr>
      </w:pPr>
      <w:r>
        <w:rPr>
          <w:rFonts w:hint="eastAsia" w:ascii="黑体" w:hAnsi="黑体" w:eastAsia="黑体"/>
          <w:sz w:val="32"/>
          <w:szCs w:val="32"/>
        </w:rPr>
        <w:t>三、项目服务价格上限</w:t>
      </w:r>
    </w:p>
    <w:p w14:paraId="1D3FECDD">
      <w:pPr>
        <w:spacing w:line="50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本项目控制金额为人民币</w:t>
      </w:r>
      <w:r>
        <w:rPr>
          <w:rFonts w:hint="eastAsia" w:ascii="仿宋_GB2312" w:hAnsi="仿宋_GB2312" w:eastAsia="仿宋_GB2312" w:cs="仿宋_GB2312"/>
          <w:sz w:val="32"/>
          <w:szCs w:val="32"/>
          <w:highlight w:val="none"/>
          <w:lang w:val="en-US" w:eastAsia="zh-CN"/>
        </w:rPr>
        <w:t>58.9</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/年，参与投标单位的报价不可高于控制金额，否则</w:t>
      </w:r>
      <w:r>
        <w:rPr>
          <w:rFonts w:hint="eastAsia" w:ascii="仿宋_GB2312" w:hAnsi="仿宋_GB2312" w:eastAsia="仿宋_GB2312" w:cs="仿宋_GB2312"/>
          <w:sz w:val="32"/>
          <w:szCs w:val="32"/>
        </w:rPr>
        <w:t>投标单位的投标文件视同无效。本项目服务费采用包干制，应包括服务成本、法定税费和企业的利润。由投标单位根据采购文件所提供的资料自行测算投标报价；一经中标，投标报价总价作为中标单位与采购单位签定的合同金额，合同期限内不做调整。</w:t>
      </w:r>
    </w:p>
    <w:p w14:paraId="47DFA016">
      <w:pPr>
        <w:spacing w:before="156" w:beforeLines="50" w:after="156" w:afterLines="50" w:line="500" w:lineRule="exact"/>
        <w:ind w:firstLine="640" w:firstLineChars="200"/>
        <w:outlineLvl w:val="0"/>
        <w:rPr>
          <w:rFonts w:ascii="黑体" w:hAnsi="黑体" w:eastAsia="黑体"/>
          <w:sz w:val="32"/>
          <w:szCs w:val="32"/>
          <w:highlight w:val="none"/>
        </w:rPr>
      </w:pPr>
      <w:r>
        <w:rPr>
          <w:rFonts w:hint="eastAsia" w:ascii="黑体" w:hAnsi="黑体" w:eastAsia="黑体"/>
          <w:sz w:val="32"/>
          <w:szCs w:val="32"/>
          <w:highlight w:val="none"/>
        </w:rPr>
        <w:t>四、投标人的资格要求</w:t>
      </w:r>
    </w:p>
    <w:p w14:paraId="4A940FD0">
      <w:pPr>
        <w:spacing w:line="500" w:lineRule="exact"/>
        <w:ind w:firstLine="640" w:firstLineChars="200"/>
        <w:outlineLvl w:val="0"/>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1.投标人单位具备</w:t>
      </w:r>
      <w:r>
        <w:rPr>
          <w:rFonts w:hint="eastAsia" w:ascii="仿宋_GB2312" w:hAnsi="仿宋_GB2312" w:eastAsia="仿宋_GB2312" w:cs="仿宋_GB2312"/>
          <w:sz w:val="32"/>
          <w:szCs w:val="32"/>
          <w:highlight w:val="none"/>
        </w:rPr>
        <w:t>独立法人</w:t>
      </w:r>
      <w:r>
        <w:rPr>
          <w:rFonts w:hint="eastAsia" w:ascii="仿宋_GB2312" w:hAnsi="仿宋_GB2312" w:eastAsia="仿宋_GB2312" w:cs="仿宋_GB2312"/>
          <w:sz w:val="32"/>
          <w:szCs w:val="32"/>
          <w:highlight w:val="none"/>
          <w:lang w:eastAsia="zh-CN"/>
        </w:rPr>
        <w:t>资格的企业法人</w:t>
      </w:r>
      <w:r>
        <w:rPr>
          <w:rFonts w:hint="eastAsia" w:ascii="仿宋_GB2312" w:hAnsi="仿宋_GB2312" w:eastAsia="仿宋_GB2312" w:cs="仿宋_GB2312"/>
          <w:sz w:val="32"/>
          <w:szCs w:val="32"/>
          <w:highlight w:val="none"/>
        </w:rPr>
        <w:t>或合伙制企业或其他合法组织形式；</w:t>
      </w:r>
    </w:p>
    <w:p w14:paraId="349AC0E7">
      <w:pPr>
        <w:spacing w:line="500" w:lineRule="exact"/>
        <w:ind w:firstLine="640" w:firstLineChars="200"/>
        <w:outlineLvl w:val="0"/>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2.投标人须承诺近两年无违法违规行为，无行为处罚、惩戒等不良执业记录及不良反映；</w:t>
      </w:r>
    </w:p>
    <w:p w14:paraId="2A5BEC88">
      <w:pPr>
        <w:spacing w:line="500" w:lineRule="exact"/>
        <w:ind w:firstLine="640" w:firstLineChars="200"/>
        <w:outlineLvl w:val="0"/>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3.投标人的授权代表应为单位法人或经法人授权的该单位在职社保员工；</w:t>
      </w:r>
    </w:p>
    <w:p w14:paraId="486FE338">
      <w:pPr>
        <w:spacing w:line="500" w:lineRule="exact"/>
        <w:ind w:firstLine="640" w:firstLineChars="200"/>
        <w:outlineLvl w:val="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4</w:t>
      </w:r>
      <w:r>
        <w:rPr>
          <w:rFonts w:ascii="仿宋_GB2312" w:hAnsi="仿宋_GB2312" w:eastAsia="仿宋_GB2312" w:cs="仿宋_GB2312"/>
          <w:sz w:val="32"/>
          <w:szCs w:val="32"/>
          <w:highlight w:val="none"/>
        </w:rPr>
        <w:t>.在招投标活动中因串通投标被暂停投标资格期间或涉嫌串通投标并正在接受主管部门调查的投标人不被接受</w:t>
      </w:r>
      <w:r>
        <w:rPr>
          <w:rFonts w:hint="eastAsia" w:ascii="仿宋_GB2312" w:hAnsi="仿宋_GB2312" w:eastAsia="仿宋_GB2312" w:cs="仿宋_GB2312"/>
          <w:sz w:val="32"/>
          <w:szCs w:val="32"/>
          <w:highlight w:val="none"/>
          <w:lang w:eastAsia="zh-CN"/>
        </w:rPr>
        <w:t>；</w:t>
      </w:r>
    </w:p>
    <w:p w14:paraId="034ECE5F">
      <w:pPr>
        <w:spacing w:line="500" w:lineRule="exact"/>
        <w:ind w:firstLine="640" w:firstLineChars="200"/>
        <w:outlineLvl w:val="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ascii="仿宋_GB2312" w:hAnsi="仿宋_GB2312" w:eastAsia="仿宋_GB2312" w:cs="仿宋_GB2312"/>
          <w:sz w:val="32"/>
          <w:szCs w:val="32"/>
          <w:highlight w:val="none"/>
        </w:rPr>
        <w:t>.本项目不接受联合体投标。</w:t>
      </w:r>
    </w:p>
    <w:p w14:paraId="77798781">
      <w:pPr>
        <w:spacing w:before="156" w:beforeLines="50" w:after="156" w:afterLines="50" w:line="500" w:lineRule="exact"/>
        <w:ind w:firstLine="640" w:firstLineChars="200"/>
        <w:outlineLvl w:val="0"/>
        <w:rPr>
          <w:rFonts w:hint="eastAsia" w:ascii="黑体" w:hAnsi="黑体" w:eastAsia="黑体"/>
          <w:sz w:val="32"/>
          <w:szCs w:val="32"/>
          <w:highlight w:val="none"/>
          <w:lang w:val="en-US" w:eastAsia="zh-CN"/>
        </w:rPr>
      </w:pPr>
      <w:r>
        <w:rPr>
          <w:rFonts w:hint="eastAsia" w:ascii="黑体" w:hAnsi="黑体" w:eastAsia="黑体"/>
          <w:sz w:val="32"/>
          <w:szCs w:val="32"/>
          <w:highlight w:val="none"/>
          <w:lang w:val="en-US" w:eastAsia="zh-CN"/>
        </w:rPr>
        <w:t>五、服务团队及人员的要求</w:t>
      </w:r>
    </w:p>
    <w:p w14:paraId="56B2A55D">
      <w:pPr>
        <w:spacing w:line="5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1、投标人必须组建不少于4人的项目服务团队提供本项目安全教育培训服务工作，其中项目负责人1人，讲师1人，助教2人；</w:t>
      </w:r>
    </w:p>
    <w:p w14:paraId="0BC66C8E">
      <w:pPr>
        <w:keepNext w:val="0"/>
        <w:keepLines w:val="0"/>
        <w:pageBreakBefore w:val="0"/>
        <w:widowControl/>
        <w:kinsoku/>
        <w:wordWrap/>
        <w:overflowPunct/>
        <w:topLinePunct w:val="0"/>
        <w:autoSpaceDE/>
        <w:autoSpaceDN/>
        <w:bidi w:val="0"/>
        <w:adjustRightInd/>
        <w:snapToGrid w:val="0"/>
        <w:spacing w:line="560" w:lineRule="exact"/>
        <w:ind w:left="0" w:leftChars="0" w:right="0" w:firstLine="640" w:firstLineChars="200"/>
        <w:jc w:val="left"/>
        <w:textAlignment w:val="auto"/>
        <w:outlineLvl w:val="9"/>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2、项目负责人具备建筑工程相关专业高级工程师证或一级建造师或注册监理工程师或注册安全工程师证，具备广东省安全生产培训教员证，并有15年以上从事相关工作经验；</w:t>
      </w:r>
    </w:p>
    <w:p w14:paraId="2195B39A">
      <w:pPr>
        <w:spacing w:line="5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3、讲师应具备建筑工程相关专业副高级工程师证，并有5年以上从事建设工程安全教育培训相关工作经验；</w:t>
      </w:r>
    </w:p>
    <w:p w14:paraId="47D1D545">
      <w:pPr>
        <w:spacing w:line="5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4、助教应具有全日制大专以上学历，1年以上工作经验。</w:t>
      </w:r>
    </w:p>
    <w:p w14:paraId="72F5940E">
      <w:pPr>
        <w:spacing w:before="156" w:beforeLines="50" w:after="156" w:afterLines="50" w:line="500" w:lineRule="exact"/>
        <w:ind w:firstLine="640" w:firstLineChars="200"/>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六、服务期限</w:t>
      </w:r>
    </w:p>
    <w:p w14:paraId="45BE68C9">
      <w:pPr>
        <w:spacing w:line="500"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服务期限：自</w:t>
      </w:r>
      <w:r>
        <w:rPr>
          <w:rFonts w:hint="eastAsia" w:ascii="仿宋_GB2312" w:hAnsi="宋体" w:eastAsia="仿宋_GB2312"/>
          <w:sz w:val="32"/>
          <w:szCs w:val="32"/>
          <w:lang w:val="en-US" w:eastAsia="zh-CN"/>
        </w:rPr>
        <w:t>合同生效之日</w:t>
      </w:r>
      <w:r>
        <w:rPr>
          <w:rFonts w:hint="eastAsia" w:ascii="仿宋_GB2312" w:hAnsi="宋体" w:eastAsia="仿宋_GB2312"/>
          <w:sz w:val="32"/>
          <w:szCs w:val="32"/>
        </w:rPr>
        <w:t>起</w:t>
      </w:r>
      <w:r>
        <w:rPr>
          <w:rFonts w:hint="eastAsia" w:ascii="仿宋_GB2312" w:hAnsi="仿宋_GB2312" w:eastAsia="仿宋_GB2312" w:cs="仿宋_GB2312"/>
          <w:sz w:val="32"/>
          <w:szCs w:val="32"/>
          <w:lang w:val="en-US" w:eastAsia="zh-CN"/>
        </w:rPr>
        <w:t>至2025年12月10日止。</w:t>
      </w:r>
    </w:p>
    <w:p w14:paraId="6D5FCBBB">
      <w:pPr>
        <w:spacing w:before="156" w:beforeLines="50" w:after="156" w:afterLines="50" w:line="500" w:lineRule="exact"/>
        <w:ind w:firstLine="640" w:firstLineChars="200"/>
        <w:outlineLvl w:val="0"/>
        <w:rPr>
          <w:rFonts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、定标方法</w:t>
      </w:r>
    </w:p>
    <w:p w14:paraId="0CDB926A">
      <w:pPr>
        <w:spacing w:line="50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本项目定标采用综合评分法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以每位评委根据评分标准的评分</w:t>
      </w:r>
      <w:r>
        <w:rPr>
          <w:rFonts w:hint="eastAsia" w:ascii="仿宋_GB2312" w:hAnsi="仿宋_GB2312" w:eastAsia="仿宋_GB2312" w:cs="仿宋_GB2312"/>
          <w:sz w:val="32"/>
          <w:szCs w:val="32"/>
          <w:lang w:eastAsia="zh-CN"/>
        </w:rPr>
        <w:t>总和</w:t>
      </w:r>
      <w:r>
        <w:rPr>
          <w:rFonts w:hint="eastAsia" w:ascii="仿宋_GB2312" w:hAnsi="仿宋_GB2312" w:eastAsia="仿宋_GB2312" w:cs="仿宋_GB2312"/>
          <w:sz w:val="32"/>
          <w:szCs w:val="32"/>
        </w:rPr>
        <w:t>得出最后得分，将得分从高至低排序，排列第一名的投标人即为中标单位。若总得分相同，</w:t>
      </w:r>
      <w:r>
        <w:rPr>
          <w:rFonts w:hint="eastAsia" w:ascii="仿宋_GB2312" w:hAnsi="仿宋_GB2312" w:eastAsia="仿宋_GB2312" w:cs="仿宋_GB2312"/>
          <w:sz w:val="32"/>
          <w:szCs w:val="32"/>
          <w:lang w:eastAsia="zh-CN"/>
        </w:rPr>
        <w:t>建筑业行业培训经验得分</w:t>
      </w:r>
      <w:r>
        <w:rPr>
          <w:rFonts w:hint="eastAsia" w:ascii="仿宋_GB2312" w:hAnsi="仿宋_GB2312" w:eastAsia="仿宋_GB2312" w:cs="仿宋_GB2312"/>
          <w:sz w:val="32"/>
          <w:szCs w:val="32"/>
        </w:rPr>
        <w:t>高者优先</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rPr>
        <w:t>评分标准详见</w:t>
      </w:r>
      <w:r>
        <w:rPr>
          <w:rFonts w:hint="eastAsia" w:ascii="仿宋_GB2312" w:hAnsi="仿宋_GB2312" w:eastAsia="仿宋_GB2312" w:cs="仿宋_GB2312"/>
          <w:sz w:val="32"/>
          <w:szCs w:val="32"/>
          <w:lang w:eastAsia="zh-CN"/>
        </w:rPr>
        <w:t>下表：</w:t>
      </w:r>
    </w:p>
    <w:tbl>
      <w:tblPr>
        <w:tblStyle w:val="15"/>
        <w:tblW w:w="93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2"/>
        <w:gridCol w:w="1763"/>
        <w:gridCol w:w="4693"/>
        <w:gridCol w:w="687"/>
        <w:gridCol w:w="1545"/>
      </w:tblGrid>
      <w:tr w14:paraId="24D81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300" w:type="dxa"/>
            <w:gridSpan w:val="5"/>
            <w:tcBorders>
              <w:top w:val="single" w:color="auto" w:sz="6" w:space="0"/>
              <w:left w:val="single" w:color="auto" w:sz="6" w:space="0"/>
              <w:bottom w:val="single" w:color="auto" w:sz="6" w:space="0"/>
              <w:right w:val="single" w:color="auto" w:sz="6" w:space="0"/>
            </w:tcBorders>
            <w:vAlign w:val="center"/>
          </w:tcPr>
          <w:p w14:paraId="525911C8">
            <w:pPr>
              <w:autoSpaceDE w:val="0"/>
              <w:autoSpaceDN w:val="0"/>
              <w:adjustRightInd w:val="0"/>
              <w:jc w:val="center"/>
              <w:rPr>
                <w:rFonts w:ascii="宋体" w:hAnsi="宋体" w:cs="Times New Roman"/>
                <w:b/>
                <w:color w:val="auto"/>
                <w:szCs w:val="21"/>
                <w:highlight w:val="none"/>
                <w:lang w:val="zh-CN"/>
              </w:rPr>
            </w:pPr>
            <w:r>
              <w:rPr>
                <w:rFonts w:hint="eastAsia" w:ascii="宋体" w:hAnsi="宋体" w:cs="Times New Roman"/>
                <w:b/>
                <w:color w:val="auto"/>
                <w:szCs w:val="21"/>
                <w:highlight w:val="none"/>
                <w:lang w:val="zh-CN"/>
              </w:rPr>
              <w:t>评分项及评分规则（满分</w:t>
            </w:r>
            <w:r>
              <w:rPr>
                <w:rFonts w:hint="eastAsia" w:ascii="宋体" w:hAnsi="宋体" w:cs="Times New Roman"/>
                <w:b/>
                <w:color w:val="auto"/>
                <w:szCs w:val="21"/>
                <w:highlight w:val="none"/>
              </w:rPr>
              <w:t>100分</w:t>
            </w:r>
            <w:r>
              <w:rPr>
                <w:rFonts w:hint="eastAsia" w:ascii="宋体" w:hAnsi="宋体" w:cs="Times New Roman"/>
                <w:b/>
                <w:color w:val="auto"/>
                <w:szCs w:val="21"/>
                <w:highlight w:val="none"/>
                <w:lang w:val="zh-CN"/>
              </w:rPr>
              <w:t>）</w:t>
            </w:r>
          </w:p>
        </w:tc>
      </w:tr>
      <w:tr w14:paraId="28B80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trPr>
        <w:tc>
          <w:tcPr>
            <w:tcW w:w="7068" w:type="dxa"/>
            <w:gridSpan w:val="3"/>
            <w:tcBorders>
              <w:top w:val="single" w:color="auto" w:sz="6" w:space="0"/>
              <w:left w:val="single" w:color="auto" w:sz="6" w:space="0"/>
              <w:bottom w:val="single" w:color="auto" w:sz="6" w:space="0"/>
              <w:right w:val="single" w:color="auto" w:sz="6" w:space="0"/>
            </w:tcBorders>
            <w:vAlign w:val="center"/>
          </w:tcPr>
          <w:p w14:paraId="535255FB">
            <w:pPr>
              <w:autoSpaceDE w:val="0"/>
              <w:autoSpaceDN w:val="0"/>
              <w:adjustRightInd w:val="0"/>
              <w:jc w:val="center"/>
              <w:rPr>
                <w:rFonts w:ascii="宋体" w:hAnsi="宋体" w:cs="Times New Roman"/>
                <w:b/>
                <w:color w:val="auto"/>
                <w:szCs w:val="21"/>
                <w:highlight w:val="none"/>
                <w:lang w:val="zh-CN"/>
              </w:rPr>
            </w:pPr>
            <w:r>
              <w:rPr>
                <w:rFonts w:hint="eastAsia" w:ascii="宋体" w:hAnsi="宋体" w:cs="Times New Roman"/>
                <w:b/>
                <w:color w:val="auto"/>
                <w:szCs w:val="21"/>
                <w:highlight w:val="none"/>
                <w:lang w:val="zh-CN"/>
              </w:rPr>
              <w:t>一、价格部分</w:t>
            </w:r>
          </w:p>
        </w:tc>
        <w:tc>
          <w:tcPr>
            <w:tcW w:w="2232" w:type="dxa"/>
            <w:gridSpan w:val="2"/>
            <w:tcBorders>
              <w:top w:val="single" w:color="auto" w:sz="6" w:space="0"/>
              <w:left w:val="single" w:color="auto" w:sz="6" w:space="0"/>
              <w:bottom w:val="single" w:color="auto" w:sz="6" w:space="0"/>
              <w:right w:val="single" w:color="auto" w:sz="6" w:space="0"/>
            </w:tcBorders>
            <w:vAlign w:val="center"/>
          </w:tcPr>
          <w:p w14:paraId="0D22F5DB">
            <w:pPr>
              <w:autoSpaceDE w:val="0"/>
              <w:autoSpaceDN w:val="0"/>
              <w:adjustRightInd w:val="0"/>
              <w:jc w:val="center"/>
              <w:rPr>
                <w:rFonts w:ascii="宋体" w:hAnsi="宋体" w:cs="Times New Roman"/>
                <w:color w:val="auto"/>
                <w:szCs w:val="21"/>
                <w:highlight w:val="none"/>
              </w:rPr>
            </w:pPr>
            <w:r>
              <w:rPr>
                <w:rFonts w:hint="eastAsia" w:ascii="宋体" w:hAnsi="宋体" w:cs="Times New Roman"/>
                <w:b/>
                <w:bCs/>
                <w:color w:val="auto"/>
                <w:szCs w:val="21"/>
                <w:highlight w:val="none"/>
                <w:lang w:val="en-US" w:eastAsia="zh-CN"/>
              </w:rPr>
              <w:t>20</w:t>
            </w:r>
            <w:r>
              <w:rPr>
                <w:rFonts w:hint="eastAsia" w:ascii="宋体" w:hAnsi="宋体" w:cs="Times New Roman"/>
                <w:b/>
                <w:bCs/>
                <w:color w:val="auto"/>
                <w:szCs w:val="21"/>
                <w:highlight w:val="none"/>
              </w:rPr>
              <w:t>分</w:t>
            </w:r>
          </w:p>
        </w:tc>
      </w:tr>
      <w:tr w14:paraId="270F4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612" w:type="dxa"/>
            <w:tcBorders>
              <w:top w:val="single" w:color="auto" w:sz="6" w:space="0"/>
              <w:left w:val="single" w:color="auto" w:sz="4" w:space="0"/>
              <w:bottom w:val="single" w:color="auto" w:sz="6" w:space="0"/>
              <w:right w:val="single" w:color="auto" w:sz="4" w:space="0"/>
            </w:tcBorders>
            <w:vAlign w:val="center"/>
          </w:tcPr>
          <w:p w14:paraId="783AA938">
            <w:pPr>
              <w:autoSpaceDE w:val="0"/>
              <w:autoSpaceDN w:val="0"/>
              <w:adjustRightInd w:val="0"/>
              <w:jc w:val="center"/>
              <w:rPr>
                <w:rFonts w:ascii="宋体" w:hAnsi="宋体" w:cs="Times New Roman"/>
                <w:b/>
                <w:color w:val="auto"/>
                <w:szCs w:val="21"/>
                <w:highlight w:val="none"/>
                <w:lang w:val="zh-CN"/>
              </w:rPr>
            </w:pPr>
            <w:r>
              <w:rPr>
                <w:rFonts w:hint="eastAsia" w:ascii="宋体" w:hAnsi="宋体" w:cs="Times New Roman"/>
                <w:bCs/>
                <w:color w:val="auto"/>
                <w:szCs w:val="21"/>
                <w:highlight w:val="none"/>
                <w:lang w:val="zh-CN"/>
              </w:rPr>
              <w:t>序号</w:t>
            </w:r>
          </w:p>
        </w:tc>
        <w:tc>
          <w:tcPr>
            <w:tcW w:w="6456" w:type="dxa"/>
            <w:gridSpan w:val="2"/>
            <w:tcBorders>
              <w:top w:val="single" w:color="auto" w:sz="6" w:space="0"/>
              <w:left w:val="single" w:color="auto" w:sz="4" w:space="0"/>
              <w:bottom w:val="single" w:color="auto" w:sz="6" w:space="0"/>
              <w:right w:val="single" w:color="auto" w:sz="6" w:space="0"/>
            </w:tcBorders>
            <w:vAlign w:val="center"/>
          </w:tcPr>
          <w:p w14:paraId="29BC676B">
            <w:pPr>
              <w:autoSpaceDE w:val="0"/>
              <w:autoSpaceDN w:val="0"/>
              <w:adjustRightInd w:val="0"/>
              <w:jc w:val="center"/>
              <w:rPr>
                <w:rFonts w:ascii="宋体" w:hAnsi="宋体" w:cs="Times New Roman"/>
                <w:b/>
                <w:color w:val="auto"/>
                <w:szCs w:val="21"/>
                <w:highlight w:val="none"/>
                <w:lang w:val="zh-CN"/>
              </w:rPr>
            </w:pPr>
            <w:r>
              <w:rPr>
                <w:rFonts w:hint="eastAsia" w:ascii="宋体" w:hAnsi="宋体" w:cs="Times New Roman"/>
                <w:color w:val="auto"/>
                <w:szCs w:val="21"/>
                <w:highlight w:val="none"/>
                <w:lang w:val="zh-CN"/>
              </w:rPr>
              <w:t>评分规则</w:t>
            </w:r>
          </w:p>
        </w:tc>
        <w:tc>
          <w:tcPr>
            <w:tcW w:w="687" w:type="dxa"/>
            <w:tcBorders>
              <w:top w:val="single" w:color="auto" w:sz="6" w:space="0"/>
              <w:left w:val="single" w:color="auto" w:sz="6" w:space="0"/>
              <w:bottom w:val="single" w:color="auto" w:sz="6" w:space="0"/>
              <w:right w:val="single" w:color="auto" w:sz="4" w:space="0"/>
            </w:tcBorders>
            <w:vAlign w:val="center"/>
          </w:tcPr>
          <w:p w14:paraId="67EC165A">
            <w:pPr>
              <w:autoSpaceDE w:val="0"/>
              <w:autoSpaceDN w:val="0"/>
              <w:adjustRightInd w:val="0"/>
              <w:jc w:val="center"/>
              <w:rPr>
                <w:rFonts w:ascii="宋体" w:hAnsi="宋体" w:cs="Times New Roman"/>
                <w:color w:val="auto"/>
                <w:szCs w:val="21"/>
                <w:highlight w:val="none"/>
              </w:rPr>
            </w:pPr>
            <w:r>
              <w:rPr>
                <w:rFonts w:hint="eastAsia" w:ascii="宋体" w:hAnsi="宋体" w:cs="Times New Roman"/>
                <w:color w:val="auto"/>
                <w:szCs w:val="21"/>
                <w:highlight w:val="none"/>
              </w:rPr>
              <w:t>权重</w:t>
            </w:r>
          </w:p>
        </w:tc>
        <w:tc>
          <w:tcPr>
            <w:tcW w:w="1545" w:type="dxa"/>
            <w:tcBorders>
              <w:top w:val="single" w:color="auto" w:sz="6" w:space="0"/>
              <w:left w:val="single" w:color="auto" w:sz="4" w:space="0"/>
              <w:bottom w:val="single" w:color="auto" w:sz="6" w:space="0"/>
              <w:right w:val="single" w:color="auto" w:sz="6" w:space="0"/>
            </w:tcBorders>
            <w:vAlign w:val="center"/>
          </w:tcPr>
          <w:p w14:paraId="7431BC4A">
            <w:pPr>
              <w:autoSpaceDE w:val="0"/>
              <w:autoSpaceDN w:val="0"/>
              <w:adjustRightInd w:val="0"/>
              <w:jc w:val="center"/>
              <w:rPr>
                <w:rFonts w:ascii="宋体" w:hAnsi="宋体" w:cs="Times New Roman"/>
                <w:color w:val="auto"/>
                <w:szCs w:val="21"/>
                <w:highlight w:val="none"/>
              </w:rPr>
            </w:pPr>
            <w:r>
              <w:rPr>
                <w:rFonts w:hint="eastAsia" w:ascii="宋体" w:hAnsi="宋体" w:cs="Times New Roman"/>
                <w:color w:val="auto"/>
                <w:szCs w:val="21"/>
                <w:highlight w:val="none"/>
                <w:lang w:val="zh-CN"/>
              </w:rPr>
              <w:t>评分方式</w:t>
            </w:r>
          </w:p>
        </w:tc>
      </w:tr>
      <w:tr w14:paraId="2873F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612" w:type="dxa"/>
            <w:tcBorders>
              <w:top w:val="single" w:color="auto" w:sz="6" w:space="0"/>
              <w:left w:val="single" w:color="auto" w:sz="4" w:space="0"/>
              <w:bottom w:val="single" w:color="auto" w:sz="6" w:space="0"/>
              <w:right w:val="single" w:color="auto" w:sz="4" w:space="0"/>
            </w:tcBorders>
            <w:vAlign w:val="center"/>
          </w:tcPr>
          <w:p w14:paraId="1537839B">
            <w:pPr>
              <w:jc w:val="center"/>
              <w:rPr>
                <w:rFonts w:ascii="宋体" w:hAnsi="宋体" w:cs="Times New Roman"/>
                <w:color w:val="auto"/>
                <w:szCs w:val="21"/>
                <w:highlight w:val="none"/>
                <w:lang w:val="zh-CN"/>
              </w:rPr>
            </w:pPr>
            <w:r>
              <w:rPr>
                <w:rFonts w:hint="eastAsia" w:ascii="宋体" w:hAnsi="宋体" w:cs="Times New Roman"/>
                <w:color w:val="auto"/>
                <w:szCs w:val="21"/>
                <w:highlight w:val="none"/>
                <w:lang w:val="zh-CN"/>
              </w:rPr>
              <w:t>1</w:t>
            </w:r>
          </w:p>
        </w:tc>
        <w:tc>
          <w:tcPr>
            <w:tcW w:w="6456" w:type="dxa"/>
            <w:gridSpan w:val="2"/>
            <w:tcBorders>
              <w:top w:val="single" w:color="auto" w:sz="6" w:space="0"/>
              <w:left w:val="single" w:color="auto" w:sz="4" w:space="0"/>
              <w:bottom w:val="single" w:color="auto" w:sz="6" w:space="0"/>
              <w:right w:val="single" w:color="auto" w:sz="6" w:space="0"/>
            </w:tcBorders>
            <w:vAlign w:val="center"/>
          </w:tcPr>
          <w:p w14:paraId="348A6589">
            <w:pPr>
              <w:autoSpaceDE w:val="0"/>
              <w:autoSpaceDN w:val="0"/>
              <w:adjustRightInd w:val="0"/>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rPr>
              <w:t>综合评分法中的价格分统一采用低价优先法计算,即满足招标文件要求且投标价格最低的投标报价为评标基准价,其价格分为满分。其他投标人的价格分统一按照下列公式计算：投标报价得分=(评标基准价/投标报价)×权重</w:t>
            </w:r>
            <w:r>
              <w:rPr>
                <w:rFonts w:hint="eastAsia" w:cs="Times New Roman"/>
                <w:color w:val="auto"/>
                <w:szCs w:val="21"/>
                <w:highlight w:val="none"/>
              </w:rPr>
              <w:t>。</w:t>
            </w:r>
          </w:p>
        </w:tc>
        <w:tc>
          <w:tcPr>
            <w:tcW w:w="687" w:type="dxa"/>
            <w:tcBorders>
              <w:top w:val="single" w:color="auto" w:sz="6" w:space="0"/>
              <w:left w:val="single" w:color="auto" w:sz="6" w:space="0"/>
              <w:bottom w:val="single" w:color="auto" w:sz="6" w:space="0"/>
              <w:right w:val="single" w:color="auto" w:sz="4" w:space="0"/>
            </w:tcBorders>
            <w:vAlign w:val="center"/>
          </w:tcPr>
          <w:p w14:paraId="4ED9B0E8">
            <w:pPr>
              <w:autoSpaceDE w:val="0"/>
              <w:autoSpaceDN w:val="0"/>
              <w:adjustRightInd w:val="0"/>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20</w:t>
            </w:r>
          </w:p>
        </w:tc>
        <w:tc>
          <w:tcPr>
            <w:tcW w:w="1545" w:type="dxa"/>
            <w:tcBorders>
              <w:top w:val="single" w:color="auto" w:sz="6" w:space="0"/>
              <w:left w:val="single" w:color="auto" w:sz="4" w:space="0"/>
              <w:bottom w:val="single" w:color="auto" w:sz="6" w:space="0"/>
              <w:right w:val="single" w:color="auto" w:sz="6" w:space="0"/>
            </w:tcBorders>
            <w:vAlign w:val="center"/>
          </w:tcPr>
          <w:p w14:paraId="28522FCD">
            <w:pPr>
              <w:autoSpaceDE w:val="0"/>
              <w:autoSpaceDN w:val="0"/>
              <w:adjustRightInd w:val="0"/>
              <w:jc w:val="center"/>
              <w:rPr>
                <w:rFonts w:ascii="宋体" w:hAnsi="宋体" w:cs="Times New Roman"/>
                <w:color w:val="auto"/>
                <w:szCs w:val="21"/>
                <w:highlight w:val="none"/>
              </w:rPr>
            </w:pPr>
            <w:r>
              <w:rPr>
                <w:rFonts w:hint="eastAsia" w:ascii="宋体" w:hAnsi="宋体" w:cs="Times New Roman"/>
                <w:color w:val="auto"/>
                <w:szCs w:val="21"/>
                <w:highlight w:val="none"/>
                <w:lang w:val="zh-CN"/>
              </w:rPr>
              <w:t>按公式计算</w:t>
            </w:r>
          </w:p>
        </w:tc>
      </w:tr>
      <w:tr w14:paraId="44E9E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7068" w:type="dxa"/>
            <w:gridSpan w:val="3"/>
            <w:tcBorders>
              <w:top w:val="single" w:color="auto" w:sz="6" w:space="0"/>
              <w:left w:val="single" w:color="auto" w:sz="6" w:space="0"/>
              <w:bottom w:val="single" w:color="auto" w:sz="6" w:space="0"/>
              <w:right w:val="single" w:color="auto" w:sz="6" w:space="0"/>
            </w:tcBorders>
            <w:vAlign w:val="center"/>
          </w:tcPr>
          <w:p w14:paraId="70E35EDC">
            <w:pPr>
              <w:autoSpaceDE w:val="0"/>
              <w:autoSpaceDN w:val="0"/>
              <w:adjustRightInd w:val="0"/>
              <w:jc w:val="center"/>
              <w:rPr>
                <w:rFonts w:ascii="宋体" w:hAnsi="宋体" w:cs="Times New Roman"/>
                <w:b/>
                <w:color w:val="auto"/>
                <w:szCs w:val="21"/>
                <w:highlight w:val="none"/>
              </w:rPr>
            </w:pPr>
            <w:r>
              <w:rPr>
                <w:rFonts w:hint="eastAsia" w:ascii="宋体" w:hAnsi="宋体" w:cs="Times New Roman"/>
                <w:b/>
                <w:color w:val="auto"/>
                <w:szCs w:val="21"/>
                <w:highlight w:val="none"/>
                <w:lang w:val="zh-CN"/>
              </w:rPr>
              <w:t>二、业绩部分</w:t>
            </w:r>
          </w:p>
        </w:tc>
        <w:tc>
          <w:tcPr>
            <w:tcW w:w="2232" w:type="dxa"/>
            <w:gridSpan w:val="2"/>
            <w:tcBorders>
              <w:top w:val="single" w:color="auto" w:sz="6" w:space="0"/>
              <w:left w:val="single" w:color="auto" w:sz="6" w:space="0"/>
              <w:bottom w:val="single" w:color="auto" w:sz="6" w:space="0"/>
              <w:right w:val="single" w:color="auto" w:sz="6" w:space="0"/>
            </w:tcBorders>
            <w:vAlign w:val="center"/>
          </w:tcPr>
          <w:p w14:paraId="1504170B">
            <w:pPr>
              <w:autoSpaceDE w:val="0"/>
              <w:autoSpaceDN w:val="0"/>
              <w:adjustRightInd w:val="0"/>
              <w:jc w:val="center"/>
              <w:rPr>
                <w:rFonts w:ascii="宋体" w:hAnsi="宋体" w:cs="Times New Roman"/>
                <w:color w:val="auto"/>
                <w:szCs w:val="21"/>
                <w:highlight w:val="none"/>
              </w:rPr>
            </w:pPr>
            <w:r>
              <w:rPr>
                <w:rFonts w:hint="eastAsia" w:ascii="宋体" w:hAnsi="宋体" w:cs="Times New Roman"/>
                <w:b/>
                <w:bCs/>
                <w:color w:val="auto"/>
                <w:szCs w:val="21"/>
                <w:highlight w:val="none"/>
                <w:lang w:val="en-US" w:eastAsia="zh-CN"/>
              </w:rPr>
              <w:t>40</w:t>
            </w:r>
            <w:r>
              <w:rPr>
                <w:rFonts w:hint="eastAsia" w:ascii="宋体" w:hAnsi="宋体" w:cs="Times New Roman"/>
                <w:b/>
                <w:bCs/>
                <w:color w:val="auto"/>
                <w:szCs w:val="21"/>
                <w:highlight w:val="none"/>
              </w:rPr>
              <w:t>分</w:t>
            </w:r>
          </w:p>
        </w:tc>
      </w:tr>
      <w:tr w14:paraId="34BF7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612" w:type="dxa"/>
            <w:tcBorders>
              <w:top w:val="single" w:color="auto" w:sz="6" w:space="0"/>
              <w:left w:val="single" w:color="auto" w:sz="6" w:space="0"/>
              <w:bottom w:val="single" w:color="auto" w:sz="6" w:space="0"/>
              <w:right w:val="single" w:color="auto" w:sz="6" w:space="0"/>
            </w:tcBorders>
            <w:vAlign w:val="center"/>
          </w:tcPr>
          <w:p w14:paraId="34713BEC">
            <w:pPr>
              <w:autoSpaceDE w:val="0"/>
              <w:autoSpaceDN w:val="0"/>
              <w:adjustRightInd w:val="0"/>
              <w:jc w:val="center"/>
              <w:rPr>
                <w:rFonts w:ascii="宋体" w:hAnsi="宋体" w:cs="Times New Roman"/>
                <w:color w:val="auto"/>
                <w:szCs w:val="21"/>
                <w:highlight w:val="none"/>
              </w:rPr>
            </w:pPr>
            <w:r>
              <w:rPr>
                <w:rFonts w:hint="eastAsia" w:ascii="宋体" w:hAnsi="宋体" w:cs="Times New Roman"/>
                <w:color w:val="auto"/>
                <w:szCs w:val="21"/>
                <w:highlight w:val="none"/>
                <w:lang w:val="zh-CN"/>
              </w:rPr>
              <w:t>序号</w:t>
            </w:r>
          </w:p>
        </w:tc>
        <w:tc>
          <w:tcPr>
            <w:tcW w:w="1763" w:type="dxa"/>
            <w:tcBorders>
              <w:top w:val="single" w:color="auto" w:sz="6" w:space="0"/>
              <w:left w:val="single" w:color="auto" w:sz="6" w:space="0"/>
              <w:bottom w:val="single" w:color="auto" w:sz="6" w:space="0"/>
              <w:right w:val="single" w:color="auto" w:sz="6" w:space="0"/>
            </w:tcBorders>
            <w:vAlign w:val="center"/>
          </w:tcPr>
          <w:p w14:paraId="3A222FDE">
            <w:pPr>
              <w:autoSpaceDE w:val="0"/>
              <w:autoSpaceDN w:val="0"/>
              <w:adjustRightInd w:val="0"/>
              <w:jc w:val="center"/>
              <w:rPr>
                <w:rFonts w:ascii="宋体" w:hAnsi="宋体" w:cs="Times New Roman"/>
                <w:color w:val="auto"/>
                <w:szCs w:val="21"/>
                <w:highlight w:val="none"/>
              </w:rPr>
            </w:pPr>
            <w:r>
              <w:rPr>
                <w:rFonts w:hint="eastAsia" w:ascii="宋体" w:hAnsi="宋体" w:cs="Times New Roman"/>
                <w:color w:val="auto"/>
                <w:szCs w:val="21"/>
                <w:highlight w:val="none"/>
                <w:lang w:val="zh-CN"/>
              </w:rPr>
              <w:t>内容</w:t>
            </w:r>
          </w:p>
        </w:tc>
        <w:tc>
          <w:tcPr>
            <w:tcW w:w="4693" w:type="dxa"/>
            <w:tcBorders>
              <w:top w:val="single" w:color="auto" w:sz="6" w:space="0"/>
              <w:left w:val="single" w:color="auto" w:sz="6" w:space="0"/>
              <w:bottom w:val="single" w:color="auto" w:sz="6" w:space="0"/>
              <w:right w:val="single" w:color="auto" w:sz="6" w:space="0"/>
            </w:tcBorders>
            <w:vAlign w:val="center"/>
          </w:tcPr>
          <w:p w14:paraId="12F2100E">
            <w:pPr>
              <w:autoSpaceDE w:val="0"/>
              <w:autoSpaceDN w:val="0"/>
              <w:adjustRightInd w:val="0"/>
              <w:jc w:val="center"/>
              <w:rPr>
                <w:rFonts w:ascii="宋体" w:hAnsi="宋体" w:cs="Times New Roman"/>
                <w:color w:val="auto"/>
                <w:szCs w:val="21"/>
                <w:highlight w:val="none"/>
              </w:rPr>
            </w:pPr>
            <w:r>
              <w:rPr>
                <w:rFonts w:hint="eastAsia" w:ascii="宋体" w:hAnsi="宋体" w:cs="Times New Roman"/>
                <w:color w:val="auto"/>
                <w:szCs w:val="21"/>
                <w:highlight w:val="none"/>
                <w:lang w:val="zh-CN"/>
              </w:rPr>
              <w:t>评分规则</w:t>
            </w:r>
          </w:p>
        </w:tc>
        <w:tc>
          <w:tcPr>
            <w:tcW w:w="687" w:type="dxa"/>
            <w:tcBorders>
              <w:top w:val="single" w:color="auto" w:sz="6" w:space="0"/>
              <w:left w:val="single" w:color="auto" w:sz="6" w:space="0"/>
              <w:bottom w:val="single" w:color="auto" w:sz="6" w:space="0"/>
              <w:right w:val="single" w:color="auto" w:sz="4" w:space="0"/>
            </w:tcBorders>
            <w:vAlign w:val="center"/>
          </w:tcPr>
          <w:p w14:paraId="48FE072E">
            <w:pPr>
              <w:autoSpaceDE w:val="0"/>
              <w:autoSpaceDN w:val="0"/>
              <w:adjustRightInd w:val="0"/>
              <w:jc w:val="center"/>
              <w:rPr>
                <w:rFonts w:ascii="宋体" w:hAnsi="宋体" w:cs="Times New Roman"/>
                <w:color w:val="auto"/>
                <w:szCs w:val="21"/>
                <w:highlight w:val="none"/>
              </w:rPr>
            </w:pPr>
            <w:r>
              <w:rPr>
                <w:rFonts w:hint="eastAsia" w:ascii="宋体" w:hAnsi="宋体" w:cs="Times New Roman"/>
                <w:color w:val="auto"/>
                <w:szCs w:val="21"/>
                <w:highlight w:val="none"/>
                <w:lang w:val="zh-CN"/>
              </w:rPr>
              <w:t>权重</w:t>
            </w:r>
          </w:p>
        </w:tc>
        <w:tc>
          <w:tcPr>
            <w:tcW w:w="1545" w:type="dxa"/>
            <w:tcBorders>
              <w:top w:val="single" w:color="auto" w:sz="6" w:space="0"/>
              <w:left w:val="single" w:color="auto" w:sz="4" w:space="0"/>
              <w:bottom w:val="single" w:color="auto" w:sz="6" w:space="0"/>
              <w:right w:val="single" w:color="auto" w:sz="6" w:space="0"/>
            </w:tcBorders>
            <w:vAlign w:val="center"/>
          </w:tcPr>
          <w:p w14:paraId="4D9B551C">
            <w:pPr>
              <w:autoSpaceDE w:val="0"/>
              <w:autoSpaceDN w:val="0"/>
              <w:adjustRightInd w:val="0"/>
              <w:jc w:val="center"/>
              <w:rPr>
                <w:rFonts w:ascii="宋体" w:hAnsi="宋体" w:cs="Times New Roman"/>
                <w:color w:val="auto"/>
                <w:szCs w:val="21"/>
                <w:highlight w:val="none"/>
              </w:rPr>
            </w:pPr>
            <w:r>
              <w:rPr>
                <w:rFonts w:hint="eastAsia" w:ascii="宋体" w:hAnsi="宋体" w:cs="Times New Roman"/>
                <w:color w:val="auto"/>
                <w:szCs w:val="21"/>
                <w:highlight w:val="none"/>
                <w:lang w:val="zh-CN"/>
              </w:rPr>
              <w:t>评分方式</w:t>
            </w:r>
          </w:p>
        </w:tc>
      </w:tr>
      <w:tr w14:paraId="6DE1E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612" w:type="dxa"/>
            <w:tcBorders>
              <w:top w:val="single" w:color="auto" w:sz="6" w:space="0"/>
              <w:left w:val="single" w:color="auto" w:sz="6" w:space="0"/>
              <w:bottom w:val="single" w:color="auto" w:sz="4" w:space="0"/>
              <w:right w:val="single" w:color="auto" w:sz="6" w:space="0"/>
            </w:tcBorders>
            <w:vAlign w:val="center"/>
          </w:tcPr>
          <w:p w14:paraId="583949B1">
            <w:pPr>
              <w:autoSpaceDE w:val="0"/>
              <w:autoSpaceDN w:val="0"/>
              <w:adjustRightInd w:val="0"/>
              <w:jc w:val="center"/>
              <w:rPr>
                <w:rFonts w:ascii="宋体" w:hAnsi="宋体" w:cs="Times New Roman"/>
                <w:color w:val="auto"/>
                <w:szCs w:val="21"/>
                <w:highlight w:val="none"/>
                <w:lang w:val="zh-CN"/>
              </w:rPr>
            </w:pPr>
            <w:r>
              <w:rPr>
                <w:rFonts w:hint="eastAsia" w:ascii="宋体" w:hAnsi="宋体" w:cs="Times New Roman"/>
                <w:color w:val="auto"/>
                <w:szCs w:val="21"/>
                <w:highlight w:val="none"/>
                <w:lang w:val="zh-CN"/>
              </w:rPr>
              <w:t>1</w:t>
            </w:r>
          </w:p>
        </w:tc>
        <w:tc>
          <w:tcPr>
            <w:tcW w:w="1763" w:type="dxa"/>
            <w:tcBorders>
              <w:top w:val="single" w:color="auto" w:sz="6" w:space="0"/>
              <w:left w:val="single" w:color="auto" w:sz="6" w:space="0"/>
              <w:bottom w:val="single" w:color="auto" w:sz="6" w:space="0"/>
              <w:right w:val="single" w:color="auto" w:sz="6" w:space="0"/>
            </w:tcBorders>
            <w:vAlign w:val="center"/>
          </w:tcPr>
          <w:p w14:paraId="144A52CF">
            <w:pPr>
              <w:autoSpaceDE w:val="0"/>
              <w:autoSpaceDN w:val="0"/>
              <w:adjustRightInd w:val="0"/>
              <w:jc w:val="center"/>
              <w:rPr>
                <w:rFonts w:ascii="宋体" w:hAnsi="宋体" w:cs="Times New Roman"/>
                <w:color w:val="auto"/>
                <w:szCs w:val="21"/>
                <w:highlight w:val="none"/>
                <w:lang w:val="zh-CN"/>
              </w:rPr>
            </w:pPr>
            <w:r>
              <w:rPr>
                <w:rFonts w:hint="eastAsia" w:ascii="宋体" w:hAnsi="宋体" w:cs="Times New Roman"/>
                <w:color w:val="auto"/>
                <w:szCs w:val="21"/>
                <w:highlight w:val="none"/>
                <w:lang w:val="zh-CN"/>
              </w:rPr>
              <w:t>企业资质情况</w:t>
            </w:r>
          </w:p>
        </w:tc>
        <w:tc>
          <w:tcPr>
            <w:tcW w:w="4693" w:type="dxa"/>
            <w:tcBorders>
              <w:top w:val="single" w:color="auto" w:sz="6" w:space="0"/>
              <w:left w:val="single" w:color="auto" w:sz="6" w:space="0"/>
              <w:bottom w:val="single" w:color="auto" w:sz="6" w:space="0"/>
              <w:right w:val="single" w:color="auto" w:sz="6" w:space="0"/>
            </w:tcBorders>
            <w:vAlign w:val="center"/>
          </w:tcPr>
          <w:p w14:paraId="5491618D">
            <w:pPr>
              <w:autoSpaceDE w:val="0"/>
              <w:autoSpaceDN w:val="0"/>
              <w:adjustRightInd w:val="0"/>
              <w:ind w:firstLine="420" w:firstLineChars="200"/>
              <w:jc w:val="left"/>
              <w:rPr>
                <w:rFonts w:hint="eastAsia" w:ascii="宋体" w:hAnsi="宋体" w:cs="Times New Roman"/>
                <w:color w:val="auto"/>
                <w:szCs w:val="21"/>
                <w:highlight w:val="none"/>
                <w:lang w:val="zh-CN"/>
              </w:rPr>
            </w:pPr>
            <w:r>
              <w:rPr>
                <w:rFonts w:hint="eastAsia" w:ascii="宋体" w:hAnsi="宋体" w:cs="Times New Roman"/>
                <w:color w:val="auto"/>
                <w:szCs w:val="21"/>
                <w:highlight w:val="none"/>
              </w:rPr>
              <w:t>投标人营业或业务范围内包含</w:t>
            </w:r>
            <w:r>
              <w:rPr>
                <w:rFonts w:hint="eastAsia" w:ascii="宋体" w:hAnsi="宋体" w:cs="Times New Roman"/>
                <w:color w:val="auto"/>
                <w:szCs w:val="21"/>
                <w:highlight w:val="none"/>
                <w:lang w:eastAsia="zh-CN"/>
              </w:rPr>
              <w:t>培训</w:t>
            </w:r>
            <w:r>
              <w:rPr>
                <w:rFonts w:hint="eastAsia" w:ascii="宋体" w:hAnsi="宋体" w:cs="Times New Roman"/>
                <w:color w:val="auto"/>
                <w:szCs w:val="21"/>
                <w:highlight w:val="none"/>
              </w:rPr>
              <w:t>、</w:t>
            </w:r>
            <w:r>
              <w:rPr>
                <w:rFonts w:hint="eastAsia" w:ascii="宋体" w:hAnsi="宋体" w:cs="Times New Roman"/>
                <w:color w:val="auto"/>
                <w:szCs w:val="21"/>
                <w:highlight w:val="none"/>
                <w:lang w:eastAsia="zh-CN"/>
              </w:rPr>
              <w:t>安全管理、安全评价、安全评估</w:t>
            </w:r>
            <w:r>
              <w:rPr>
                <w:rFonts w:hint="eastAsia" w:ascii="宋体" w:hAnsi="宋体" w:cs="Times New Roman"/>
                <w:color w:val="auto"/>
                <w:szCs w:val="21"/>
                <w:highlight w:val="none"/>
              </w:rPr>
              <w:t>等相关工作的，得</w:t>
            </w:r>
            <w:r>
              <w:rPr>
                <w:rFonts w:hint="eastAsia" w:ascii="宋体" w:hAnsi="宋体" w:cs="Times New Roman"/>
                <w:color w:val="auto"/>
                <w:szCs w:val="21"/>
                <w:highlight w:val="none"/>
                <w:lang w:val="en-US" w:eastAsia="zh-CN"/>
              </w:rPr>
              <w:t>5</w:t>
            </w:r>
            <w:r>
              <w:rPr>
                <w:rFonts w:hint="eastAsia" w:ascii="宋体" w:hAnsi="宋体" w:cs="Times New Roman"/>
                <w:color w:val="auto"/>
                <w:szCs w:val="21"/>
                <w:highlight w:val="none"/>
              </w:rPr>
              <w:t>分（提供相关纸质证书或机构代码证书扫描件为证，否则不得分）。</w:t>
            </w:r>
          </w:p>
        </w:tc>
        <w:tc>
          <w:tcPr>
            <w:tcW w:w="687" w:type="dxa"/>
            <w:tcBorders>
              <w:top w:val="single" w:color="auto" w:sz="6" w:space="0"/>
              <w:left w:val="single" w:color="auto" w:sz="6" w:space="0"/>
              <w:bottom w:val="single" w:color="auto" w:sz="6" w:space="0"/>
              <w:right w:val="single" w:color="auto" w:sz="4" w:space="0"/>
            </w:tcBorders>
            <w:vAlign w:val="center"/>
          </w:tcPr>
          <w:p w14:paraId="1C25AC1B">
            <w:pPr>
              <w:autoSpaceDE w:val="0"/>
              <w:autoSpaceDN w:val="0"/>
              <w:adjustRightInd w:val="0"/>
              <w:jc w:val="center"/>
              <w:rPr>
                <w:rFonts w:ascii="宋体" w:hAnsi="宋体" w:cs="Times New Roman"/>
                <w:color w:val="auto"/>
                <w:szCs w:val="21"/>
                <w:highlight w:val="none"/>
              </w:rPr>
            </w:pPr>
            <w:r>
              <w:rPr>
                <w:rFonts w:hint="eastAsia" w:ascii="宋体" w:hAnsi="宋体" w:cs="Times New Roman"/>
                <w:color w:val="auto"/>
                <w:szCs w:val="21"/>
                <w:highlight w:val="none"/>
              </w:rPr>
              <w:t>5</w:t>
            </w:r>
          </w:p>
        </w:tc>
        <w:tc>
          <w:tcPr>
            <w:tcW w:w="1545" w:type="dxa"/>
            <w:tcBorders>
              <w:top w:val="single" w:color="auto" w:sz="6" w:space="0"/>
              <w:left w:val="single" w:color="auto" w:sz="4" w:space="0"/>
              <w:bottom w:val="single" w:color="auto" w:sz="6" w:space="0"/>
              <w:right w:val="single" w:color="auto" w:sz="6" w:space="0"/>
            </w:tcBorders>
            <w:vAlign w:val="center"/>
          </w:tcPr>
          <w:p w14:paraId="08BABA54">
            <w:pPr>
              <w:autoSpaceDE w:val="0"/>
              <w:autoSpaceDN w:val="0"/>
              <w:adjustRightInd w:val="0"/>
              <w:jc w:val="center"/>
              <w:rPr>
                <w:rFonts w:ascii="宋体" w:hAnsi="宋体" w:cs="Times New Roman"/>
                <w:color w:val="auto"/>
                <w:szCs w:val="21"/>
                <w:highlight w:val="none"/>
                <w:lang w:val="zh-CN"/>
              </w:rPr>
            </w:pPr>
            <w:r>
              <w:rPr>
                <w:rFonts w:hint="eastAsia" w:ascii="宋体" w:hAnsi="宋体" w:cs="Times New Roman"/>
                <w:color w:val="auto"/>
                <w:szCs w:val="21"/>
                <w:highlight w:val="none"/>
                <w:lang w:val="zh-CN"/>
              </w:rPr>
              <w:t>专家打分</w:t>
            </w:r>
          </w:p>
        </w:tc>
      </w:tr>
      <w:tr w14:paraId="71C3B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612" w:type="dxa"/>
            <w:vMerge w:val="restart"/>
            <w:tcBorders>
              <w:top w:val="single" w:color="auto" w:sz="6" w:space="0"/>
              <w:left w:val="single" w:color="auto" w:sz="6" w:space="0"/>
              <w:right w:val="single" w:color="auto" w:sz="6" w:space="0"/>
            </w:tcBorders>
            <w:vAlign w:val="center"/>
          </w:tcPr>
          <w:p w14:paraId="2462C3F5">
            <w:pPr>
              <w:autoSpaceDE w:val="0"/>
              <w:autoSpaceDN w:val="0"/>
              <w:adjustRightInd w:val="0"/>
              <w:jc w:val="center"/>
              <w:rPr>
                <w:rFonts w:ascii="宋体" w:hAnsi="宋体" w:cs="Times New Roman"/>
                <w:color w:val="auto"/>
                <w:szCs w:val="21"/>
                <w:highlight w:val="none"/>
                <w:lang w:val="zh-CN"/>
              </w:rPr>
            </w:pPr>
            <w:r>
              <w:rPr>
                <w:rFonts w:hint="eastAsia" w:ascii="宋体" w:hAnsi="宋体" w:cs="Times New Roman"/>
                <w:color w:val="auto"/>
                <w:szCs w:val="21"/>
                <w:highlight w:val="none"/>
                <w:lang w:val="zh-CN"/>
              </w:rPr>
              <w:t>2</w:t>
            </w:r>
          </w:p>
        </w:tc>
        <w:tc>
          <w:tcPr>
            <w:tcW w:w="1763" w:type="dxa"/>
            <w:vMerge w:val="restart"/>
            <w:tcBorders>
              <w:top w:val="single" w:color="auto" w:sz="6" w:space="0"/>
              <w:left w:val="single" w:color="auto" w:sz="6" w:space="0"/>
              <w:right w:val="single" w:color="auto" w:sz="6" w:space="0"/>
            </w:tcBorders>
            <w:vAlign w:val="center"/>
          </w:tcPr>
          <w:p w14:paraId="2ECEA8CA">
            <w:pPr>
              <w:autoSpaceDE w:val="0"/>
              <w:autoSpaceDN w:val="0"/>
              <w:adjustRightInd w:val="0"/>
              <w:jc w:val="center"/>
              <w:rPr>
                <w:rFonts w:ascii="宋体" w:hAnsi="宋体" w:cs="Times New Roman"/>
                <w:color w:val="auto"/>
                <w:szCs w:val="21"/>
                <w:highlight w:val="none"/>
                <w:lang w:val="zh-CN"/>
              </w:rPr>
            </w:pPr>
            <w:r>
              <w:rPr>
                <w:rFonts w:hint="eastAsia" w:ascii="宋体" w:hAnsi="宋体" w:cs="Times New Roman"/>
                <w:color w:val="auto"/>
                <w:szCs w:val="21"/>
                <w:highlight w:val="none"/>
                <w:lang w:val="zh-CN"/>
              </w:rPr>
              <w:t>企业近三年以来有关业绩情况</w:t>
            </w:r>
          </w:p>
        </w:tc>
        <w:tc>
          <w:tcPr>
            <w:tcW w:w="4693" w:type="dxa"/>
            <w:tcBorders>
              <w:top w:val="single" w:color="auto" w:sz="6" w:space="0"/>
              <w:left w:val="single" w:color="auto" w:sz="6" w:space="0"/>
              <w:bottom w:val="single" w:color="auto" w:sz="6" w:space="0"/>
              <w:right w:val="single" w:color="auto" w:sz="6" w:space="0"/>
            </w:tcBorders>
            <w:vAlign w:val="center"/>
          </w:tcPr>
          <w:p w14:paraId="02DC8DB5">
            <w:pPr>
              <w:autoSpaceDE w:val="0"/>
              <w:autoSpaceDN w:val="0"/>
              <w:adjustRightInd w:val="0"/>
              <w:ind w:firstLine="420" w:firstLineChars="200"/>
              <w:jc w:val="left"/>
              <w:rPr>
                <w:rFonts w:hint="eastAsia" w:ascii="宋体" w:hAnsi="宋体" w:cs="Times New Roman"/>
                <w:color w:val="auto"/>
                <w:szCs w:val="21"/>
                <w:highlight w:val="none"/>
                <w:lang w:val="zh-CN"/>
              </w:rPr>
            </w:pPr>
            <w:r>
              <w:rPr>
                <w:rFonts w:hint="eastAsia" w:ascii="宋体" w:hAnsi="宋体" w:cs="Times New Roman"/>
                <w:color w:val="auto"/>
                <w:szCs w:val="21"/>
                <w:highlight w:val="none"/>
                <w:lang w:eastAsia="zh-CN"/>
              </w:rPr>
              <w:t>20</w:t>
            </w:r>
            <w:r>
              <w:rPr>
                <w:rFonts w:hint="eastAsia" w:ascii="宋体" w:hAnsi="宋体" w:cs="Times New Roman"/>
                <w:color w:val="auto"/>
                <w:szCs w:val="21"/>
                <w:highlight w:val="none"/>
                <w:lang w:val="en-US" w:eastAsia="zh-CN"/>
              </w:rPr>
              <w:t>21</w:t>
            </w:r>
            <w:r>
              <w:rPr>
                <w:rFonts w:hint="eastAsia" w:ascii="宋体" w:hAnsi="宋体" w:cs="Times New Roman"/>
                <w:color w:val="auto"/>
                <w:szCs w:val="21"/>
                <w:highlight w:val="none"/>
                <w:lang w:eastAsia="zh-CN"/>
              </w:rPr>
              <w:t>年1月1日至今期间，投标人受政府部门委托开展涉及安全管理相关培训的，一次得</w:t>
            </w:r>
            <w:r>
              <w:rPr>
                <w:rFonts w:hint="eastAsia" w:ascii="宋体" w:hAnsi="宋体" w:cs="Times New Roman"/>
                <w:color w:val="auto"/>
                <w:szCs w:val="21"/>
                <w:highlight w:val="none"/>
                <w:lang w:val="en-US" w:eastAsia="zh-CN"/>
              </w:rPr>
              <w:t>2</w:t>
            </w:r>
            <w:r>
              <w:rPr>
                <w:rFonts w:hint="eastAsia" w:ascii="宋体" w:hAnsi="宋体" w:cs="Times New Roman"/>
                <w:color w:val="auto"/>
                <w:szCs w:val="21"/>
                <w:highlight w:val="none"/>
                <w:lang w:eastAsia="zh-CN"/>
              </w:rPr>
              <w:t>分，累计上限最高为</w:t>
            </w:r>
            <w:r>
              <w:rPr>
                <w:rFonts w:hint="eastAsia" w:ascii="宋体" w:hAnsi="宋体" w:cs="Times New Roman"/>
                <w:color w:val="auto"/>
                <w:szCs w:val="21"/>
                <w:highlight w:val="none"/>
                <w:lang w:val="en-US" w:eastAsia="zh-CN"/>
              </w:rPr>
              <w:t>10</w:t>
            </w:r>
            <w:r>
              <w:rPr>
                <w:rFonts w:hint="eastAsia" w:ascii="宋体" w:hAnsi="宋体" w:cs="Times New Roman"/>
                <w:color w:val="auto"/>
                <w:szCs w:val="21"/>
                <w:highlight w:val="none"/>
                <w:lang w:eastAsia="zh-CN"/>
              </w:rPr>
              <w:t>分（提供合同扫描件为证，否则不得分）；</w:t>
            </w:r>
          </w:p>
        </w:tc>
        <w:tc>
          <w:tcPr>
            <w:tcW w:w="687" w:type="dxa"/>
            <w:tcBorders>
              <w:top w:val="single" w:color="auto" w:sz="6" w:space="0"/>
              <w:left w:val="single" w:color="auto" w:sz="6" w:space="0"/>
              <w:bottom w:val="single" w:color="auto" w:sz="6" w:space="0"/>
              <w:right w:val="single" w:color="auto" w:sz="4" w:space="0"/>
            </w:tcBorders>
            <w:vAlign w:val="center"/>
          </w:tcPr>
          <w:p w14:paraId="41B49D8D">
            <w:pPr>
              <w:autoSpaceDE w:val="0"/>
              <w:autoSpaceDN w:val="0"/>
              <w:adjustRightInd w:val="0"/>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10</w:t>
            </w:r>
          </w:p>
        </w:tc>
        <w:tc>
          <w:tcPr>
            <w:tcW w:w="1545" w:type="dxa"/>
            <w:tcBorders>
              <w:top w:val="single" w:color="auto" w:sz="6" w:space="0"/>
              <w:left w:val="single" w:color="auto" w:sz="4" w:space="0"/>
              <w:bottom w:val="single" w:color="auto" w:sz="6" w:space="0"/>
              <w:right w:val="single" w:color="auto" w:sz="6" w:space="0"/>
            </w:tcBorders>
            <w:vAlign w:val="center"/>
          </w:tcPr>
          <w:p w14:paraId="789EE870">
            <w:pPr>
              <w:jc w:val="center"/>
              <w:rPr>
                <w:rFonts w:ascii="宋体" w:hAnsi="宋体" w:cs="Times New Roman"/>
                <w:color w:val="auto"/>
                <w:szCs w:val="21"/>
                <w:highlight w:val="none"/>
                <w:lang w:val="zh-CN"/>
              </w:rPr>
            </w:pPr>
            <w:r>
              <w:rPr>
                <w:rFonts w:hint="eastAsia" w:ascii="宋体" w:hAnsi="宋体" w:cs="Times New Roman"/>
                <w:color w:val="auto"/>
                <w:szCs w:val="21"/>
                <w:highlight w:val="none"/>
                <w:lang w:val="zh-CN"/>
              </w:rPr>
              <w:t>专家打分</w:t>
            </w:r>
          </w:p>
        </w:tc>
      </w:tr>
      <w:tr w14:paraId="586CC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612" w:type="dxa"/>
            <w:vMerge w:val="continue"/>
            <w:tcBorders>
              <w:left w:val="single" w:color="auto" w:sz="6" w:space="0"/>
              <w:right w:val="single" w:color="auto" w:sz="6" w:space="0"/>
            </w:tcBorders>
            <w:vAlign w:val="center"/>
          </w:tcPr>
          <w:p w14:paraId="0ED9657A">
            <w:pPr>
              <w:widowControl/>
              <w:jc w:val="left"/>
              <w:rPr>
                <w:rFonts w:ascii="宋体" w:hAnsi="宋体" w:cs="Times New Roman"/>
                <w:color w:val="auto"/>
                <w:szCs w:val="21"/>
                <w:highlight w:val="none"/>
                <w:lang w:val="zh-CN"/>
              </w:rPr>
            </w:pPr>
          </w:p>
        </w:tc>
        <w:tc>
          <w:tcPr>
            <w:tcW w:w="1763" w:type="dxa"/>
            <w:vMerge w:val="continue"/>
            <w:tcBorders>
              <w:left w:val="single" w:color="auto" w:sz="6" w:space="0"/>
              <w:right w:val="single" w:color="auto" w:sz="6" w:space="0"/>
            </w:tcBorders>
            <w:vAlign w:val="center"/>
          </w:tcPr>
          <w:p w14:paraId="67C2A5DC">
            <w:pPr>
              <w:widowControl/>
              <w:jc w:val="left"/>
              <w:rPr>
                <w:rFonts w:ascii="宋体" w:hAnsi="宋体" w:cs="Times New Roman"/>
                <w:color w:val="auto"/>
                <w:szCs w:val="21"/>
                <w:highlight w:val="none"/>
                <w:lang w:val="zh-CN"/>
              </w:rPr>
            </w:pPr>
          </w:p>
        </w:tc>
        <w:tc>
          <w:tcPr>
            <w:tcW w:w="4693" w:type="dxa"/>
            <w:tcBorders>
              <w:top w:val="single" w:color="auto" w:sz="6" w:space="0"/>
              <w:left w:val="single" w:color="auto" w:sz="6" w:space="0"/>
              <w:bottom w:val="single" w:color="auto" w:sz="6" w:space="0"/>
              <w:right w:val="single" w:color="auto" w:sz="6" w:space="0"/>
            </w:tcBorders>
            <w:vAlign w:val="center"/>
          </w:tcPr>
          <w:p w14:paraId="7DEE9101">
            <w:pPr>
              <w:autoSpaceDE w:val="0"/>
              <w:autoSpaceDN w:val="0"/>
              <w:adjustRightInd w:val="0"/>
              <w:ind w:firstLine="420" w:firstLineChars="200"/>
              <w:jc w:val="left"/>
              <w:rPr>
                <w:rFonts w:hint="eastAsia" w:ascii="宋体" w:hAnsi="宋体" w:cs="Times New Roman"/>
                <w:color w:val="auto"/>
                <w:szCs w:val="21"/>
                <w:highlight w:val="none"/>
                <w:lang w:eastAsia="zh-CN"/>
              </w:rPr>
            </w:pPr>
            <w:r>
              <w:rPr>
                <w:rFonts w:hint="eastAsia" w:ascii="宋体" w:hAnsi="宋体" w:cs="Times New Roman"/>
                <w:color w:val="auto"/>
                <w:szCs w:val="21"/>
                <w:highlight w:val="none"/>
              </w:rPr>
              <w:t>20</w:t>
            </w:r>
            <w:r>
              <w:rPr>
                <w:rFonts w:hint="eastAsia" w:ascii="宋体" w:hAnsi="宋体" w:cs="Times New Roman"/>
                <w:color w:val="auto"/>
                <w:szCs w:val="21"/>
                <w:highlight w:val="none"/>
                <w:lang w:val="en-US" w:eastAsia="zh-CN"/>
              </w:rPr>
              <w:t>21</w:t>
            </w:r>
            <w:r>
              <w:rPr>
                <w:rFonts w:hint="eastAsia" w:ascii="宋体" w:hAnsi="宋体" w:cs="Times New Roman"/>
                <w:color w:val="auto"/>
                <w:szCs w:val="21"/>
                <w:highlight w:val="none"/>
              </w:rPr>
              <w:t>年1月1日至今期间</w:t>
            </w:r>
            <w:r>
              <w:rPr>
                <w:rFonts w:hint="eastAsia" w:ascii="宋体" w:hAnsi="宋体" w:cs="Times New Roman"/>
                <w:color w:val="auto"/>
                <w:szCs w:val="21"/>
                <w:highlight w:val="none"/>
                <w:lang w:eastAsia="zh-CN"/>
              </w:rPr>
              <w:t>，投标人</w:t>
            </w:r>
            <w:r>
              <w:rPr>
                <w:rFonts w:hint="eastAsia" w:ascii="宋体" w:hAnsi="宋体" w:cs="Times New Roman"/>
                <w:color w:val="auto"/>
                <w:szCs w:val="21"/>
                <w:highlight w:val="none"/>
              </w:rPr>
              <w:t>受政府</w:t>
            </w:r>
            <w:r>
              <w:rPr>
                <w:rFonts w:hint="eastAsia" w:ascii="宋体" w:hAnsi="宋体" w:cs="Times New Roman"/>
                <w:color w:val="auto"/>
                <w:szCs w:val="21"/>
                <w:highlight w:val="none"/>
                <w:lang w:eastAsia="zh-CN"/>
              </w:rPr>
              <w:t>部门</w:t>
            </w:r>
            <w:r>
              <w:rPr>
                <w:rFonts w:hint="eastAsia" w:ascii="宋体" w:hAnsi="宋体" w:cs="Times New Roman"/>
                <w:color w:val="auto"/>
                <w:szCs w:val="21"/>
                <w:highlight w:val="none"/>
              </w:rPr>
              <w:t>委托开展</w:t>
            </w:r>
            <w:r>
              <w:rPr>
                <w:rFonts w:hint="eastAsia" w:ascii="宋体" w:hAnsi="宋体" w:cs="Times New Roman"/>
                <w:color w:val="auto"/>
                <w:szCs w:val="21"/>
                <w:highlight w:val="none"/>
                <w:lang w:eastAsia="zh-CN"/>
              </w:rPr>
              <w:t>涉及建筑行业（含小散工程）</w:t>
            </w:r>
            <w:r>
              <w:rPr>
                <w:rFonts w:hint="eastAsia" w:ascii="宋体" w:hAnsi="宋体" w:cs="Times New Roman"/>
                <w:color w:val="auto"/>
                <w:szCs w:val="21"/>
                <w:highlight w:val="none"/>
              </w:rPr>
              <w:t>相关</w:t>
            </w:r>
            <w:r>
              <w:rPr>
                <w:rFonts w:hint="eastAsia" w:ascii="宋体" w:hAnsi="宋体" w:cs="Times New Roman"/>
                <w:color w:val="auto"/>
                <w:szCs w:val="21"/>
                <w:highlight w:val="none"/>
                <w:lang w:eastAsia="zh-CN"/>
              </w:rPr>
              <w:t>培训</w:t>
            </w:r>
            <w:r>
              <w:rPr>
                <w:rFonts w:hint="eastAsia" w:ascii="宋体" w:hAnsi="宋体" w:cs="Times New Roman"/>
                <w:color w:val="auto"/>
                <w:szCs w:val="21"/>
                <w:highlight w:val="none"/>
              </w:rPr>
              <w:t>的</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一</w:t>
            </w:r>
            <w:r>
              <w:rPr>
                <w:rFonts w:hint="eastAsia" w:ascii="宋体" w:hAnsi="宋体" w:cs="Times New Roman"/>
                <w:color w:val="auto"/>
                <w:szCs w:val="21"/>
                <w:highlight w:val="none"/>
                <w:lang w:eastAsia="zh-CN"/>
              </w:rPr>
              <w:t>次</w:t>
            </w:r>
            <w:r>
              <w:rPr>
                <w:rFonts w:hint="eastAsia" w:ascii="宋体" w:hAnsi="宋体" w:cs="Times New Roman"/>
                <w:color w:val="auto"/>
                <w:szCs w:val="21"/>
                <w:highlight w:val="none"/>
              </w:rPr>
              <w:t>得</w:t>
            </w:r>
            <w:r>
              <w:rPr>
                <w:rFonts w:hint="eastAsia" w:ascii="宋体" w:hAnsi="宋体" w:cs="Times New Roman"/>
                <w:color w:val="auto"/>
                <w:szCs w:val="21"/>
                <w:highlight w:val="none"/>
                <w:lang w:val="en-US" w:eastAsia="zh-CN"/>
              </w:rPr>
              <w:t>2</w:t>
            </w:r>
            <w:r>
              <w:rPr>
                <w:rFonts w:hint="eastAsia" w:ascii="宋体" w:hAnsi="宋体" w:cs="Times New Roman"/>
                <w:color w:val="auto"/>
                <w:szCs w:val="21"/>
                <w:highlight w:val="none"/>
              </w:rPr>
              <w:t>分，最高得</w:t>
            </w:r>
            <w:r>
              <w:rPr>
                <w:rFonts w:hint="eastAsia" w:ascii="宋体" w:hAnsi="宋体" w:cs="Times New Roman"/>
                <w:color w:val="auto"/>
                <w:szCs w:val="21"/>
                <w:highlight w:val="none"/>
                <w:lang w:val="en-US" w:eastAsia="zh-CN"/>
              </w:rPr>
              <w:t>10</w:t>
            </w:r>
            <w:r>
              <w:rPr>
                <w:rFonts w:hint="eastAsia" w:ascii="宋体" w:hAnsi="宋体" w:cs="Times New Roman"/>
                <w:color w:val="auto"/>
                <w:szCs w:val="21"/>
                <w:highlight w:val="none"/>
              </w:rPr>
              <w:t>分（提供合同扫描件为证，否则不得分）</w:t>
            </w:r>
            <w:r>
              <w:rPr>
                <w:rFonts w:hint="eastAsia" w:ascii="宋体" w:hAnsi="宋体" w:cs="Times New Roman"/>
                <w:color w:val="auto"/>
                <w:szCs w:val="21"/>
                <w:highlight w:val="none"/>
                <w:lang w:eastAsia="zh-CN"/>
              </w:rPr>
              <w:t>；</w:t>
            </w:r>
          </w:p>
        </w:tc>
        <w:tc>
          <w:tcPr>
            <w:tcW w:w="687" w:type="dxa"/>
            <w:tcBorders>
              <w:top w:val="single" w:color="auto" w:sz="6" w:space="0"/>
              <w:left w:val="single" w:color="auto" w:sz="6" w:space="0"/>
              <w:bottom w:val="single" w:color="auto" w:sz="6" w:space="0"/>
              <w:right w:val="single" w:color="auto" w:sz="4" w:space="0"/>
            </w:tcBorders>
            <w:vAlign w:val="center"/>
          </w:tcPr>
          <w:p w14:paraId="17BA98EA">
            <w:pPr>
              <w:autoSpaceDE w:val="0"/>
              <w:autoSpaceDN w:val="0"/>
              <w:adjustRightInd w:val="0"/>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10</w:t>
            </w:r>
          </w:p>
        </w:tc>
        <w:tc>
          <w:tcPr>
            <w:tcW w:w="1545" w:type="dxa"/>
            <w:tcBorders>
              <w:top w:val="single" w:color="auto" w:sz="6" w:space="0"/>
              <w:left w:val="single" w:color="auto" w:sz="4" w:space="0"/>
              <w:bottom w:val="single" w:color="auto" w:sz="6" w:space="0"/>
              <w:right w:val="single" w:color="auto" w:sz="6" w:space="0"/>
            </w:tcBorders>
            <w:vAlign w:val="center"/>
          </w:tcPr>
          <w:p w14:paraId="0F55F109">
            <w:pPr>
              <w:jc w:val="center"/>
              <w:rPr>
                <w:rFonts w:ascii="宋体" w:hAnsi="宋体" w:cs="Times New Roman"/>
                <w:color w:val="auto"/>
                <w:szCs w:val="21"/>
                <w:highlight w:val="none"/>
                <w:lang w:val="zh-CN"/>
              </w:rPr>
            </w:pPr>
            <w:r>
              <w:rPr>
                <w:rFonts w:hint="eastAsia" w:ascii="宋体" w:hAnsi="宋体" w:cs="Times New Roman"/>
                <w:color w:val="auto"/>
                <w:szCs w:val="21"/>
                <w:highlight w:val="none"/>
                <w:lang w:val="zh-CN"/>
              </w:rPr>
              <w:t>专家打分</w:t>
            </w:r>
          </w:p>
        </w:tc>
      </w:tr>
      <w:tr w14:paraId="7EBFE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612" w:type="dxa"/>
            <w:vMerge w:val="continue"/>
            <w:tcBorders>
              <w:left w:val="single" w:color="auto" w:sz="6" w:space="0"/>
              <w:right w:val="single" w:color="auto" w:sz="6" w:space="0"/>
            </w:tcBorders>
            <w:vAlign w:val="center"/>
          </w:tcPr>
          <w:p w14:paraId="05B3B86B">
            <w:pPr>
              <w:widowControl/>
              <w:jc w:val="left"/>
              <w:rPr>
                <w:rFonts w:ascii="宋体" w:hAnsi="宋体" w:cs="Times New Roman"/>
                <w:color w:val="auto"/>
                <w:szCs w:val="21"/>
                <w:highlight w:val="none"/>
                <w:lang w:val="zh-CN"/>
              </w:rPr>
            </w:pPr>
          </w:p>
        </w:tc>
        <w:tc>
          <w:tcPr>
            <w:tcW w:w="1763" w:type="dxa"/>
            <w:vMerge w:val="continue"/>
            <w:tcBorders>
              <w:left w:val="single" w:color="auto" w:sz="6" w:space="0"/>
              <w:right w:val="single" w:color="auto" w:sz="6" w:space="0"/>
            </w:tcBorders>
            <w:vAlign w:val="center"/>
          </w:tcPr>
          <w:p w14:paraId="528FB294">
            <w:pPr>
              <w:widowControl/>
              <w:jc w:val="left"/>
              <w:rPr>
                <w:rFonts w:ascii="宋体" w:hAnsi="宋体" w:cs="Times New Roman"/>
                <w:color w:val="auto"/>
                <w:szCs w:val="21"/>
                <w:highlight w:val="none"/>
                <w:lang w:val="zh-CN"/>
              </w:rPr>
            </w:pPr>
          </w:p>
        </w:tc>
        <w:tc>
          <w:tcPr>
            <w:tcW w:w="4693" w:type="dxa"/>
            <w:tcBorders>
              <w:top w:val="single" w:color="auto" w:sz="6" w:space="0"/>
              <w:left w:val="single" w:color="auto" w:sz="6" w:space="0"/>
              <w:bottom w:val="single" w:color="auto" w:sz="6" w:space="0"/>
              <w:right w:val="single" w:color="auto" w:sz="6" w:space="0"/>
            </w:tcBorders>
            <w:vAlign w:val="center"/>
          </w:tcPr>
          <w:p w14:paraId="05251C46">
            <w:pPr>
              <w:autoSpaceDE w:val="0"/>
              <w:autoSpaceDN w:val="0"/>
              <w:adjustRightInd w:val="0"/>
              <w:ind w:firstLine="420" w:firstLineChars="200"/>
              <w:jc w:val="left"/>
              <w:rPr>
                <w:rFonts w:hint="eastAsia" w:ascii="宋体" w:hAnsi="宋体" w:cs="Times New Roman"/>
                <w:color w:val="auto"/>
                <w:szCs w:val="21"/>
                <w:highlight w:val="none"/>
                <w:lang w:eastAsia="zh-CN"/>
              </w:rPr>
            </w:pPr>
            <w:r>
              <w:rPr>
                <w:rFonts w:hint="eastAsia" w:ascii="宋体" w:hAnsi="宋体" w:cs="Times New Roman"/>
                <w:color w:val="auto"/>
                <w:szCs w:val="21"/>
                <w:highlight w:val="none"/>
              </w:rPr>
              <w:t>20</w:t>
            </w:r>
            <w:r>
              <w:rPr>
                <w:rFonts w:hint="eastAsia" w:ascii="宋体" w:hAnsi="宋体" w:cs="Times New Roman"/>
                <w:color w:val="auto"/>
                <w:szCs w:val="21"/>
                <w:highlight w:val="none"/>
                <w:lang w:val="en-US" w:eastAsia="zh-CN"/>
              </w:rPr>
              <w:t>21</w:t>
            </w:r>
            <w:r>
              <w:rPr>
                <w:rFonts w:hint="eastAsia" w:ascii="宋体" w:hAnsi="宋体" w:cs="Times New Roman"/>
                <w:color w:val="auto"/>
                <w:szCs w:val="21"/>
                <w:highlight w:val="none"/>
              </w:rPr>
              <w:t>年1月1日至今期间，投标人受政府</w:t>
            </w:r>
            <w:r>
              <w:rPr>
                <w:rFonts w:hint="eastAsia" w:ascii="宋体" w:hAnsi="宋体" w:cs="Times New Roman"/>
                <w:color w:val="auto"/>
                <w:szCs w:val="21"/>
                <w:highlight w:val="none"/>
                <w:lang w:eastAsia="zh-CN"/>
              </w:rPr>
              <w:t>部门</w:t>
            </w:r>
            <w:r>
              <w:rPr>
                <w:rFonts w:hint="eastAsia" w:ascii="宋体" w:hAnsi="宋体" w:cs="Times New Roman"/>
                <w:color w:val="auto"/>
                <w:szCs w:val="21"/>
                <w:highlight w:val="none"/>
              </w:rPr>
              <w:t>委托开展涉及</w:t>
            </w:r>
            <w:r>
              <w:rPr>
                <w:rFonts w:hint="eastAsia" w:ascii="宋体" w:hAnsi="宋体" w:cs="Times New Roman"/>
                <w:color w:val="auto"/>
                <w:szCs w:val="21"/>
                <w:highlight w:val="none"/>
                <w:lang w:eastAsia="zh-CN"/>
              </w:rPr>
              <w:t>建筑行业（含小散工程）</w:t>
            </w:r>
            <w:r>
              <w:rPr>
                <w:rFonts w:hint="eastAsia" w:ascii="宋体" w:hAnsi="宋体" w:cs="Times New Roman"/>
                <w:color w:val="auto"/>
                <w:szCs w:val="21"/>
                <w:highlight w:val="none"/>
              </w:rPr>
              <w:t>相关</w:t>
            </w:r>
            <w:r>
              <w:rPr>
                <w:rFonts w:hint="eastAsia" w:ascii="宋体" w:hAnsi="宋体" w:cs="Times New Roman"/>
                <w:color w:val="auto"/>
                <w:szCs w:val="21"/>
                <w:highlight w:val="none"/>
                <w:lang w:eastAsia="zh-CN"/>
              </w:rPr>
              <w:t>培训的</w:t>
            </w:r>
            <w:r>
              <w:rPr>
                <w:rFonts w:hint="eastAsia" w:ascii="宋体" w:hAnsi="宋体" w:cs="Times New Roman"/>
                <w:color w:val="auto"/>
                <w:szCs w:val="21"/>
                <w:highlight w:val="none"/>
              </w:rPr>
              <w:t>，</w:t>
            </w:r>
            <w:r>
              <w:rPr>
                <w:rFonts w:hint="eastAsia" w:ascii="宋体" w:hAnsi="宋体" w:cs="Times New Roman"/>
                <w:color w:val="auto"/>
                <w:szCs w:val="21"/>
                <w:highlight w:val="none"/>
                <w:lang w:eastAsia="zh-CN"/>
              </w:rPr>
              <w:t>且</w:t>
            </w:r>
            <w:r>
              <w:rPr>
                <w:rFonts w:hint="eastAsia" w:ascii="宋体" w:hAnsi="宋体" w:cs="Times New Roman"/>
                <w:color w:val="auto"/>
                <w:szCs w:val="21"/>
                <w:highlight w:val="none"/>
              </w:rPr>
              <w:t>履约评价为优的，一次得</w:t>
            </w:r>
            <w:r>
              <w:rPr>
                <w:rFonts w:hint="eastAsia" w:ascii="宋体" w:hAnsi="宋体" w:cs="Times New Roman"/>
                <w:color w:val="auto"/>
                <w:szCs w:val="21"/>
                <w:highlight w:val="none"/>
                <w:lang w:val="en-US" w:eastAsia="zh-CN"/>
              </w:rPr>
              <w:t>3</w:t>
            </w:r>
            <w:r>
              <w:rPr>
                <w:rFonts w:hint="eastAsia" w:ascii="宋体" w:hAnsi="宋体" w:cs="Times New Roman"/>
                <w:color w:val="auto"/>
                <w:szCs w:val="21"/>
                <w:highlight w:val="none"/>
              </w:rPr>
              <w:t>分，累计上限最高为1</w:t>
            </w:r>
            <w:r>
              <w:rPr>
                <w:rFonts w:hint="eastAsia" w:ascii="宋体" w:hAnsi="宋体" w:cs="Times New Roman"/>
                <w:color w:val="auto"/>
                <w:szCs w:val="21"/>
                <w:highlight w:val="none"/>
                <w:lang w:val="en-US" w:eastAsia="zh-CN"/>
              </w:rPr>
              <w:t>5</w:t>
            </w:r>
            <w:r>
              <w:rPr>
                <w:rFonts w:hint="eastAsia" w:ascii="宋体" w:hAnsi="宋体" w:cs="Times New Roman"/>
                <w:color w:val="auto"/>
                <w:szCs w:val="21"/>
                <w:highlight w:val="none"/>
              </w:rPr>
              <w:t>分（提供相关页扫描件为证，否则不得分）</w:t>
            </w:r>
            <w:r>
              <w:rPr>
                <w:rFonts w:hint="eastAsia" w:ascii="宋体" w:hAnsi="宋体" w:cs="Times New Roman"/>
                <w:color w:val="auto"/>
                <w:szCs w:val="21"/>
                <w:highlight w:val="none"/>
                <w:lang w:eastAsia="zh-CN"/>
              </w:rPr>
              <w:t>；</w:t>
            </w:r>
          </w:p>
        </w:tc>
        <w:tc>
          <w:tcPr>
            <w:tcW w:w="687" w:type="dxa"/>
            <w:tcBorders>
              <w:top w:val="single" w:color="auto" w:sz="6" w:space="0"/>
              <w:left w:val="single" w:color="auto" w:sz="6" w:space="0"/>
              <w:bottom w:val="single" w:color="auto" w:sz="6" w:space="0"/>
              <w:right w:val="single" w:color="auto" w:sz="4" w:space="0"/>
            </w:tcBorders>
            <w:vAlign w:val="center"/>
          </w:tcPr>
          <w:p w14:paraId="6A4A6159">
            <w:pPr>
              <w:autoSpaceDE w:val="0"/>
              <w:autoSpaceDN w:val="0"/>
              <w:adjustRightInd w:val="0"/>
              <w:jc w:val="center"/>
              <w:rPr>
                <w:rFonts w:hint="eastAsia" w:ascii="宋体" w:hAnsi="宋体" w:eastAsia="宋体" w:cs="Times New Roman"/>
                <w:color w:val="auto"/>
                <w:szCs w:val="21"/>
                <w:highlight w:val="none"/>
                <w:lang w:val="zh-CN" w:eastAsia="zh-CN"/>
              </w:rPr>
            </w:pPr>
            <w:r>
              <w:rPr>
                <w:rFonts w:hint="eastAsia" w:ascii="宋体" w:hAnsi="宋体" w:cs="Times New Roman"/>
                <w:color w:val="auto"/>
                <w:szCs w:val="21"/>
                <w:highlight w:val="none"/>
                <w:lang w:val="zh-CN"/>
              </w:rPr>
              <w:t>1</w:t>
            </w:r>
            <w:r>
              <w:rPr>
                <w:rFonts w:hint="eastAsia" w:ascii="宋体" w:hAnsi="宋体" w:cs="Times New Roman"/>
                <w:color w:val="auto"/>
                <w:szCs w:val="21"/>
                <w:highlight w:val="none"/>
                <w:lang w:val="en-US" w:eastAsia="zh-CN"/>
              </w:rPr>
              <w:t>5</w:t>
            </w:r>
          </w:p>
        </w:tc>
        <w:tc>
          <w:tcPr>
            <w:tcW w:w="1545" w:type="dxa"/>
            <w:tcBorders>
              <w:top w:val="single" w:color="auto" w:sz="6" w:space="0"/>
              <w:left w:val="single" w:color="auto" w:sz="4" w:space="0"/>
              <w:bottom w:val="single" w:color="auto" w:sz="6" w:space="0"/>
              <w:right w:val="single" w:color="auto" w:sz="6" w:space="0"/>
            </w:tcBorders>
            <w:vAlign w:val="center"/>
          </w:tcPr>
          <w:p w14:paraId="22FC4E5B">
            <w:pPr>
              <w:jc w:val="center"/>
              <w:rPr>
                <w:rFonts w:ascii="宋体" w:hAnsi="宋体" w:cs="Times New Roman"/>
                <w:color w:val="auto"/>
                <w:szCs w:val="21"/>
                <w:highlight w:val="none"/>
                <w:lang w:val="zh-CN"/>
              </w:rPr>
            </w:pPr>
            <w:r>
              <w:rPr>
                <w:rFonts w:hint="eastAsia" w:ascii="宋体" w:hAnsi="宋体" w:cs="Times New Roman"/>
                <w:color w:val="auto"/>
                <w:szCs w:val="21"/>
                <w:highlight w:val="none"/>
                <w:lang w:val="zh-CN"/>
              </w:rPr>
              <w:t>专家打分</w:t>
            </w:r>
          </w:p>
        </w:tc>
      </w:tr>
      <w:tr w14:paraId="7495C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7068" w:type="dxa"/>
            <w:gridSpan w:val="3"/>
            <w:tcBorders>
              <w:top w:val="single" w:color="auto" w:sz="6" w:space="0"/>
              <w:left w:val="single" w:color="auto" w:sz="6" w:space="0"/>
              <w:bottom w:val="single" w:color="auto" w:sz="6" w:space="0"/>
              <w:right w:val="single" w:color="auto" w:sz="6" w:space="0"/>
            </w:tcBorders>
            <w:vAlign w:val="center"/>
          </w:tcPr>
          <w:p w14:paraId="0E74CC9E">
            <w:pPr>
              <w:autoSpaceDE w:val="0"/>
              <w:autoSpaceDN w:val="0"/>
              <w:adjustRightInd w:val="0"/>
              <w:jc w:val="center"/>
              <w:rPr>
                <w:rFonts w:ascii="宋体" w:hAnsi="宋体" w:cs="Times New Roman"/>
                <w:b/>
                <w:color w:val="auto"/>
                <w:szCs w:val="21"/>
                <w:highlight w:val="none"/>
                <w:lang w:val="zh-CN"/>
              </w:rPr>
            </w:pPr>
            <w:r>
              <w:rPr>
                <w:rFonts w:hint="eastAsia" w:ascii="宋体" w:hAnsi="宋体" w:cs="Times New Roman"/>
                <w:b/>
                <w:color w:val="auto"/>
                <w:szCs w:val="21"/>
                <w:highlight w:val="none"/>
                <w:lang w:val="zh-CN"/>
              </w:rPr>
              <w:t>三、技术部分</w:t>
            </w:r>
          </w:p>
        </w:tc>
        <w:tc>
          <w:tcPr>
            <w:tcW w:w="2232" w:type="dxa"/>
            <w:gridSpan w:val="2"/>
            <w:tcBorders>
              <w:top w:val="single" w:color="auto" w:sz="6" w:space="0"/>
              <w:left w:val="single" w:color="auto" w:sz="6" w:space="0"/>
              <w:bottom w:val="single" w:color="auto" w:sz="6" w:space="0"/>
              <w:right w:val="single" w:color="auto" w:sz="6" w:space="0"/>
            </w:tcBorders>
            <w:vAlign w:val="center"/>
          </w:tcPr>
          <w:p w14:paraId="1D7D5C77">
            <w:pPr>
              <w:autoSpaceDE w:val="0"/>
              <w:autoSpaceDN w:val="0"/>
              <w:adjustRightInd w:val="0"/>
              <w:jc w:val="center"/>
              <w:rPr>
                <w:rFonts w:ascii="宋体" w:hAnsi="宋体" w:cs="Times New Roman"/>
                <w:color w:val="auto"/>
                <w:szCs w:val="21"/>
                <w:highlight w:val="none"/>
              </w:rPr>
            </w:pPr>
            <w:r>
              <w:rPr>
                <w:rFonts w:hint="eastAsia" w:ascii="宋体" w:hAnsi="宋体" w:cs="Times New Roman"/>
                <w:b/>
                <w:bCs/>
                <w:color w:val="auto"/>
                <w:szCs w:val="21"/>
                <w:highlight w:val="none"/>
                <w:lang w:val="en-US" w:eastAsia="zh-CN"/>
              </w:rPr>
              <w:t>40</w:t>
            </w:r>
            <w:r>
              <w:rPr>
                <w:rFonts w:hint="eastAsia" w:ascii="宋体" w:hAnsi="宋体" w:cs="Times New Roman"/>
                <w:b/>
                <w:bCs/>
                <w:color w:val="auto"/>
                <w:szCs w:val="21"/>
                <w:highlight w:val="none"/>
              </w:rPr>
              <w:t>分</w:t>
            </w:r>
          </w:p>
        </w:tc>
      </w:tr>
      <w:tr w14:paraId="5E44A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trPr>
        <w:tc>
          <w:tcPr>
            <w:tcW w:w="612" w:type="dxa"/>
            <w:tcBorders>
              <w:top w:val="single" w:color="auto" w:sz="6" w:space="0"/>
              <w:left w:val="single" w:color="auto" w:sz="6" w:space="0"/>
              <w:bottom w:val="single" w:color="auto" w:sz="6" w:space="0"/>
              <w:right w:val="single" w:color="auto" w:sz="6" w:space="0"/>
            </w:tcBorders>
            <w:vAlign w:val="center"/>
          </w:tcPr>
          <w:p w14:paraId="3699B864">
            <w:pPr>
              <w:autoSpaceDE w:val="0"/>
              <w:autoSpaceDN w:val="0"/>
              <w:adjustRightInd w:val="0"/>
              <w:jc w:val="center"/>
              <w:rPr>
                <w:rFonts w:ascii="宋体" w:hAnsi="宋体" w:cs="Times New Roman"/>
                <w:color w:val="auto"/>
                <w:szCs w:val="21"/>
                <w:highlight w:val="none"/>
              </w:rPr>
            </w:pPr>
            <w:r>
              <w:rPr>
                <w:rFonts w:hint="eastAsia" w:ascii="宋体" w:hAnsi="宋体" w:cs="Times New Roman"/>
                <w:color w:val="auto"/>
                <w:szCs w:val="21"/>
                <w:highlight w:val="none"/>
                <w:lang w:val="zh-CN"/>
              </w:rPr>
              <w:t>序号</w:t>
            </w:r>
          </w:p>
        </w:tc>
        <w:tc>
          <w:tcPr>
            <w:tcW w:w="1763" w:type="dxa"/>
            <w:tcBorders>
              <w:top w:val="single" w:color="auto" w:sz="6" w:space="0"/>
              <w:left w:val="single" w:color="auto" w:sz="6" w:space="0"/>
              <w:bottom w:val="single" w:color="auto" w:sz="6" w:space="0"/>
              <w:right w:val="single" w:color="auto" w:sz="6" w:space="0"/>
            </w:tcBorders>
            <w:vAlign w:val="center"/>
          </w:tcPr>
          <w:p w14:paraId="193C2A66">
            <w:pPr>
              <w:autoSpaceDE w:val="0"/>
              <w:autoSpaceDN w:val="0"/>
              <w:adjustRightInd w:val="0"/>
              <w:jc w:val="center"/>
              <w:rPr>
                <w:rFonts w:ascii="宋体" w:hAnsi="宋体" w:cs="Times New Roman"/>
                <w:color w:val="auto"/>
                <w:szCs w:val="21"/>
                <w:highlight w:val="none"/>
              </w:rPr>
            </w:pPr>
            <w:r>
              <w:rPr>
                <w:rFonts w:hint="eastAsia" w:ascii="宋体" w:hAnsi="宋体" w:cs="Times New Roman"/>
                <w:color w:val="auto"/>
                <w:szCs w:val="21"/>
                <w:highlight w:val="none"/>
                <w:lang w:val="zh-CN"/>
              </w:rPr>
              <w:t>内容</w:t>
            </w:r>
          </w:p>
        </w:tc>
        <w:tc>
          <w:tcPr>
            <w:tcW w:w="4693" w:type="dxa"/>
            <w:tcBorders>
              <w:top w:val="single" w:color="auto" w:sz="6" w:space="0"/>
              <w:left w:val="single" w:color="auto" w:sz="6" w:space="0"/>
              <w:bottom w:val="single" w:color="auto" w:sz="6" w:space="0"/>
              <w:right w:val="single" w:color="auto" w:sz="6" w:space="0"/>
            </w:tcBorders>
            <w:vAlign w:val="center"/>
          </w:tcPr>
          <w:p w14:paraId="4DFC5E35">
            <w:pPr>
              <w:autoSpaceDE w:val="0"/>
              <w:autoSpaceDN w:val="0"/>
              <w:adjustRightInd w:val="0"/>
              <w:jc w:val="center"/>
              <w:rPr>
                <w:rFonts w:ascii="宋体" w:hAnsi="宋体" w:cs="Times New Roman"/>
                <w:color w:val="auto"/>
                <w:szCs w:val="21"/>
                <w:highlight w:val="none"/>
                <w:lang w:val="zh-CN"/>
              </w:rPr>
            </w:pPr>
            <w:r>
              <w:rPr>
                <w:rFonts w:hint="eastAsia" w:ascii="宋体" w:hAnsi="宋体" w:cs="Times New Roman"/>
                <w:color w:val="auto"/>
                <w:szCs w:val="21"/>
                <w:highlight w:val="none"/>
                <w:lang w:val="zh-CN"/>
              </w:rPr>
              <w:t>评分规则</w:t>
            </w:r>
          </w:p>
        </w:tc>
        <w:tc>
          <w:tcPr>
            <w:tcW w:w="687" w:type="dxa"/>
            <w:tcBorders>
              <w:top w:val="single" w:color="auto" w:sz="6" w:space="0"/>
              <w:left w:val="single" w:color="auto" w:sz="6" w:space="0"/>
              <w:bottom w:val="single" w:color="auto" w:sz="6" w:space="0"/>
              <w:right w:val="single" w:color="auto" w:sz="4" w:space="0"/>
            </w:tcBorders>
            <w:vAlign w:val="center"/>
          </w:tcPr>
          <w:p w14:paraId="46856F6C">
            <w:pPr>
              <w:autoSpaceDE w:val="0"/>
              <w:autoSpaceDN w:val="0"/>
              <w:adjustRightInd w:val="0"/>
              <w:jc w:val="center"/>
              <w:rPr>
                <w:rFonts w:ascii="宋体" w:hAnsi="宋体" w:cs="Times New Roman"/>
                <w:color w:val="auto"/>
                <w:szCs w:val="21"/>
                <w:highlight w:val="none"/>
                <w:lang w:val="zh-CN"/>
              </w:rPr>
            </w:pPr>
            <w:r>
              <w:rPr>
                <w:rFonts w:hint="eastAsia" w:ascii="宋体" w:hAnsi="宋体" w:cs="Times New Roman"/>
                <w:color w:val="auto"/>
                <w:szCs w:val="21"/>
                <w:highlight w:val="none"/>
                <w:lang w:val="zh-CN"/>
              </w:rPr>
              <w:t>权重</w:t>
            </w:r>
          </w:p>
        </w:tc>
        <w:tc>
          <w:tcPr>
            <w:tcW w:w="1545" w:type="dxa"/>
            <w:tcBorders>
              <w:top w:val="single" w:color="auto" w:sz="6" w:space="0"/>
              <w:left w:val="single" w:color="auto" w:sz="4" w:space="0"/>
              <w:bottom w:val="single" w:color="auto" w:sz="6" w:space="0"/>
              <w:right w:val="single" w:color="auto" w:sz="6" w:space="0"/>
            </w:tcBorders>
            <w:vAlign w:val="center"/>
          </w:tcPr>
          <w:p w14:paraId="125CA6E7">
            <w:pPr>
              <w:autoSpaceDE w:val="0"/>
              <w:autoSpaceDN w:val="0"/>
              <w:adjustRightInd w:val="0"/>
              <w:jc w:val="center"/>
              <w:rPr>
                <w:rFonts w:ascii="宋体" w:hAnsi="宋体" w:cs="Times New Roman"/>
                <w:color w:val="auto"/>
                <w:szCs w:val="21"/>
                <w:highlight w:val="none"/>
                <w:lang w:val="zh-CN"/>
              </w:rPr>
            </w:pPr>
            <w:r>
              <w:rPr>
                <w:rFonts w:hint="eastAsia" w:ascii="宋体" w:hAnsi="宋体" w:cs="Times New Roman"/>
                <w:color w:val="auto"/>
                <w:szCs w:val="21"/>
                <w:highlight w:val="none"/>
                <w:lang w:val="zh-CN"/>
              </w:rPr>
              <w:t>评分方式</w:t>
            </w:r>
          </w:p>
        </w:tc>
      </w:tr>
      <w:tr w14:paraId="38297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5" w:hRule="atLeast"/>
        </w:trPr>
        <w:tc>
          <w:tcPr>
            <w:tcW w:w="612" w:type="dxa"/>
            <w:vMerge w:val="restart"/>
            <w:tcBorders>
              <w:top w:val="single" w:color="auto" w:sz="6" w:space="0"/>
              <w:left w:val="single" w:color="auto" w:sz="6" w:space="0"/>
              <w:right w:val="single" w:color="auto" w:sz="6" w:space="0"/>
            </w:tcBorders>
            <w:vAlign w:val="center"/>
          </w:tcPr>
          <w:p w14:paraId="2085770F">
            <w:pPr>
              <w:autoSpaceDE w:val="0"/>
              <w:autoSpaceDN w:val="0"/>
              <w:adjustRightInd w:val="0"/>
              <w:jc w:val="center"/>
              <w:rPr>
                <w:rFonts w:ascii="宋体" w:hAnsi="宋体" w:cs="Times New Roman"/>
                <w:color w:val="auto"/>
                <w:szCs w:val="21"/>
                <w:highlight w:val="none"/>
                <w:lang w:val="zh-CN"/>
              </w:rPr>
            </w:pPr>
            <w:r>
              <w:rPr>
                <w:rFonts w:hint="eastAsia" w:ascii="宋体" w:hAnsi="宋体" w:cs="Times New Roman"/>
                <w:color w:val="auto"/>
                <w:szCs w:val="21"/>
                <w:highlight w:val="none"/>
                <w:lang w:val="zh-CN"/>
              </w:rPr>
              <w:t>1</w:t>
            </w:r>
          </w:p>
        </w:tc>
        <w:tc>
          <w:tcPr>
            <w:tcW w:w="1763" w:type="dxa"/>
            <w:vMerge w:val="restart"/>
            <w:tcBorders>
              <w:top w:val="single" w:color="auto" w:sz="6" w:space="0"/>
              <w:left w:val="single" w:color="auto" w:sz="6" w:space="0"/>
              <w:right w:val="single" w:color="auto" w:sz="6" w:space="0"/>
            </w:tcBorders>
            <w:vAlign w:val="center"/>
          </w:tcPr>
          <w:p w14:paraId="74464138">
            <w:pPr>
              <w:autoSpaceDE w:val="0"/>
              <w:autoSpaceDN w:val="0"/>
              <w:adjustRightInd w:val="0"/>
              <w:snapToGrid w:val="0"/>
              <w:jc w:val="center"/>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zh-CN"/>
              </w:rPr>
              <w:t>项目负责人资历</w:t>
            </w:r>
          </w:p>
        </w:tc>
        <w:tc>
          <w:tcPr>
            <w:tcW w:w="4693" w:type="dxa"/>
            <w:tcBorders>
              <w:top w:val="single" w:color="auto" w:sz="6" w:space="0"/>
              <w:left w:val="single" w:color="auto" w:sz="6" w:space="0"/>
              <w:bottom w:val="single" w:color="auto" w:sz="4" w:space="0"/>
              <w:right w:val="single" w:color="auto" w:sz="6" w:space="0"/>
            </w:tcBorders>
            <w:vAlign w:val="center"/>
          </w:tcPr>
          <w:p w14:paraId="09F5FFC8">
            <w:pPr>
              <w:autoSpaceDE w:val="0"/>
              <w:autoSpaceDN w:val="0"/>
              <w:adjustRightInd w:val="0"/>
              <w:jc w:val="left"/>
              <w:rPr>
                <w:rFonts w:ascii="宋体" w:hAnsi="宋体" w:cs="Times New Roman"/>
                <w:color w:val="auto"/>
                <w:szCs w:val="21"/>
                <w:highlight w:val="none"/>
                <w:lang w:val="zh-CN"/>
              </w:rPr>
            </w:pPr>
            <w:r>
              <w:rPr>
                <w:rFonts w:hint="eastAsia" w:ascii="宋体" w:hAnsi="宋体" w:cs="Times New Roman"/>
                <w:color w:val="auto"/>
                <w:szCs w:val="21"/>
                <w:highlight w:val="none"/>
                <w:lang w:val="zh-CN"/>
              </w:rPr>
              <w:t>项目负责人必须是投标人正式任职的人员（提供近6个月的社保证明），具</w:t>
            </w:r>
            <w:r>
              <w:rPr>
                <w:rFonts w:hint="eastAsia" w:ascii="宋体" w:hAnsi="宋体" w:cs="Times New Roman"/>
                <w:color w:val="auto"/>
                <w:szCs w:val="21"/>
                <w:highlight w:val="none"/>
                <w:lang w:val="zh-CN" w:eastAsia="zh-CN"/>
              </w:rPr>
              <w:t>备建筑工程相关专业高级工程师证或一级建造师或注册监理工程师或注册安全工程师证，得</w:t>
            </w:r>
            <w:r>
              <w:rPr>
                <w:rFonts w:hint="eastAsia" w:ascii="宋体" w:hAnsi="宋体" w:cs="Times New Roman"/>
                <w:color w:val="auto"/>
                <w:szCs w:val="21"/>
                <w:highlight w:val="none"/>
                <w:lang w:val="en-US" w:eastAsia="zh-CN"/>
              </w:rPr>
              <w:t>5分；具备广东省安全生产培训教员证，得5分</w:t>
            </w:r>
            <w:r>
              <w:rPr>
                <w:rFonts w:hint="eastAsia" w:ascii="宋体" w:hAnsi="宋体" w:cs="Times New Roman"/>
                <w:color w:val="auto"/>
                <w:szCs w:val="21"/>
                <w:highlight w:val="none"/>
                <w:lang w:val="zh-CN"/>
              </w:rPr>
              <w:t>。</w:t>
            </w:r>
          </w:p>
        </w:tc>
        <w:tc>
          <w:tcPr>
            <w:tcW w:w="687" w:type="dxa"/>
            <w:tcBorders>
              <w:top w:val="single" w:color="auto" w:sz="6" w:space="0"/>
              <w:left w:val="single" w:color="auto" w:sz="6" w:space="0"/>
              <w:bottom w:val="single" w:color="auto" w:sz="4" w:space="0"/>
              <w:right w:val="single" w:color="auto" w:sz="4" w:space="0"/>
            </w:tcBorders>
            <w:vAlign w:val="center"/>
          </w:tcPr>
          <w:p w14:paraId="1FEBD48D">
            <w:pPr>
              <w:autoSpaceDE w:val="0"/>
              <w:autoSpaceDN w:val="0"/>
              <w:adjustRightInd w:val="0"/>
              <w:snapToGrid w:val="0"/>
              <w:jc w:val="center"/>
              <w:rPr>
                <w:rFonts w:ascii="宋体" w:hAnsi="宋体" w:cs="Times New Roman"/>
                <w:color w:val="auto"/>
                <w:szCs w:val="21"/>
                <w:highlight w:val="none"/>
              </w:rPr>
            </w:pPr>
            <w:r>
              <w:rPr>
                <w:rFonts w:hint="eastAsia" w:ascii="宋体" w:hAnsi="宋体" w:cs="Times New Roman"/>
                <w:color w:val="auto"/>
                <w:szCs w:val="21"/>
                <w:highlight w:val="none"/>
              </w:rPr>
              <w:t>10</w:t>
            </w:r>
          </w:p>
        </w:tc>
        <w:tc>
          <w:tcPr>
            <w:tcW w:w="1545" w:type="dxa"/>
            <w:vMerge w:val="restart"/>
            <w:tcBorders>
              <w:top w:val="single" w:color="auto" w:sz="6" w:space="0"/>
              <w:left w:val="single" w:color="auto" w:sz="4" w:space="0"/>
              <w:right w:val="single" w:color="auto" w:sz="6" w:space="0"/>
            </w:tcBorders>
            <w:vAlign w:val="center"/>
          </w:tcPr>
          <w:p w14:paraId="585EFE25">
            <w:pPr>
              <w:autoSpaceDE w:val="0"/>
              <w:autoSpaceDN w:val="0"/>
              <w:adjustRightInd w:val="0"/>
              <w:jc w:val="center"/>
              <w:rPr>
                <w:rFonts w:ascii="宋体" w:hAnsi="宋体" w:cs="Times New Roman"/>
                <w:color w:val="auto"/>
                <w:szCs w:val="21"/>
                <w:highlight w:val="none"/>
                <w:lang w:val="zh-CN"/>
              </w:rPr>
            </w:pPr>
            <w:r>
              <w:rPr>
                <w:rFonts w:hint="eastAsia" w:ascii="宋体" w:hAnsi="宋体" w:cs="Times New Roman"/>
                <w:color w:val="auto"/>
                <w:szCs w:val="21"/>
                <w:highlight w:val="none"/>
                <w:lang w:val="zh-CN"/>
              </w:rPr>
              <w:t>专家打分</w:t>
            </w:r>
          </w:p>
        </w:tc>
      </w:tr>
      <w:tr w14:paraId="1B87E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1" w:hRule="atLeast"/>
        </w:trPr>
        <w:tc>
          <w:tcPr>
            <w:tcW w:w="612" w:type="dxa"/>
            <w:vMerge w:val="continue"/>
            <w:tcBorders>
              <w:left w:val="single" w:color="auto" w:sz="6" w:space="0"/>
              <w:bottom w:val="single" w:color="auto" w:sz="6" w:space="0"/>
              <w:right w:val="single" w:color="auto" w:sz="6" w:space="0"/>
            </w:tcBorders>
            <w:vAlign w:val="center"/>
          </w:tcPr>
          <w:p w14:paraId="04694265">
            <w:pPr>
              <w:autoSpaceDE w:val="0"/>
              <w:autoSpaceDN w:val="0"/>
              <w:adjustRightInd w:val="0"/>
              <w:jc w:val="center"/>
              <w:rPr>
                <w:rFonts w:hint="eastAsia" w:ascii="宋体" w:hAnsi="宋体" w:cs="Times New Roman"/>
                <w:color w:val="auto"/>
                <w:szCs w:val="21"/>
                <w:highlight w:val="none"/>
                <w:lang w:val="zh-CN"/>
              </w:rPr>
            </w:pPr>
          </w:p>
        </w:tc>
        <w:tc>
          <w:tcPr>
            <w:tcW w:w="1763" w:type="dxa"/>
            <w:vMerge w:val="continue"/>
            <w:tcBorders>
              <w:left w:val="single" w:color="auto" w:sz="6" w:space="0"/>
              <w:bottom w:val="single" w:color="auto" w:sz="6" w:space="0"/>
              <w:right w:val="single" w:color="auto" w:sz="6" w:space="0"/>
            </w:tcBorders>
            <w:vAlign w:val="center"/>
          </w:tcPr>
          <w:p w14:paraId="4F076BC7">
            <w:pPr>
              <w:autoSpaceDE w:val="0"/>
              <w:autoSpaceDN w:val="0"/>
              <w:adjustRightInd w:val="0"/>
              <w:snapToGrid w:val="0"/>
              <w:jc w:val="center"/>
              <w:rPr>
                <w:rFonts w:hint="eastAsia" w:ascii="宋体" w:hAnsi="宋体" w:cs="Times New Roman"/>
                <w:color w:val="auto"/>
                <w:szCs w:val="21"/>
                <w:highlight w:val="none"/>
                <w:lang w:val="zh-CN"/>
              </w:rPr>
            </w:pPr>
          </w:p>
        </w:tc>
        <w:tc>
          <w:tcPr>
            <w:tcW w:w="4693" w:type="dxa"/>
            <w:tcBorders>
              <w:top w:val="single" w:color="auto" w:sz="4" w:space="0"/>
              <w:left w:val="single" w:color="auto" w:sz="6" w:space="0"/>
              <w:bottom w:val="single" w:color="auto" w:sz="6" w:space="0"/>
              <w:right w:val="single" w:color="auto" w:sz="6" w:space="0"/>
            </w:tcBorders>
            <w:vAlign w:val="center"/>
          </w:tcPr>
          <w:p w14:paraId="08F1567B">
            <w:pPr>
              <w:autoSpaceDE w:val="0"/>
              <w:autoSpaceDN w:val="0"/>
              <w:adjustRightInd w:val="0"/>
              <w:jc w:val="left"/>
              <w:rPr>
                <w:rFonts w:hint="eastAsia" w:ascii="宋体" w:hAnsi="宋体" w:cs="Times New Roman"/>
                <w:color w:val="auto"/>
                <w:szCs w:val="21"/>
                <w:highlight w:val="none"/>
                <w:lang w:val="zh-CN"/>
              </w:rPr>
            </w:pPr>
            <w:r>
              <w:rPr>
                <w:rFonts w:hint="eastAsia" w:ascii="宋体" w:hAnsi="宋体" w:cs="Times New Roman"/>
                <w:color w:val="auto"/>
                <w:szCs w:val="21"/>
                <w:highlight w:val="none"/>
              </w:rPr>
              <w:t>近</w:t>
            </w:r>
            <w:r>
              <w:rPr>
                <w:rFonts w:hint="eastAsia" w:ascii="宋体" w:hAnsi="宋体" w:cs="Times New Roman"/>
                <w:color w:val="auto"/>
                <w:szCs w:val="21"/>
                <w:highlight w:val="none"/>
                <w:lang w:val="en-US" w:eastAsia="zh-CN"/>
              </w:rPr>
              <w:t>5</w:t>
            </w:r>
            <w:r>
              <w:rPr>
                <w:rFonts w:hint="eastAsia" w:ascii="宋体" w:hAnsi="宋体" w:cs="Times New Roman"/>
                <w:color w:val="auto"/>
                <w:szCs w:val="21"/>
                <w:highlight w:val="none"/>
              </w:rPr>
              <w:t>年内有</w:t>
            </w:r>
            <w:r>
              <w:rPr>
                <w:rFonts w:hint="eastAsia" w:ascii="宋体" w:hAnsi="宋体" w:cs="Times New Roman"/>
                <w:color w:val="auto"/>
                <w:szCs w:val="21"/>
                <w:highlight w:val="none"/>
                <w:lang w:eastAsia="zh-CN"/>
              </w:rPr>
              <w:t>建设工程</w:t>
            </w:r>
            <w:r>
              <w:rPr>
                <w:rFonts w:hint="eastAsia" w:ascii="宋体" w:hAnsi="宋体" w:cs="Times New Roman"/>
                <w:color w:val="auto"/>
                <w:szCs w:val="21"/>
                <w:highlight w:val="none"/>
                <w:lang w:val="en-US" w:eastAsia="zh-CN"/>
              </w:rPr>
              <w:t>安全教育</w:t>
            </w:r>
            <w:r>
              <w:rPr>
                <w:rFonts w:hint="eastAsia" w:ascii="宋体" w:hAnsi="宋体" w:cs="Times New Roman"/>
                <w:color w:val="auto"/>
                <w:szCs w:val="21"/>
                <w:highlight w:val="none"/>
                <w:lang w:eastAsia="zh-CN"/>
              </w:rPr>
              <w:t>培训项目负责人</w:t>
            </w:r>
            <w:r>
              <w:rPr>
                <w:rFonts w:hint="eastAsia" w:ascii="宋体" w:hAnsi="宋体" w:cs="Times New Roman"/>
                <w:color w:val="auto"/>
                <w:szCs w:val="21"/>
                <w:highlight w:val="none"/>
              </w:rPr>
              <w:t>经验</w:t>
            </w:r>
            <w:r>
              <w:rPr>
                <w:rFonts w:hint="eastAsia" w:ascii="宋体" w:hAnsi="宋体" w:cs="Times New Roman"/>
                <w:color w:val="auto"/>
                <w:szCs w:val="21"/>
                <w:highlight w:val="none"/>
                <w:lang w:eastAsia="zh-CN"/>
              </w:rPr>
              <w:t>，每个项目得</w:t>
            </w:r>
            <w:r>
              <w:rPr>
                <w:rFonts w:hint="eastAsia" w:ascii="宋体" w:hAnsi="宋体" w:cs="Times New Roman"/>
                <w:color w:val="auto"/>
                <w:szCs w:val="21"/>
                <w:highlight w:val="none"/>
                <w:lang w:val="en-US" w:eastAsia="zh-CN"/>
              </w:rPr>
              <w:t>2分，最高得10分。</w:t>
            </w:r>
          </w:p>
        </w:tc>
        <w:tc>
          <w:tcPr>
            <w:tcW w:w="687" w:type="dxa"/>
            <w:tcBorders>
              <w:top w:val="single" w:color="auto" w:sz="4" w:space="0"/>
              <w:left w:val="single" w:color="auto" w:sz="6" w:space="0"/>
              <w:bottom w:val="single" w:color="auto" w:sz="6" w:space="0"/>
              <w:right w:val="single" w:color="auto" w:sz="4" w:space="0"/>
            </w:tcBorders>
            <w:vAlign w:val="center"/>
          </w:tcPr>
          <w:p w14:paraId="78C2931C">
            <w:pPr>
              <w:autoSpaceDE w:val="0"/>
              <w:autoSpaceDN w:val="0"/>
              <w:adjustRightInd w:val="0"/>
              <w:snapToGrid w:val="0"/>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10</w:t>
            </w:r>
          </w:p>
        </w:tc>
        <w:tc>
          <w:tcPr>
            <w:tcW w:w="1545" w:type="dxa"/>
            <w:vMerge w:val="continue"/>
            <w:tcBorders>
              <w:left w:val="single" w:color="auto" w:sz="4" w:space="0"/>
              <w:bottom w:val="single" w:color="auto" w:sz="6" w:space="0"/>
              <w:right w:val="single" w:color="auto" w:sz="6" w:space="0"/>
            </w:tcBorders>
            <w:vAlign w:val="center"/>
          </w:tcPr>
          <w:p w14:paraId="30AC9138">
            <w:pPr>
              <w:autoSpaceDE w:val="0"/>
              <w:autoSpaceDN w:val="0"/>
              <w:adjustRightInd w:val="0"/>
              <w:jc w:val="center"/>
              <w:rPr>
                <w:rFonts w:hint="eastAsia" w:ascii="宋体" w:hAnsi="宋体" w:cs="Times New Roman"/>
                <w:color w:val="auto"/>
                <w:szCs w:val="21"/>
                <w:highlight w:val="none"/>
                <w:lang w:val="zh-CN"/>
              </w:rPr>
            </w:pPr>
          </w:p>
        </w:tc>
      </w:tr>
      <w:tr w14:paraId="7F53A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trPr>
        <w:tc>
          <w:tcPr>
            <w:tcW w:w="612" w:type="dxa"/>
            <w:vMerge w:val="restart"/>
            <w:tcBorders>
              <w:top w:val="single" w:color="auto" w:sz="6" w:space="0"/>
              <w:left w:val="single" w:color="auto" w:sz="6" w:space="0"/>
              <w:right w:val="single" w:color="auto" w:sz="6" w:space="0"/>
            </w:tcBorders>
            <w:vAlign w:val="center"/>
          </w:tcPr>
          <w:p w14:paraId="495A561E">
            <w:pPr>
              <w:autoSpaceDE w:val="0"/>
              <w:autoSpaceDN w:val="0"/>
              <w:adjustRightInd w:val="0"/>
              <w:jc w:val="center"/>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w:t>
            </w:r>
          </w:p>
        </w:tc>
        <w:tc>
          <w:tcPr>
            <w:tcW w:w="1763" w:type="dxa"/>
            <w:vMerge w:val="restart"/>
            <w:tcBorders>
              <w:top w:val="single" w:color="auto" w:sz="6" w:space="0"/>
              <w:left w:val="single" w:color="auto" w:sz="6" w:space="0"/>
              <w:right w:val="single" w:color="auto" w:sz="6" w:space="0"/>
            </w:tcBorders>
            <w:vAlign w:val="center"/>
          </w:tcPr>
          <w:p w14:paraId="7029175E">
            <w:pPr>
              <w:autoSpaceDE w:val="0"/>
              <w:autoSpaceDN w:val="0"/>
              <w:adjustRightInd w:val="0"/>
              <w:snapToGrid w:val="0"/>
              <w:jc w:val="center"/>
              <w:rPr>
                <w:rFonts w:hint="eastAsia" w:ascii="宋体" w:hAnsi="宋体" w:cs="Times New Roman"/>
                <w:color w:val="auto"/>
                <w:szCs w:val="21"/>
                <w:highlight w:val="none"/>
                <w:lang w:val="zh-CN"/>
              </w:rPr>
            </w:pPr>
            <w:r>
              <w:rPr>
                <w:rFonts w:hint="eastAsia" w:ascii="宋体" w:hAnsi="宋体" w:cs="Times New Roman"/>
                <w:color w:val="auto"/>
                <w:szCs w:val="21"/>
                <w:highlight w:val="none"/>
                <w:lang w:val="zh-CN"/>
              </w:rPr>
              <w:t>讲师资历</w:t>
            </w:r>
          </w:p>
        </w:tc>
        <w:tc>
          <w:tcPr>
            <w:tcW w:w="4693" w:type="dxa"/>
            <w:tcBorders>
              <w:top w:val="single" w:color="auto" w:sz="6" w:space="0"/>
              <w:left w:val="single" w:color="auto" w:sz="6" w:space="0"/>
              <w:bottom w:val="single" w:color="auto" w:sz="4" w:space="0"/>
              <w:right w:val="single" w:color="auto" w:sz="6" w:space="0"/>
            </w:tcBorders>
            <w:vAlign w:val="center"/>
          </w:tcPr>
          <w:p w14:paraId="7017A4FE">
            <w:pPr>
              <w:autoSpaceDE w:val="0"/>
              <w:autoSpaceDN w:val="0"/>
              <w:adjustRightInd w:val="0"/>
              <w:ind w:firstLine="420" w:firstLineChars="200"/>
              <w:jc w:val="lef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讲师应具备建筑工程相关专业副高级工程师证，得10分</w:t>
            </w:r>
            <w:r>
              <w:rPr>
                <w:rFonts w:hint="eastAsia" w:ascii="宋体" w:hAnsi="宋体" w:cs="Times New Roman"/>
                <w:color w:val="auto"/>
                <w:szCs w:val="21"/>
                <w:highlight w:val="none"/>
                <w:lang w:val="zh-CN"/>
              </w:rPr>
              <w:t>（必须是投标人正式任职的人员，提供近</w:t>
            </w:r>
            <w:r>
              <w:rPr>
                <w:rFonts w:hint="eastAsia" w:ascii="宋体" w:hAnsi="宋体" w:cs="Times New Roman"/>
                <w:color w:val="auto"/>
                <w:szCs w:val="21"/>
                <w:highlight w:val="none"/>
              </w:rPr>
              <w:t>6个月的社保证明</w:t>
            </w:r>
            <w:r>
              <w:rPr>
                <w:rFonts w:hint="eastAsia" w:ascii="宋体" w:hAnsi="宋体" w:cs="Times New Roman"/>
                <w:color w:val="auto"/>
                <w:szCs w:val="21"/>
                <w:highlight w:val="none"/>
                <w:lang w:val="zh-CN"/>
              </w:rPr>
              <w:t>）</w:t>
            </w:r>
            <w:r>
              <w:rPr>
                <w:rFonts w:hint="eastAsia" w:ascii="宋体" w:hAnsi="宋体" w:cs="Times New Roman"/>
                <w:color w:val="auto"/>
                <w:szCs w:val="21"/>
                <w:highlight w:val="none"/>
                <w:lang w:eastAsia="zh-CN"/>
              </w:rPr>
              <w:t>；</w:t>
            </w:r>
          </w:p>
        </w:tc>
        <w:tc>
          <w:tcPr>
            <w:tcW w:w="687" w:type="dxa"/>
            <w:tcBorders>
              <w:top w:val="single" w:color="auto" w:sz="6" w:space="0"/>
              <w:left w:val="single" w:color="auto" w:sz="6" w:space="0"/>
              <w:bottom w:val="single" w:color="auto" w:sz="4" w:space="0"/>
              <w:right w:val="single" w:color="auto" w:sz="4" w:space="0"/>
            </w:tcBorders>
            <w:vAlign w:val="center"/>
          </w:tcPr>
          <w:p w14:paraId="42307158">
            <w:pPr>
              <w:autoSpaceDE w:val="0"/>
              <w:autoSpaceDN w:val="0"/>
              <w:adjustRightInd w:val="0"/>
              <w:snapToGrid w:val="0"/>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10</w:t>
            </w:r>
          </w:p>
        </w:tc>
        <w:tc>
          <w:tcPr>
            <w:tcW w:w="1545" w:type="dxa"/>
            <w:vMerge w:val="restart"/>
            <w:tcBorders>
              <w:top w:val="single" w:color="auto" w:sz="6" w:space="0"/>
              <w:left w:val="single" w:color="auto" w:sz="4" w:space="0"/>
              <w:right w:val="single" w:color="auto" w:sz="6" w:space="0"/>
            </w:tcBorders>
            <w:vAlign w:val="center"/>
          </w:tcPr>
          <w:p w14:paraId="67217E2D">
            <w:pPr>
              <w:autoSpaceDE w:val="0"/>
              <w:autoSpaceDN w:val="0"/>
              <w:adjustRightInd w:val="0"/>
              <w:jc w:val="center"/>
              <w:rPr>
                <w:rFonts w:hint="eastAsia" w:ascii="宋体" w:hAnsi="宋体" w:cs="Times New Roman"/>
                <w:color w:val="auto"/>
                <w:szCs w:val="21"/>
                <w:highlight w:val="none"/>
                <w:lang w:val="zh-CN"/>
              </w:rPr>
            </w:pPr>
            <w:r>
              <w:rPr>
                <w:rFonts w:hint="eastAsia" w:ascii="宋体" w:hAnsi="宋体" w:cs="Times New Roman"/>
                <w:color w:val="auto"/>
                <w:szCs w:val="21"/>
                <w:highlight w:val="none"/>
                <w:lang w:val="zh-CN"/>
              </w:rPr>
              <w:t>专家打分</w:t>
            </w:r>
          </w:p>
        </w:tc>
      </w:tr>
      <w:tr w14:paraId="4F00F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7" w:hRule="atLeast"/>
        </w:trPr>
        <w:tc>
          <w:tcPr>
            <w:tcW w:w="612" w:type="dxa"/>
            <w:vMerge w:val="continue"/>
            <w:tcBorders>
              <w:left w:val="single" w:color="auto" w:sz="6" w:space="0"/>
              <w:bottom w:val="single" w:color="auto" w:sz="6" w:space="0"/>
              <w:right w:val="single" w:color="auto" w:sz="6" w:space="0"/>
            </w:tcBorders>
            <w:vAlign w:val="center"/>
          </w:tcPr>
          <w:p w14:paraId="26F97DDB">
            <w:pPr>
              <w:autoSpaceDE w:val="0"/>
              <w:autoSpaceDN w:val="0"/>
              <w:adjustRightInd w:val="0"/>
              <w:jc w:val="center"/>
              <w:rPr>
                <w:rFonts w:hint="eastAsia" w:ascii="宋体" w:hAnsi="宋体" w:cs="Times New Roman"/>
                <w:color w:val="auto"/>
                <w:szCs w:val="21"/>
                <w:highlight w:val="none"/>
                <w:lang w:val="en-US" w:eastAsia="zh-CN"/>
              </w:rPr>
            </w:pPr>
          </w:p>
        </w:tc>
        <w:tc>
          <w:tcPr>
            <w:tcW w:w="1763" w:type="dxa"/>
            <w:vMerge w:val="continue"/>
            <w:tcBorders>
              <w:left w:val="single" w:color="auto" w:sz="6" w:space="0"/>
              <w:bottom w:val="single" w:color="auto" w:sz="6" w:space="0"/>
              <w:right w:val="single" w:color="auto" w:sz="6" w:space="0"/>
            </w:tcBorders>
            <w:vAlign w:val="center"/>
          </w:tcPr>
          <w:p w14:paraId="09B391EF">
            <w:pPr>
              <w:autoSpaceDE w:val="0"/>
              <w:autoSpaceDN w:val="0"/>
              <w:adjustRightInd w:val="0"/>
              <w:snapToGrid w:val="0"/>
              <w:jc w:val="center"/>
              <w:rPr>
                <w:rFonts w:hint="eastAsia" w:ascii="宋体" w:hAnsi="宋体" w:cs="Times New Roman"/>
                <w:color w:val="auto"/>
                <w:szCs w:val="21"/>
                <w:highlight w:val="none"/>
                <w:lang w:val="zh-CN"/>
              </w:rPr>
            </w:pPr>
          </w:p>
        </w:tc>
        <w:tc>
          <w:tcPr>
            <w:tcW w:w="4693" w:type="dxa"/>
            <w:tcBorders>
              <w:top w:val="single" w:color="auto" w:sz="4" w:space="0"/>
              <w:left w:val="single" w:color="auto" w:sz="6" w:space="0"/>
              <w:bottom w:val="single" w:color="auto" w:sz="6" w:space="0"/>
              <w:right w:val="single" w:color="auto" w:sz="6" w:space="0"/>
            </w:tcBorders>
            <w:vAlign w:val="center"/>
          </w:tcPr>
          <w:p w14:paraId="528FB333">
            <w:pPr>
              <w:autoSpaceDE w:val="0"/>
              <w:autoSpaceDN w:val="0"/>
              <w:adjustRightInd w:val="0"/>
              <w:ind w:firstLine="420" w:firstLineChars="200"/>
              <w:jc w:val="lef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eastAsia="zh-CN"/>
              </w:rPr>
              <w:t>讲师</w:t>
            </w:r>
            <w:r>
              <w:rPr>
                <w:rFonts w:hint="eastAsia" w:ascii="宋体" w:hAnsi="宋体" w:cs="Times New Roman"/>
                <w:color w:val="auto"/>
                <w:szCs w:val="21"/>
                <w:highlight w:val="none"/>
              </w:rPr>
              <w:t>近</w:t>
            </w:r>
            <w:r>
              <w:rPr>
                <w:rFonts w:hint="eastAsia" w:ascii="宋体" w:hAnsi="宋体" w:cs="Times New Roman"/>
                <w:color w:val="auto"/>
                <w:szCs w:val="21"/>
                <w:highlight w:val="none"/>
                <w:lang w:val="en-US" w:eastAsia="zh-CN"/>
              </w:rPr>
              <w:t>5</w:t>
            </w:r>
            <w:r>
              <w:rPr>
                <w:rFonts w:hint="eastAsia" w:ascii="宋体" w:hAnsi="宋体" w:cs="Times New Roman"/>
                <w:color w:val="auto"/>
                <w:szCs w:val="21"/>
                <w:highlight w:val="none"/>
              </w:rPr>
              <w:t>年内有</w:t>
            </w:r>
            <w:r>
              <w:rPr>
                <w:rFonts w:hint="eastAsia" w:ascii="宋体" w:hAnsi="宋体" w:cs="Times New Roman"/>
                <w:color w:val="auto"/>
                <w:szCs w:val="21"/>
                <w:highlight w:val="none"/>
                <w:lang w:eastAsia="zh-CN"/>
              </w:rPr>
              <w:t>建设工程</w:t>
            </w:r>
            <w:r>
              <w:rPr>
                <w:rFonts w:hint="eastAsia" w:ascii="宋体" w:hAnsi="宋体" w:cs="Times New Roman"/>
                <w:color w:val="auto"/>
                <w:szCs w:val="21"/>
                <w:highlight w:val="none"/>
                <w:lang w:val="en-US" w:eastAsia="zh-CN"/>
              </w:rPr>
              <w:t>安全教育</w:t>
            </w:r>
            <w:r>
              <w:rPr>
                <w:rFonts w:hint="eastAsia" w:ascii="宋体" w:hAnsi="宋体" w:cs="Times New Roman"/>
                <w:color w:val="auto"/>
                <w:szCs w:val="21"/>
                <w:highlight w:val="none"/>
                <w:lang w:eastAsia="zh-CN"/>
              </w:rPr>
              <w:t>培训项目</w:t>
            </w:r>
            <w:r>
              <w:rPr>
                <w:rFonts w:hint="eastAsia" w:ascii="宋体" w:hAnsi="宋体" w:cs="Times New Roman"/>
                <w:color w:val="auto"/>
                <w:szCs w:val="21"/>
                <w:highlight w:val="none"/>
              </w:rPr>
              <w:t>相关经验</w:t>
            </w:r>
            <w:r>
              <w:rPr>
                <w:rFonts w:hint="eastAsia" w:ascii="宋体" w:hAnsi="宋体" w:cs="Times New Roman"/>
                <w:color w:val="auto"/>
                <w:szCs w:val="21"/>
                <w:highlight w:val="none"/>
                <w:lang w:eastAsia="zh-CN"/>
              </w:rPr>
              <w:t>，每个项目得</w:t>
            </w:r>
            <w:r>
              <w:rPr>
                <w:rFonts w:hint="eastAsia" w:ascii="宋体" w:hAnsi="宋体" w:cs="Times New Roman"/>
                <w:color w:val="auto"/>
                <w:szCs w:val="21"/>
                <w:highlight w:val="none"/>
                <w:lang w:val="en-US" w:eastAsia="zh-CN"/>
              </w:rPr>
              <w:t>2分，最高得10分。</w:t>
            </w:r>
          </w:p>
        </w:tc>
        <w:tc>
          <w:tcPr>
            <w:tcW w:w="687" w:type="dxa"/>
            <w:tcBorders>
              <w:top w:val="single" w:color="auto" w:sz="4" w:space="0"/>
              <w:left w:val="single" w:color="auto" w:sz="6" w:space="0"/>
              <w:bottom w:val="single" w:color="auto" w:sz="6" w:space="0"/>
              <w:right w:val="single" w:color="auto" w:sz="4" w:space="0"/>
            </w:tcBorders>
            <w:vAlign w:val="center"/>
          </w:tcPr>
          <w:p w14:paraId="07280F67">
            <w:pPr>
              <w:autoSpaceDE w:val="0"/>
              <w:autoSpaceDN w:val="0"/>
              <w:adjustRightInd w:val="0"/>
              <w:snapToGrid w:val="0"/>
              <w:jc w:val="center"/>
              <w:rPr>
                <w:rFonts w:hint="default"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10</w:t>
            </w:r>
          </w:p>
        </w:tc>
        <w:tc>
          <w:tcPr>
            <w:tcW w:w="1545" w:type="dxa"/>
            <w:vMerge w:val="continue"/>
            <w:tcBorders>
              <w:left w:val="single" w:color="auto" w:sz="4" w:space="0"/>
              <w:bottom w:val="single" w:color="auto" w:sz="6" w:space="0"/>
              <w:right w:val="single" w:color="auto" w:sz="6" w:space="0"/>
            </w:tcBorders>
            <w:vAlign w:val="center"/>
          </w:tcPr>
          <w:p w14:paraId="04BB86DB">
            <w:pPr>
              <w:autoSpaceDE w:val="0"/>
              <w:autoSpaceDN w:val="0"/>
              <w:adjustRightInd w:val="0"/>
              <w:jc w:val="center"/>
              <w:rPr>
                <w:rFonts w:hint="eastAsia" w:ascii="宋体" w:hAnsi="宋体" w:cs="Times New Roman"/>
                <w:color w:val="auto"/>
                <w:szCs w:val="21"/>
                <w:highlight w:val="none"/>
                <w:lang w:val="zh-CN"/>
              </w:rPr>
            </w:pPr>
          </w:p>
        </w:tc>
      </w:tr>
    </w:tbl>
    <w:p w14:paraId="28022DAB">
      <w:pPr>
        <w:spacing w:before="156" w:beforeLines="50" w:after="156" w:afterLines="50" w:line="500" w:lineRule="exact"/>
        <w:ind w:firstLine="640" w:firstLineChars="200"/>
        <w:outlineLvl w:val="0"/>
        <w:rPr>
          <w:rFonts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、投标文件要求</w:t>
      </w:r>
    </w:p>
    <w:p w14:paraId="39DC7032">
      <w:pPr>
        <w:spacing w:line="500" w:lineRule="exact"/>
        <w:outlineLvl w:val="0"/>
        <w:rPr>
          <w:rFonts w:hint="eastAsia" w:ascii="楷体_GB2312" w:hAnsi="楷体_GB2312" w:eastAsia="楷体_GB2312" w:cs="楷体_GB2312"/>
          <w:sz w:val="32"/>
          <w:szCs w:val="32"/>
          <w:lang w:eastAsia="zh-CN"/>
        </w:rPr>
      </w:pPr>
      <w:r>
        <w:rPr>
          <w:rFonts w:hint="eastAsia" w:ascii="仿宋" w:hAnsi="仿宋" w:eastAsia="仿宋"/>
          <w:b/>
          <w:bCs/>
          <w:sz w:val="32"/>
          <w:szCs w:val="32"/>
        </w:rPr>
        <w:t xml:space="preserve">   </w:t>
      </w:r>
      <w:r>
        <w:rPr>
          <w:rFonts w:hint="eastAsia" w:ascii="楷体_GB2312" w:hAnsi="楷体_GB2312" w:eastAsia="楷体_GB2312" w:cs="楷体_GB2312"/>
          <w:sz w:val="32"/>
          <w:szCs w:val="32"/>
        </w:rPr>
        <w:t>（一）投标文件的组成和格式</w:t>
      </w:r>
      <w:r>
        <w:rPr>
          <w:rFonts w:hint="eastAsia" w:ascii="楷体_GB2312" w:hAnsi="楷体_GB2312" w:eastAsia="楷体_GB2312" w:cs="楷体_GB2312"/>
          <w:sz w:val="32"/>
          <w:szCs w:val="32"/>
          <w:lang w:eastAsia="zh-CN"/>
        </w:rPr>
        <w:t>（格式见附件）</w:t>
      </w:r>
    </w:p>
    <w:p w14:paraId="1FF1D7CC">
      <w:pPr>
        <w:spacing w:line="500" w:lineRule="exact"/>
        <w:ind w:firstLine="640" w:firstLineChars="200"/>
        <w:outlineLvl w:val="0"/>
        <w:rPr>
          <w:rFonts w:ascii="仿宋_GB2312" w:hAnsi="仿宋_GB2312" w:eastAsia="仿宋_GB2312" w:cs="仿宋_GB2312"/>
          <w:sz w:val="32"/>
          <w:szCs w:val="32"/>
        </w:rPr>
      </w:pPr>
      <w:r>
        <w:rPr>
          <w:rFonts w:ascii="仿宋_GB2312" w:hAnsi="仿宋_GB2312" w:eastAsia="仿宋_GB2312" w:cs="仿宋_GB2312"/>
          <w:sz w:val="32"/>
          <w:szCs w:val="32"/>
        </w:rPr>
        <w:t>1.招标文件响应声明书及投标报价</w:t>
      </w:r>
      <w:r>
        <w:rPr>
          <w:rFonts w:hint="eastAsia" w:ascii="仿宋_GB2312" w:hAnsi="仿宋_GB2312" w:eastAsia="仿宋_GB2312" w:cs="仿宋_GB2312"/>
          <w:sz w:val="32"/>
          <w:szCs w:val="32"/>
        </w:rPr>
        <w:t>。</w:t>
      </w:r>
    </w:p>
    <w:p w14:paraId="6D50296F">
      <w:pPr>
        <w:spacing w:line="5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.投标资格证明文件：</w:t>
      </w:r>
    </w:p>
    <w:p w14:paraId="5516F6F4">
      <w:pPr>
        <w:spacing w:line="5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1）投标单位</w:t>
      </w:r>
      <w:r>
        <w:rPr>
          <w:rFonts w:hint="eastAsia" w:ascii="仿宋_GB2312" w:hAnsi="仿宋_GB2312" w:eastAsia="仿宋_GB2312" w:cs="仿宋_GB2312"/>
          <w:sz w:val="32"/>
          <w:szCs w:val="32"/>
        </w:rPr>
        <w:t>营业执照复印件</w:t>
      </w:r>
      <w:r>
        <w:rPr>
          <w:rFonts w:hint="eastAsia" w:ascii="仿宋_GB2312" w:hAnsi="仿宋_GB2312" w:eastAsia="仿宋_GB2312" w:cs="仿宋_GB2312"/>
          <w:sz w:val="32"/>
          <w:szCs w:val="32"/>
          <w:lang w:eastAsia="zh-CN"/>
        </w:rPr>
        <w:t>和企业许可经营信息截图</w:t>
      </w:r>
      <w:r>
        <w:rPr>
          <w:rFonts w:hint="eastAsia" w:ascii="仿宋_GB2312" w:hAnsi="仿宋_GB2312" w:eastAsia="仿宋_GB2312" w:cs="仿宋_GB2312"/>
          <w:sz w:val="32"/>
          <w:szCs w:val="32"/>
        </w:rPr>
        <w:t>，加盖公章；</w:t>
      </w:r>
    </w:p>
    <w:p w14:paraId="51505154">
      <w:pPr>
        <w:spacing w:line="5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2）法定代表人身份证明书、法定代表人授权委托书，加盖公章。</w:t>
      </w:r>
    </w:p>
    <w:p w14:paraId="4DC2E010">
      <w:pPr>
        <w:spacing w:line="5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.投标承诺函，加盖公章</w:t>
      </w:r>
      <w:r>
        <w:rPr>
          <w:rFonts w:hint="eastAsia" w:ascii="仿宋_GB2312" w:hAnsi="仿宋_GB2312" w:eastAsia="仿宋_GB2312" w:cs="仿宋_GB2312"/>
          <w:sz w:val="32"/>
          <w:szCs w:val="32"/>
        </w:rPr>
        <w:t>。</w:t>
      </w:r>
    </w:p>
    <w:p w14:paraId="67FF941A">
      <w:pPr>
        <w:spacing w:line="500"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4.招标文件编制内容：</w:t>
      </w:r>
    </w:p>
    <w:p w14:paraId="13184D34">
      <w:pPr>
        <w:spacing w:line="500"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投标单位</w:t>
      </w:r>
      <w:r>
        <w:rPr>
          <w:rFonts w:hint="eastAsia" w:ascii="仿宋_GB2312" w:hAnsi="仿宋_GB2312" w:eastAsia="仿宋_GB2312" w:cs="仿宋_GB2312"/>
          <w:sz w:val="32"/>
          <w:szCs w:val="32"/>
          <w:lang w:eastAsia="zh-CN"/>
        </w:rPr>
        <w:t>提供相关</w:t>
      </w:r>
      <w:r>
        <w:rPr>
          <w:rFonts w:hint="eastAsia" w:ascii="仿宋_GB2312" w:hAnsi="仿宋_GB2312" w:eastAsia="仿宋_GB2312" w:cs="仿宋_GB2312"/>
          <w:sz w:val="32"/>
          <w:szCs w:val="32"/>
          <w:lang w:val="en-US" w:eastAsia="zh-CN"/>
        </w:rPr>
        <w:t>服务的合同等证明文件和业绩证明文件复印件以及履约评价复印件，加盖公章。</w:t>
      </w:r>
    </w:p>
    <w:p w14:paraId="3B9204E0">
      <w:pPr>
        <w:spacing w:line="5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）项目团队成员名单、</w:t>
      </w:r>
      <w:r>
        <w:rPr>
          <w:rFonts w:ascii="仿宋_GB2312" w:hAnsi="仿宋_GB2312" w:eastAsia="仿宋_GB2312" w:cs="仿宋_GB2312"/>
          <w:sz w:val="32"/>
          <w:szCs w:val="32"/>
        </w:rPr>
        <w:t>资格证书、从业经验及业绩证明材料，加盖公章</w:t>
      </w:r>
      <w:r>
        <w:rPr>
          <w:rFonts w:hint="eastAsia" w:ascii="仿宋_GB2312" w:hAnsi="仿宋_GB2312" w:eastAsia="仿宋_GB2312" w:cs="仿宋_GB2312"/>
          <w:sz w:val="32"/>
          <w:szCs w:val="32"/>
        </w:rPr>
        <w:t>。</w:t>
      </w:r>
    </w:p>
    <w:p w14:paraId="08EB5491">
      <w:pPr>
        <w:spacing w:line="5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投标单位的纳税证明及社保情况，提交的资料应加盖公章。</w:t>
      </w:r>
    </w:p>
    <w:p w14:paraId="588E3F8A">
      <w:pPr>
        <w:spacing w:line="500" w:lineRule="exact"/>
        <w:ind w:firstLine="640" w:firstLineChars="200"/>
        <w:outlineLvl w:val="0"/>
        <w:rPr>
          <w:rFonts w:ascii="仿宋" w:hAnsi="仿宋" w:eastAsia="仿宋" w:cs="仿宋_GB2312"/>
          <w:sz w:val="32"/>
          <w:szCs w:val="32"/>
        </w:rPr>
      </w:pP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.其它招标文件要求的内容及投标人认为需要补充的内容（格式自定），提交的资料应加盖公章。</w:t>
      </w:r>
    </w:p>
    <w:p w14:paraId="55006899">
      <w:pPr>
        <w:spacing w:line="500" w:lineRule="exact"/>
        <w:outlineLvl w:val="0"/>
        <w:rPr>
          <w:rFonts w:ascii="楷体_GB2312" w:hAnsi="楷体_GB2312" w:eastAsia="楷体_GB2312" w:cs="楷体_GB2312"/>
          <w:sz w:val="32"/>
          <w:szCs w:val="32"/>
        </w:rPr>
      </w:pPr>
      <w:r>
        <w:rPr>
          <w:rFonts w:hint="eastAsia" w:ascii="仿宋" w:hAnsi="仿宋" w:eastAsia="仿宋"/>
          <w:b/>
          <w:bCs/>
          <w:sz w:val="32"/>
          <w:szCs w:val="32"/>
        </w:rPr>
        <w:t xml:space="preserve">   </w:t>
      </w:r>
      <w:r>
        <w:rPr>
          <w:rFonts w:hint="eastAsia" w:ascii="楷体_GB2312" w:hAnsi="楷体_GB2312" w:eastAsia="楷体_GB2312" w:cs="楷体_GB2312"/>
          <w:sz w:val="32"/>
          <w:szCs w:val="32"/>
        </w:rPr>
        <w:t>（二）投标文件的份数及装订、密封要求</w:t>
      </w:r>
    </w:p>
    <w:p w14:paraId="6A252656">
      <w:pPr>
        <w:spacing w:line="500" w:lineRule="exact"/>
        <w:ind w:firstLine="640" w:firstLineChars="200"/>
        <w:outlineLvl w:val="0"/>
        <w:rPr>
          <w:rFonts w:ascii="仿宋_GB2312" w:hAnsi="仿宋_GB2312" w:eastAsia="仿宋_GB2312" w:cs="仿宋_GB2312"/>
          <w:sz w:val="32"/>
          <w:szCs w:val="32"/>
        </w:rPr>
      </w:pPr>
      <w:r>
        <w:rPr>
          <w:rFonts w:ascii="仿宋_GB2312" w:hAnsi="仿宋_GB2312" w:eastAsia="仿宋_GB2312" w:cs="仿宋_GB2312"/>
          <w:sz w:val="32"/>
          <w:szCs w:val="32"/>
        </w:rPr>
        <w:t>1.投标人应准备投标文件正本一套和副本二套，所有封袋上都应写明投标人的名称、项目名称。文件封面须清楚地标明“正本”或“副本”，当正本与副本有不一致时，以正本为准。</w:t>
      </w:r>
    </w:p>
    <w:p w14:paraId="2D03EFAE">
      <w:pPr>
        <w:spacing w:line="500" w:lineRule="exact"/>
        <w:ind w:firstLine="640" w:firstLineChars="200"/>
        <w:outlineLvl w:val="0"/>
        <w:rPr>
          <w:rFonts w:ascii="仿宋_GB2312" w:hAnsi="仿宋_GB2312" w:eastAsia="仿宋_GB2312" w:cs="仿宋_GB2312"/>
          <w:sz w:val="32"/>
          <w:szCs w:val="32"/>
        </w:rPr>
      </w:pPr>
      <w:r>
        <w:rPr>
          <w:rFonts w:ascii="仿宋_GB2312" w:hAnsi="仿宋_GB2312" w:eastAsia="仿宋_GB2312" w:cs="仿宋_GB2312"/>
          <w:sz w:val="32"/>
          <w:szCs w:val="32"/>
        </w:rPr>
        <w:t>2.投标文件正、副本均应使用A4纸统一装订，且均应使用不能擦去的墨水书写或打印，并由投标人加盖公章和法定代表人或法定代表人委托的代理人签字。</w:t>
      </w:r>
    </w:p>
    <w:p w14:paraId="7FDEF84B">
      <w:pPr>
        <w:spacing w:line="500" w:lineRule="exact"/>
        <w:ind w:firstLine="640" w:firstLineChars="200"/>
        <w:outlineLvl w:val="0"/>
        <w:rPr>
          <w:rFonts w:ascii="仿宋_GB2312" w:hAnsi="仿宋_GB2312" w:eastAsia="仿宋_GB2312" w:cs="仿宋_GB2312"/>
          <w:sz w:val="32"/>
          <w:szCs w:val="32"/>
        </w:rPr>
      </w:pPr>
      <w:r>
        <w:rPr>
          <w:rFonts w:ascii="仿宋_GB2312" w:hAnsi="仿宋_GB2312" w:eastAsia="仿宋_GB2312" w:cs="仿宋_GB2312"/>
          <w:sz w:val="32"/>
          <w:szCs w:val="32"/>
        </w:rPr>
        <w:t>3.投标文件的正本及所有副本必须密封，封面均须加盖投标人公章并在密封口骑缝加盖公章。</w:t>
      </w:r>
    </w:p>
    <w:p w14:paraId="647BC5C1">
      <w:pPr>
        <w:spacing w:line="500" w:lineRule="exact"/>
        <w:outlineLvl w:val="0"/>
        <w:rPr>
          <w:rFonts w:ascii="楷体_GB2312" w:hAnsi="楷体_GB2312" w:eastAsia="楷体_GB2312" w:cs="楷体_GB2312"/>
          <w:sz w:val="32"/>
          <w:szCs w:val="32"/>
        </w:rPr>
      </w:pPr>
      <w:r>
        <w:rPr>
          <w:rFonts w:hint="eastAsia" w:ascii="仿宋" w:hAnsi="仿宋" w:eastAsia="仿宋"/>
          <w:b/>
          <w:bCs/>
          <w:sz w:val="32"/>
          <w:szCs w:val="32"/>
        </w:rPr>
        <w:t xml:space="preserve">   </w:t>
      </w:r>
      <w:r>
        <w:rPr>
          <w:rFonts w:hint="eastAsia" w:ascii="楷体_GB2312" w:hAnsi="楷体_GB2312" w:eastAsia="楷体_GB2312" w:cs="楷体_GB2312"/>
          <w:sz w:val="32"/>
          <w:szCs w:val="32"/>
        </w:rPr>
        <w:t>（三）投标文件的递交</w:t>
      </w:r>
    </w:p>
    <w:p w14:paraId="612B2456">
      <w:pPr>
        <w:spacing w:line="500" w:lineRule="exact"/>
        <w:ind w:firstLine="640" w:firstLineChars="200"/>
        <w:outlineLvl w:val="0"/>
        <w:rPr>
          <w:rFonts w:ascii="仿宋_GB2312" w:hAnsi="仿宋_GB2312" w:eastAsia="仿宋_GB2312" w:cs="仿宋_GB2312"/>
          <w:sz w:val="32"/>
          <w:szCs w:val="32"/>
        </w:rPr>
      </w:pPr>
      <w:r>
        <w:rPr>
          <w:rFonts w:ascii="仿宋_GB2312" w:hAnsi="仿宋_GB2312" w:eastAsia="仿宋_GB2312" w:cs="仿宋_GB2312"/>
          <w:sz w:val="32"/>
          <w:szCs w:val="32"/>
        </w:rPr>
        <w:t>1.投标人将投标文件按以上规定密封和标记后，按以下注明的地址在投标截</w:t>
      </w:r>
      <w:r>
        <w:rPr>
          <w:rFonts w:hint="eastAsia" w:ascii="仿宋_GB2312" w:hAnsi="仿宋_GB2312" w:eastAsia="仿宋_GB2312" w:cs="仿宋_GB2312"/>
          <w:sz w:val="32"/>
          <w:szCs w:val="32"/>
        </w:rPr>
        <w:t>止时间之前送至招标单位。</w:t>
      </w:r>
    </w:p>
    <w:p w14:paraId="4F627D39">
      <w:pPr>
        <w:spacing w:line="500" w:lineRule="exact"/>
        <w:ind w:firstLine="640" w:firstLineChars="200"/>
        <w:outlineLvl w:val="0"/>
        <w:rPr>
          <w:rFonts w:ascii="仿宋_GB2312" w:hAnsi="仿宋_GB2312" w:eastAsia="仿宋_GB2312" w:cs="仿宋_GB2312"/>
          <w:sz w:val="32"/>
          <w:szCs w:val="32"/>
        </w:rPr>
      </w:pPr>
      <w:r>
        <w:rPr>
          <w:rFonts w:ascii="仿宋_GB2312" w:hAnsi="仿宋_GB2312" w:eastAsia="仿宋_GB2312" w:cs="仿宋_GB2312"/>
          <w:sz w:val="32"/>
          <w:szCs w:val="32"/>
        </w:rPr>
        <w:t>2.递交资料截止时间：202</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bookmarkStart w:id="7" w:name="_GoBack"/>
      <w:bookmarkEnd w:id="7"/>
      <w:r>
        <w:rPr>
          <w:rFonts w:hint="eastAsia" w:ascii="仿宋_GB2312" w:hAnsi="仿宋_GB2312" w:eastAsia="仿宋_GB2312" w:cs="仿宋_GB2312"/>
          <w:sz w:val="32"/>
          <w:szCs w:val="32"/>
          <w:lang w:val="en-US" w:eastAsia="zh-CN"/>
        </w:rPr>
        <w:t>:00</w:t>
      </w:r>
      <w:r>
        <w:rPr>
          <w:rFonts w:ascii="仿宋_GB2312" w:hAnsi="仿宋_GB2312" w:eastAsia="仿宋_GB2312" w:cs="仿宋_GB2312"/>
          <w:sz w:val="32"/>
          <w:szCs w:val="32"/>
        </w:rPr>
        <w:t>时</w:t>
      </w:r>
    </w:p>
    <w:p w14:paraId="7FDD25AA">
      <w:pPr>
        <w:spacing w:line="5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地点：深圳市南山区桃园路区委大楼</w:t>
      </w:r>
      <w:r>
        <w:rPr>
          <w:rFonts w:ascii="仿宋_GB2312" w:hAnsi="仿宋_GB2312" w:eastAsia="仿宋_GB2312" w:cs="仿宋_GB2312"/>
          <w:sz w:val="32"/>
          <w:szCs w:val="32"/>
        </w:rPr>
        <w:t>A</w:t>
      </w:r>
      <w:r>
        <w:rPr>
          <w:rFonts w:hint="eastAsia" w:ascii="仿宋_GB2312" w:hAnsi="仿宋_GB2312" w:eastAsia="仿宋_GB2312" w:cs="仿宋_GB2312"/>
          <w:sz w:val="32"/>
          <w:szCs w:val="32"/>
          <w:lang w:val="en-US" w:eastAsia="zh-CN"/>
        </w:rPr>
        <w:t>421</w:t>
      </w:r>
      <w:r>
        <w:rPr>
          <w:rFonts w:ascii="仿宋_GB2312" w:hAnsi="仿宋_GB2312" w:eastAsia="仿宋_GB2312" w:cs="仿宋_GB2312"/>
          <w:sz w:val="32"/>
          <w:szCs w:val="32"/>
        </w:rPr>
        <w:t>室</w:t>
      </w:r>
    </w:p>
    <w:p w14:paraId="3BB81E0A">
      <w:pPr>
        <w:spacing w:line="500" w:lineRule="exact"/>
        <w:ind w:firstLine="640" w:firstLineChars="200"/>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蒋坚</w:t>
      </w:r>
      <w:r>
        <w:rPr>
          <w:rFonts w:hint="eastAsia" w:ascii="仿宋_GB2312" w:hAnsi="仿宋_GB2312" w:eastAsia="仿宋_GB2312" w:cs="仿宋_GB2312"/>
          <w:sz w:val="32"/>
          <w:szCs w:val="32"/>
        </w:rPr>
        <w:t>，电话</w:t>
      </w:r>
      <w:r>
        <w:rPr>
          <w:rFonts w:ascii="仿宋_GB2312" w:hAnsi="仿宋_GB2312" w:eastAsia="仿宋_GB2312" w:cs="仿宋_GB2312"/>
          <w:sz w:val="32"/>
          <w:szCs w:val="32"/>
        </w:rPr>
        <w:t>: 0755-</w:t>
      </w:r>
      <w:r>
        <w:rPr>
          <w:rFonts w:hint="eastAsia" w:ascii="仿宋_GB2312" w:hAnsi="仿宋_GB2312" w:eastAsia="仿宋_GB2312" w:cs="仿宋_GB2312"/>
          <w:sz w:val="32"/>
          <w:szCs w:val="32"/>
          <w:lang w:val="en-US" w:eastAsia="zh-CN"/>
        </w:rPr>
        <w:t>88167633</w:t>
      </w:r>
    </w:p>
    <w:p w14:paraId="2CA748BC">
      <w:pPr>
        <w:spacing w:line="500" w:lineRule="exact"/>
        <w:outlineLvl w:val="0"/>
        <w:rPr>
          <w:rFonts w:ascii="楷体_GB2312" w:hAnsi="楷体_GB2312" w:eastAsia="楷体_GB2312" w:cs="楷体_GB2312"/>
          <w:sz w:val="32"/>
          <w:szCs w:val="32"/>
        </w:rPr>
      </w:pPr>
      <w:r>
        <w:rPr>
          <w:rFonts w:hint="eastAsia" w:ascii="仿宋" w:hAnsi="仿宋" w:eastAsia="仿宋"/>
          <w:b/>
          <w:bCs/>
          <w:sz w:val="32"/>
          <w:szCs w:val="32"/>
        </w:rPr>
        <w:t xml:space="preserve">   </w:t>
      </w:r>
      <w:r>
        <w:rPr>
          <w:rFonts w:hint="eastAsia" w:ascii="楷体_GB2312" w:hAnsi="楷体_GB2312" w:eastAsia="楷体_GB2312" w:cs="楷体_GB2312"/>
          <w:sz w:val="32"/>
          <w:szCs w:val="32"/>
        </w:rPr>
        <w:t>（四）投标文件有效期</w:t>
      </w:r>
    </w:p>
    <w:p w14:paraId="0D511382">
      <w:pPr>
        <w:spacing w:line="5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投标文件从投标截止日起有效期为</w:t>
      </w:r>
      <w:r>
        <w:rPr>
          <w:rFonts w:hint="eastAsia" w:ascii="仿宋_GB2312" w:hAnsi="仿宋_GB2312" w:eastAsia="仿宋_GB2312" w:cs="仿宋_GB2312"/>
          <w:sz w:val="32"/>
          <w:szCs w:val="32"/>
          <w:lang w:val="en-US" w:eastAsia="zh-CN"/>
        </w:rPr>
        <w:t>30</w:t>
      </w:r>
      <w:r>
        <w:rPr>
          <w:rFonts w:ascii="仿宋_GB2312" w:hAnsi="仿宋_GB2312" w:eastAsia="仿宋_GB2312" w:cs="仿宋_GB2312"/>
          <w:sz w:val="32"/>
          <w:szCs w:val="32"/>
        </w:rPr>
        <w:t>天。</w:t>
      </w:r>
    </w:p>
    <w:p w14:paraId="0A672314">
      <w:pPr>
        <w:spacing w:before="156" w:beforeLines="50" w:after="156" w:afterLines="50" w:line="500" w:lineRule="exact"/>
        <w:ind w:firstLine="640" w:firstLineChars="200"/>
        <w:outlineLvl w:val="0"/>
        <w:rPr>
          <w:rFonts w:ascii="黑体" w:hAnsi="黑体" w:eastAsia="黑体"/>
          <w:sz w:val="32"/>
          <w:szCs w:val="32"/>
        </w:rPr>
      </w:pPr>
      <w:r>
        <w:rPr>
          <w:rFonts w:hint="eastAsia" w:ascii="黑体" w:hAnsi="黑体" w:eastAsia="黑体"/>
          <w:sz w:val="32"/>
          <w:szCs w:val="32"/>
          <w:lang w:eastAsia="zh-CN"/>
        </w:rPr>
        <w:t>九</w:t>
      </w:r>
      <w:r>
        <w:rPr>
          <w:rFonts w:hint="eastAsia" w:ascii="黑体" w:hAnsi="黑体" w:eastAsia="黑体"/>
          <w:sz w:val="32"/>
          <w:szCs w:val="32"/>
        </w:rPr>
        <w:t>、废标条款</w:t>
      </w:r>
    </w:p>
    <w:p w14:paraId="3A0DFFF3">
      <w:pPr>
        <w:spacing w:line="5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符合下列条件之一，即可定为废标：</w:t>
      </w:r>
    </w:p>
    <w:p w14:paraId="161AF11D">
      <w:pPr>
        <w:spacing w:line="500" w:lineRule="exact"/>
        <w:ind w:firstLine="640" w:firstLineChars="200"/>
        <w:outlineLvl w:val="0"/>
        <w:rPr>
          <w:rFonts w:ascii="仿宋_GB2312" w:hAnsi="仿宋_GB2312" w:eastAsia="仿宋_GB2312" w:cs="仿宋_GB2312"/>
          <w:sz w:val="32"/>
          <w:szCs w:val="32"/>
        </w:rPr>
      </w:pPr>
      <w:r>
        <w:rPr>
          <w:rFonts w:ascii="仿宋_GB2312" w:hAnsi="仿宋_GB2312" w:eastAsia="仿宋_GB2312" w:cs="仿宋_GB2312"/>
          <w:sz w:val="32"/>
          <w:szCs w:val="32"/>
        </w:rPr>
        <w:t>1.投标人不满足本项目应具备的资格、经验；</w:t>
      </w:r>
    </w:p>
    <w:p w14:paraId="40A72A39">
      <w:pPr>
        <w:spacing w:line="500" w:lineRule="exact"/>
        <w:ind w:firstLine="640" w:firstLineChars="200"/>
        <w:outlineLvl w:val="0"/>
        <w:rPr>
          <w:rFonts w:ascii="仿宋_GB2312" w:hAnsi="仿宋_GB2312" w:eastAsia="仿宋_GB2312" w:cs="仿宋_GB2312"/>
          <w:sz w:val="32"/>
          <w:szCs w:val="32"/>
        </w:rPr>
      </w:pPr>
      <w:r>
        <w:rPr>
          <w:rFonts w:ascii="仿宋_GB2312" w:hAnsi="仿宋_GB2312" w:eastAsia="仿宋_GB2312" w:cs="仿宋_GB2312"/>
          <w:sz w:val="32"/>
          <w:szCs w:val="32"/>
        </w:rPr>
        <w:t>2.报价文件无投标人盖章，无法定代表人或授权代表签字或盖章的；</w:t>
      </w:r>
    </w:p>
    <w:p w14:paraId="5356B349">
      <w:pPr>
        <w:spacing w:line="500" w:lineRule="exact"/>
        <w:ind w:firstLine="640" w:firstLineChars="200"/>
        <w:outlineLvl w:val="0"/>
        <w:rPr>
          <w:rFonts w:ascii="仿宋_GB2312" w:hAnsi="仿宋_GB2312" w:eastAsia="仿宋_GB2312" w:cs="仿宋_GB2312"/>
          <w:sz w:val="32"/>
          <w:szCs w:val="32"/>
        </w:rPr>
      </w:pPr>
      <w:r>
        <w:rPr>
          <w:rFonts w:ascii="仿宋_GB2312" w:hAnsi="仿宋_GB2312" w:eastAsia="仿宋_GB2312" w:cs="仿宋_GB2312"/>
          <w:sz w:val="32"/>
          <w:szCs w:val="32"/>
        </w:rPr>
        <w:t>3.投标文件未按规定的格式填写，内容不全或关键字迹模糊、无法辨认的；</w:t>
      </w:r>
    </w:p>
    <w:p w14:paraId="537ECFBC">
      <w:pPr>
        <w:spacing w:line="500" w:lineRule="exact"/>
        <w:ind w:firstLine="640" w:firstLineChars="200"/>
        <w:outlineLvl w:val="0"/>
        <w:rPr>
          <w:rFonts w:ascii="仿宋_GB2312" w:hAnsi="仿宋_GB2312" w:eastAsia="仿宋_GB2312" w:cs="仿宋_GB2312"/>
          <w:sz w:val="32"/>
          <w:szCs w:val="32"/>
        </w:rPr>
      </w:pPr>
      <w:r>
        <w:rPr>
          <w:rFonts w:ascii="仿宋_GB2312" w:hAnsi="仿宋_GB2312" w:eastAsia="仿宋_GB2312" w:cs="仿宋_GB2312"/>
          <w:sz w:val="32"/>
          <w:szCs w:val="32"/>
        </w:rPr>
        <w:t>4.投标人递交两份或多份内容不同的投标文件，或在一份投标文件中对同一招标项目报有两个或多个报价，且未声明哪一个有效的，按招标文件规定提交备选投标方案的除外；</w:t>
      </w:r>
    </w:p>
    <w:p w14:paraId="593BD0E9">
      <w:pPr>
        <w:spacing w:line="500" w:lineRule="exact"/>
        <w:ind w:firstLine="640" w:firstLineChars="200"/>
        <w:outlineLvl w:val="0"/>
        <w:rPr>
          <w:rFonts w:ascii="仿宋" w:hAnsi="仿宋" w:eastAsia="仿宋" w:cs="仿宋_GB2312"/>
          <w:sz w:val="32"/>
          <w:szCs w:val="32"/>
        </w:rPr>
      </w:pPr>
      <w:r>
        <w:rPr>
          <w:rFonts w:ascii="仿宋_GB2312" w:hAnsi="仿宋_GB2312" w:eastAsia="仿宋_GB2312" w:cs="仿宋_GB2312"/>
          <w:sz w:val="32"/>
          <w:szCs w:val="32"/>
        </w:rPr>
        <w:t>5.投标人以低于成本的报价竞标恶意骗取中标或以他人的名义投标、串通投标、以行贿手段谋取中标或者以其他弄虚作假方式投标的。</w:t>
      </w:r>
    </w:p>
    <w:p w14:paraId="4AE7A73B">
      <w:pPr>
        <w:spacing w:before="156" w:beforeLines="50" w:after="156" w:afterLines="50" w:line="500" w:lineRule="exact"/>
        <w:ind w:firstLine="640" w:firstLineChars="200"/>
        <w:outlineLvl w:val="0"/>
        <w:rPr>
          <w:rFonts w:ascii="黑体" w:hAnsi="黑体" w:eastAsia="黑体"/>
          <w:sz w:val="32"/>
          <w:szCs w:val="32"/>
        </w:rPr>
      </w:pPr>
      <w:r>
        <w:rPr>
          <w:rFonts w:hint="eastAsia" w:ascii="黑体" w:hAnsi="黑体" w:eastAsia="黑体"/>
          <w:sz w:val="32"/>
          <w:szCs w:val="32"/>
          <w:lang w:eastAsia="zh-CN"/>
        </w:rPr>
        <w:t>十</w:t>
      </w:r>
      <w:r>
        <w:rPr>
          <w:rFonts w:hint="eastAsia" w:ascii="黑体" w:hAnsi="黑体" w:eastAsia="黑体"/>
          <w:sz w:val="32"/>
          <w:szCs w:val="32"/>
        </w:rPr>
        <w:t>、流标情形</w:t>
      </w:r>
    </w:p>
    <w:p w14:paraId="4E2DE460">
      <w:pPr>
        <w:spacing w:line="5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符合下列情形之一，本次招标流标</w:t>
      </w:r>
      <w:r>
        <w:rPr>
          <w:rFonts w:hint="eastAsia" w:ascii="仿宋_GB2312" w:hAnsi="仿宋_GB2312" w:eastAsia="仿宋_GB2312" w:cs="仿宋_GB2312"/>
          <w:sz w:val="32"/>
          <w:szCs w:val="32"/>
          <w:lang w:eastAsia="zh-CN"/>
        </w:rPr>
        <w:t>，需重新招标</w:t>
      </w:r>
      <w:r>
        <w:rPr>
          <w:rFonts w:hint="eastAsia" w:ascii="仿宋_GB2312" w:hAnsi="仿宋_GB2312" w:eastAsia="仿宋_GB2312" w:cs="仿宋_GB2312"/>
          <w:sz w:val="32"/>
          <w:szCs w:val="32"/>
        </w:rPr>
        <w:t>。</w:t>
      </w:r>
    </w:p>
    <w:p w14:paraId="7C3F5E8B">
      <w:pPr>
        <w:spacing w:line="500" w:lineRule="exact"/>
        <w:ind w:firstLine="640" w:firstLineChars="200"/>
        <w:outlineLvl w:val="0"/>
        <w:rPr>
          <w:rFonts w:ascii="仿宋_GB2312" w:hAnsi="仿宋_GB2312" w:eastAsia="仿宋_GB2312" w:cs="仿宋_GB2312"/>
          <w:sz w:val="32"/>
          <w:szCs w:val="32"/>
        </w:rPr>
      </w:pPr>
      <w:r>
        <w:rPr>
          <w:rFonts w:ascii="仿宋_GB2312" w:hAnsi="仿宋_GB2312" w:eastAsia="仿宋_GB2312" w:cs="仿宋_GB2312"/>
          <w:sz w:val="32"/>
          <w:szCs w:val="32"/>
        </w:rPr>
        <w:t>1.采购的公正性受到影响；</w:t>
      </w:r>
    </w:p>
    <w:p w14:paraId="7500D34F">
      <w:pPr>
        <w:spacing w:line="500" w:lineRule="exact"/>
        <w:ind w:firstLine="640" w:firstLineChars="200"/>
        <w:outlineLvl w:val="0"/>
        <w:rPr>
          <w:rFonts w:ascii="仿宋_GB2312" w:hAnsi="仿宋_GB2312" w:eastAsia="仿宋_GB2312" w:cs="仿宋_GB2312"/>
          <w:sz w:val="32"/>
          <w:szCs w:val="32"/>
        </w:rPr>
      </w:pPr>
      <w:r>
        <w:rPr>
          <w:rFonts w:ascii="仿宋_GB2312" w:hAnsi="仿宋_GB2312" w:eastAsia="仿宋_GB2312" w:cs="仿宋_GB2312"/>
          <w:sz w:val="32"/>
          <w:szCs w:val="32"/>
        </w:rPr>
        <w:t>2.投标报价均超过了采购预算；</w:t>
      </w:r>
    </w:p>
    <w:p w14:paraId="7A69B6E7">
      <w:pPr>
        <w:spacing w:line="500" w:lineRule="exact"/>
        <w:ind w:firstLine="640" w:firstLineChars="200"/>
        <w:outlineLvl w:val="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3.采购任务取消</w:t>
      </w:r>
      <w:r>
        <w:rPr>
          <w:rFonts w:hint="eastAsia" w:ascii="仿宋_GB2312" w:hAnsi="仿宋_GB2312" w:eastAsia="仿宋_GB2312" w:cs="仿宋_GB2312"/>
          <w:sz w:val="32"/>
          <w:szCs w:val="32"/>
          <w:lang w:eastAsia="zh-CN"/>
        </w:rPr>
        <w:t>。</w:t>
      </w:r>
    </w:p>
    <w:p w14:paraId="5BFDEA22">
      <w:pPr>
        <w:spacing w:before="156" w:beforeLines="50" w:after="156" w:afterLines="50" w:line="500" w:lineRule="exact"/>
        <w:ind w:firstLine="640" w:firstLineChars="200"/>
        <w:outlineLvl w:val="0"/>
        <w:rPr>
          <w:rFonts w:hint="eastAsia" w:ascii="黑体" w:hAnsi="黑体" w:eastAsia="黑体"/>
          <w:sz w:val="32"/>
          <w:szCs w:val="32"/>
          <w:lang w:eastAsia="zh-CN"/>
        </w:rPr>
      </w:pPr>
      <w:bookmarkStart w:id="0" w:name="_Toc73518160"/>
      <w:bookmarkStart w:id="1" w:name="_Toc100052410"/>
      <w:bookmarkStart w:id="2" w:name="_Toc73521589"/>
      <w:bookmarkStart w:id="3" w:name="_Toc73521677"/>
      <w:bookmarkStart w:id="4" w:name="_Toc73517682"/>
      <w:r>
        <w:rPr>
          <w:rFonts w:hint="eastAsia" w:ascii="黑体" w:hAnsi="黑体" w:eastAsia="黑体"/>
          <w:sz w:val="32"/>
          <w:szCs w:val="32"/>
          <w:lang w:eastAsia="zh-CN"/>
        </w:rPr>
        <w:t>十一、合同协议书的签订</w:t>
      </w:r>
      <w:bookmarkEnd w:id="0"/>
      <w:bookmarkEnd w:id="1"/>
      <w:bookmarkEnd w:id="2"/>
      <w:bookmarkEnd w:id="3"/>
      <w:bookmarkEnd w:id="4"/>
    </w:p>
    <w:p w14:paraId="6CFA6D90">
      <w:pPr>
        <w:spacing w:line="5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中标人将于中标通知书发出之日起十个工作日内，按照招标文件和投标文件内容与采购单位签订书面合同，合同书应采用本招标文件第</w:t>
      </w:r>
      <w:r>
        <w:rPr>
          <w:rFonts w:hint="eastAsia" w:ascii="仿宋_GB2312" w:hAnsi="仿宋_GB2312" w:eastAsia="仿宋_GB2312" w:cs="仿宋_GB2312"/>
          <w:sz w:val="32"/>
          <w:szCs w:val="32"/>
          <w:lang w:eastAsia="zh-CN"/>
        </w:rPr>
        <w:t>二</w:t>
      </w:r>
      <w:r>
        <w:rPr>
          <w:rFonts w:ascii="仿宋_GB2312" w:hAnsi="仿宋_GB2312" w:eastAsia="仿宋_GB2312" w:cs="仿宋_GB2312"/>
          <w:sz w:val="32"/>
          <w:szCs w:val="32"/>
        </w:rPr>
        <w:t>部分规定的合同样本；</w:t>
      </w:r>
    </w:p>
    <w:p w14:paraId="6D0C7423">
      <w:pPr>
        <w:spacing w:line="5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中标人应当按照合同约定履行义务，完成中标项目，未</w:t>
      </w:r>
      <w:r>
        <w:rPr>
          <w:rFonts w:hint="eastAsia" w:ascii="仿宋_GB2312" w:hAnsi="仿宋_GB2312" w:eastAsia="仿宋_GB2312" w:cs="仿宋_GB2312"/>
          <w:sz w:val="32"/>
          <w:szCs w:val="32"/>
          <w:lang w:eastAsia="zh-CN"/>
        </w:rPr>
        <w:t>经</w:t>
      </w:r>
      <w:r>
        <w:rPr>
          <w:rFonts w:ascii="仿宋_GB2312" w:hAnsi="仿宋_GB2312" w:eastAsia="仿宋_GB2312" w:cs="仿宋_GB2312"/>
          <w:sz w:val="32"/>
          <w:szCs w:val="32"/>
        </w:rPr>
        <w:t>招标人及监管部门许可不得将中标项目转让（转包）给他人；</w:t>
      </w:r>
    </w:p>
    <w:p w14:paraId="5F02AD18">
      <w:pPr>
        <w:spacing w:line="5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招标人</w:t>
      </w:r>
      <w:r>
        <w:rPr>
          <w:rFonts w:ascii="仿宋_GB2312" w:hAnsi="仿宋_GB2312" w:eastAsia="仿宋_GB2312" w:cs="仿宋_GB2312"/>
          <w:sz w:val="32"/>
          <w:szCs w:val="32"/>
        </w:rPr>
        <w:t>与中标人签订的服务合同必须遵守本招标文件的合同条件，并且不得更改合同条件。</w:t>
      </w:r>
    </w:p>
    <w:p w14:paraId="09532A1D">
      <w:pPr>
        <w:spacing w:before="156" w:beforeLines="50" w:after="156" w:afterLines="50" w:line="500" w:lineRule="exact"/>
        <w:ind w:firstLine="640" w:firstLineChars="200"/>
        <w:outlineLvl w:val="0"/>
        <w:rPr>
          <w:rFonts w:hint="eastAsia" w:ascii="黑体" w:hAnsi="黑体" w:eastAsia="黑体"/>
          <w:sz w:val="32"/>
          <w:szCs w:val="32"/>
          <w:lang w:eastAsia="zh-CN"/>
        </w:rPr>
      </w:pPr>
      <w:r>
        <w:rPr>
          <w:rFonts w:hint="eastAsia" w:ascii="黑体" w:hAnsi="黑体" w:eastAsia="黑体"/>
          <w:sz w:val="32"/>
          <w:szCs w:val="32"/>
          <w:lang w:eastAsia="zh-CN"/>
        </w:rPr>
        <w:t>十二、其他说明</w:t>
      </w:r>
    </w:p>
    <w:p w14:paraId="11A6F456">
      <w:pPr>
        <w:spacing w:line="500" w:lineRule="exact"/>
        <w:ind w:firstLine="640" w:firstLineChars="200"/>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回标投标人不足3家的，将重新发布一次招标信息，时间不少于3个自然日。若两次发布信息后，回标投标人仍不足3家时，则在回标投标人中进行定标。如果没有投标人回标，则按照招标信息中的不高于价格直接委托并公示。</w:t>
      </w:r>
    </w:p>
    <w:p w14:paraId="5D0F0841">
      <w:pPr>
        <w:spacing w:line="50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本次招标不一定接受最低报价的投标。</w:t>
      </w:r>
    </w:p>
    <w:p w14:paraId="5D897C7B">
      <w:pPr>
        <w:spacing w:line="500" w:lineRule="exact"/>
        <w:ind w:firstLine="640" w:firstLineChars="200"/>
        <w:outlineLvl w:val="0"/>
        <w:rPr>
          <w:rFonts w:hint="eastAsia" w:ascii="仿宋_GB2312" w:hAnsi="仿宋_GB2312" w:eastAsia="仿宋_GB2312" w:cs="仿宋_GB2312"/>
          <w:sz w:val="32"/>
          <w:szCs w:val="32"/>
          <w:lang w:eastAsia="zh-CN"/>
        </w:rPr>
      </w:pPr>
    </w:p>
    <w:p w14:paraId="785EBE2C">
      <w:pPr>
        <w:jc w:val="left"/>
        <w:rPr>
          <w:rFonts w:hint="eastAsia" w:ascii="宋体" w:hAnsi="宋体"/>
          <w:sz w:val="44"/>
          <w:szCs w:val="44"/>
        </w:rPr>
      </w:pPr>
    </w:p>
    <w:p w14:paraId="477AE56F">
      <w:pPr>
        <w:rPr>
          <w:rFonts w:hint="eastAsia" w:ascii="宋体" w:hAnsi="宋体"/>
          <w:sz w:val="44"/>
          <w:szCs w:val="44"/>
        </w:rPr>
      </w:pPr>
      <w:r>
        <w:rPr>
          <w:rFonts w:hint="eastAsia" w:ascii="宋体" w:hAnsi="宋体"/>
          <w:sz w:val="44"/>
          <w:szCs w:val="44"/>
        </w:rPr>
        <w:br w:type="page"/>
      </w:r>
    </w:p>
    <w:p w14:paraId="5FB28884">
      <w:pPr>
        <w:jc w:val="center"/>
        <w:rPr>
          <w:rFonts w:ascii="宋体" w:hAnsi="宋体" w:cs="宋体"/>
          <w:b/>
          <w:sz w:val="30"/>
          <w:szCs w:val="30"/>
        </w:rPr>
      </w:pPr>
      <w:r>
        <w:rPr>
          <w:rFonts w:hint="eastAsia" w:ascii="黑体" w:hAnsi="黑体" w:eastAsia="黑体" w:cs="黑体"/>
          <w:b w:val="0"/>
          <w:bCs/>
          <w:sz w:val="44"/>
          <w:szCs w:val="44"/>
        </w:rPr>
        <w:t>第</w:t>
      </w:r>
      <w:r>
        <w:rPr>
          <w:rFonts w:hint="eastAsia" w:ascii="黑体" w:hAnsi="黑体" w:eastAsia="黑体" w:cs="黑体"/>
          <w:b w:val="0"/>
          <w:bCs/>
          <w:sz w:val="44"/>
          <w:szCs w:val="44"/>
          <w:lang w:eastAsia="zh-CN"/>
        </w:rPr>
        <w:t>二</w:t>
      </w:r>
      <w:r>
        <w:rPr>
          <w:rFonts w:hint="eastAsia" w:ascii="黑体" w:hAnsi="黑体" w:eastAsia="黑体" w:cs="黑体"/>
          <w:b w:val="0"/>
          <w:bCs/>
          <w:sz w:val="44"/>
          <w:szCs w:val="44"/>
        </w:rPr>
        <w:t>部分</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rPr>
        <w:t>格式及附件</w:t>
      </w:r>
    </w:p>
    <w:p w14:paraId="58B0B455">
      <w:pPr>
        <w:spacing w:line="360" w:lineRule="auto"/>
        <w:rPr>
          <w:rFonts w:hint="eastAsia" w:ascii="仿宋_GB2312" w:hAnsi="仿宋_GB2312" w:eastAsia="仿宋_GB2312" w:cs="仿宋_GB2312"/>
          <w:sz w:val="32"/>
          <w:szCs w:val="32"/>
        </w:rPr>
      </w:pPr>
    </w:p>
    <w:p w14:paraId="4016F492">
      <w:pPr>
        <w:pStyle w:val="13"/>
        <w:jc w:val="both"/>
        <w:outlineLvl w:val="1"/>
        <w:rPr>
          <w:rFonts w:hint="eastAsia" w:ascii="Times New Roman" w:hAnsi="Times New Roman" w:eastAsia="宋体" w:cs="Times New Roman"/>
          <w:b/>
          <w:bCs/>
          <w:kern w:val="44"/>
          <w:sz w:val="32"/>
          <w:szCs w:val="52"/>
          <w:lang w:val="en-US" w:eastAsia="zh-CN" w:bidi="ar-SA"/>
        </w:rPr>
      </w:pPr>
      <w:r>
        <w:rPr>
          <w:rFonts w:hint="eastAsia" w:ascii="Times New Roman" w:hAnsi="Times New Roman" w:eastAsia="宋体" w:cs="Times New Roman"/>
          <w:b/>
          <w:bCs/>
          <w:kern w:val="44"/>
          <w:sz w:val="32"/>
          <w:szCs w:val="52"/>
          <w:lang w:val="en-US" w:eastAsia="zh-CN" w:bidi="ar-SA"/>
        </w:rPr>
        <w:t>投标文件格式</w:t>
      </w:r>
    </w:p>
    <w:p w14:paraId="1BCD1956">
      <w:pPr>
        <w:pStyle w:val="6"/>
        <w:spacing w:before="120" w:after="120" w:line="600" w:lineRule="exact"/>
        <w:ind w:left="0" w:leftChars="0" w:firstLine="0" w:firstLineChars="0"/>
        <w:jc w:val="both"/>
        <w:rPr>
          <w:rFonts w:ascii="宋体"/>
          <w:b/>
          <w:bCs/>
        </w:rPr>
      </w:pPr>
      <w:r>
        <w:rPr>
          <w:rFonts w:hint="eastAsia" w:ascii="宋体" w:hAnsi="宋体"/>
          <w:b/>
          <w:bCs/>
          <w:lang w:val="en-US" w:eastAsia="zh-CN"/>
        </w:rPr>
        <w:t>一</w:t>
      </w:r>
      <w:r>
        <w:rPr>
          <w:rFonts w:hint="eastAsia" w:ascii="宋体" w:hAnsi="宋体"/>
          <w:b/>
          <w:bCs/>
        </w:rPr>
        <w:t>、招标文件响应声明书</w:t>
      </w:r>
      <w:r>
        <w:rPr>
          <w:rFonts w:hint="eastAsia" w:ascii="宋体" w:hAnsi="宋体"/>
          <w:b/>
          <w:bCs/>
          <w:lang w:eastAsia="zh-CN"/>
        </w:rPr>
        <w:t>模板</w:t>
      </w:r>
      <w:r>
        <w:rPr>
          <w:rFonts w:hint="eastAsia" w:ascii="宋体" w:hAnsi="宋体"/>
          <w:b/>
          <w:bCs/>
        </w:rPr>
        <w:t>版</w:t>
      </w:r>
    </w:p>
    <w:p w14:paraId="582F6A01"/>
    <w:p w14:paraId="5CBBCDBA">
      <w:pPr>
        <w:autoSpaceDE w:val="0"/>
        <w:autoSpaceDN w:val="0"/>
        <w:adjustRightInd w:val="0"/>
        <w:snapToGrid w:val="0"/>
        <w:spacing w:line="30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致</w:t>
      </w:r>
      <w:r>
        <w:rPr>
          <w:rFonts w:hint="eastAsia" w:ascii="仿宋_GB2312" w:hAnsi="仿宋_GB2312" w:eastAsia="仿宋_GB2312" w:cs="仿宋_GB2312"/>
          <w:sz w:val="24"/>
          <w:szCs w:val="24"/>
          <w:u w:val="single"/>
        </w:rPr>
        <w:t>（招标人）</w:t>
      </w:r>
      <w:r>
        <w:rPr>
          <w:rFonts w:hint="eastAsia" w:ascii="仿宋_GB2312" w:hAnsi="仿宋_GB2312" w:eastAsia="仿宋_GB2312" w:cs="仿宋_GB2312"/>
          <w:sz w:val="24"/>
          <w:szCs w:val="24"/>
        </w:rPr>
        <w:t>：</w:t>
      </w:r>
    </w:p>
    <w:p w14:paraId="4164FABA">
      <w:pPr>
        <w:autoSpaceDE w:val="0"/>
        <w:autoSpaceDN w:val="0"/>
        <w:adjustRightInd w:val="0"/>
        <w:snapToGrid w:val="0"/>
        <w:spacing w:line="30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（投标单位全称）</w:t>
      </w:r>
      <w:r>
        <w:rPr>
          <w:rFonts w:hint="eastAsia" w:ascii="仿宋_GB2312" w:hAnsi="仿宋_GB2312" w:eastAsia="仿宋_GB2312" w:cs="仿宋_GB2312"/>
          <w:sz w:val="24"/>
          <w:szCs w:val="24"/>
        </w:rPr>
        <w:t>授权</w:t>
      </w:r>
      <w:r>
        <w:rPr>
          <w:rFonts w:hint="eastAsia" w:ascii="仿宋_GB2312" w:hAnsi="仿宋_GB2312" w:eastAsia="仿宋_GB2312" w:cs="仿宋_GB2312"/>
          <w:sz w:val="24"/>
          <w:szCs w:val="24"/>
          <w:u w:val="single"/>
        </w:rPr>
        <w:t>（全名、职务）</w:t>
      </w:r>
      <w:r>
        <w:rPr>
          <w:rFonts w:hint="eastAsia" w:ascii="仿宋_GB2312" w:hAnsi="仿宋_GB2312" w:eastAsia="仿宋_GB2312" w:cs="仿宋_GB2312"/>
          <w:sz w:val="24"/>
          <w:szCs w:val="24"/>
        </w:rPr>
        <w:t>为全权代表，参加贵方组织的</w:t>
      </w:r>
      <w:r>
        <w:rPr>
          <w:rFonts w:hint="eastAsia" w:ascii="仿宋_GB2312" w:hAnsi="仿宋_GB2312" w:eastAsia="仿宋_GB2312" w:cs="仿宋_GB2312"/>
          <w:sz w:val="24"/>
          <w:szCs w:val="24"/>
          <w:u w:val="single"/>
        </w:rPr>
        <w:t>（项目）</w:t>
      </w:r>
      <w:r>
        <w:rPr>
          <w:rFonts w:hint="eastAsia" w:ascii="仿宋_GB2312" w:hAnsi="仿宋_GB2312" w:eastAsia="仿宋_GB2312" w:cs="仿宋_GB2312"/>
          <w:sz w:val="24"/>
          <w:szCs w:val="24"/>
        </w:rPr>
        <w:t>招标活动并投标，根据贵方</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的招标文件，我方针对该项目的投标报价为</w:t>
      </w:r>
      <w:r>
        <w:rPr>
          <w:rFonts w:hint="eastAsia" w:ascii="仿宋_GB2312" w:hAnsi="仿宋_GB2312" w:eastAsia="仿宋_GB2312" w:cs="仿宋_GB2312"/>
          <w:sz w:val="24"/>
          <w:szCs w:val="24"/>
          <w:lang w:val="en-US" w:eastAsia="zh-CN"/>
        </w:rPr>
        <w:t>人民币</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元（大写</w:t>
      </w:r>
      <w:r>
        <w:rPr>
          <w:rFonts w:hint="eastAsia" w:ascii="仿宋_GB2312" w:hAnsi="仿宋_GB2312" w:eastAsia="仿宋_GB2312" w:cs="仿宋_GB2312"/>
          <w:sz w:val="24"/>
          <w:szCs w:val="24"/>
          <w:u w:val="none"/>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rPr>
        <w:t>元</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rPr>
        <w:t>服务周期为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日历天。</w:t>
      </w:r>
    </w:p>
    <w:p w14:paraId="149DE3C5">
      <w:pPr>
        <w:autoSpaceDE w:val="0"/>
        <w:autoSpaceDN w:val="0"/>
        <w:adjustRightInd w:val="0"/>
        <w:snapToGrid w:val="0"/>
        <w:spacing w:line="30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为此：</w:t>
      </w:r>
    </w:p>
    <w:p w14:paraId="070EBDFA">
      <w:pPr>
        <w:numPr>
          <w:ilvl w:val="0"/>
          <w:numId w:val="3"/>
        </w:numPr>
        <w:autoSpaceDE w:val="0"/>
        <w:autoSpaceDN w:val="0"/>
        <w:adjustRightInd w:val="0"/>
        <w:snapToGrid w:val="0"/>
        <w:spacing w:line="30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我方已详细阅读了全部招标文件，包括修改文件（如有）及全部参考资料和附件。我们完全理解并同意放弃对这方面有不明及误解的权利。愿意接受招标文件中的各项要求。</w:t>
      </w:r>
    </w:p>
    <w:p w14:paraId="06B55D99">
      <w:pPr>
        <w:numPr>
          <w:ilvl w:val="0"/>
          <w:numId w:val="3"/>
        </w:numPr>
        <w:autoSpaceDE w:val="0"/>
        <w:autoSpaceDN w:val="0"/>
        <w:adjustRightInd w:val="0"/>
        <w:snapToGrid w:val="0"/>
        <w:spacing w:line="30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我方提供招标文件要求的全部资料，并保证真实性、合法性。</w:t>
      </w:r>
    </w:p>
    <w:p w14:paraId="03A1DD4F">
      <w:pPr>
        <w:numPr>
          <w:ilvl w:val="0"/>
          <w:numId w:val="3"/>
        </w:numPr>
        <w:autoSpaceDE w:val="0"/>
        <w:autoSpaceDN w:val="0"/>
        <w:adjustRightInd w:val="0"/>
        <w:snapToGrid w:val="0"/>
        <w:spacing w:line="30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若中标，我方将按照招标文件规定，履行合同责任和义务。</w:t>
      </w:r>
    </w:p>
    <w:p w14:paraId="384B726C">
      <w:pPr>
        <w:numPr>
          <w:ilvl w:val="0"/>
          <w:numId w:val="3"/>
        </w:numPr>
        <w:autoSpaceDE w:val="0"/>
        <w:autoSpaceDN w:val="0"/>
        <w:adjustRightInd w:val="0"/>
        <w:snapToGrid w:val="0"/>
        <w:spacing w:line="30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询价响应书自开标日起有效期为30天。</w:t>
      </w:r>
    </w:p>
    <w:p w14:paraId="3393E801">
      <w:pPr>
        <w:numPr>
          <w:ilvl w:val="0"/>
          <w:numId w:val="3"/>
        </w:numPr>
        <w:autoSpaceDE w:val="0"/>
        <w:autoSpaceDN w:val="0"/>
        <w:adjustRightInd w:val="0"/>
        <w:snapToGrid w:val="0"/>
        <w:spacing w:line="30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我方与本招标文件响应有关的一切正式往来通讯请寄：</w:t>
      </w:r>
    </w:p>
    <w:p w14:paraId="1472EBF4">
      <w:pPr>
        <w:autoSpaceDE w:val="0"/>
        <w:autoSpaceDN w:val="0"/>
        <w:adjustRightInd w:val="0"/>
        <w:snapToGrid w:val="0"/>
        <w:spacing w:line="300" w:lineRule="auto"/>
        <w:ind w:firstLine="960" w:firstLineChars="4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地址：</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邮编：</w:t>
      </w:r>
    </w:p>
    <w:p w14:paraId="32F725EA">
      <w:pPr>
        <w:autoSpaceDE w:val="0"/>
        <w:autoSpaceDN w:val="0"/>
        <w:adjustRightInd w:val="0"/>
        <w:snapToGrid w:val="0"/>
        <w:spacing w:line="300" w:lineRule="auto"/>
        <w:ind w:firstLine="960" w:firstLineChars="4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传真：</w:t>
      </w:r>
    </w:p>
    <w:p w14:paraId="152C1C01">
      <w:pPr>
        <w:numPr>
          <w:ilvl w:val="0"/>
          <w:numId w:val="3"/>
        </w:numPr>
        <w:autoSpaceDE w:val="0"/>
        <w:autoSpaceDN w:val="0"/>
        <w:adjustRightInd w:val="0"/>
        <w:snapToGrid w:val="0"/>
        <w:spacing w:line="300" w:lineRule="auto"/>
        <w:ind w:firstLine="5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我方同意招标人不一定接受最低报价的投标。</w:t>
      </w:r>
    </w:p>
    <w:p w14:paraId="13592FD5">
      <w:pPr>
        <w:autoSpaceDE w:val="0"/>
        <w:autoSpaceDN w:val="0"/>
        <w:adjustRightInd w:val="0"/>
        <w:snapToGrid w:val="0"/>
        <w:spacing w:line="300" w:lineRule="auto"/>
        <w:rPr>
          <w:rFonts w:hint="eastAsia" w:ascii="仿宋_GB2312" w:hAnsi="仿宋_GB2312" w:eastAsia="仿宋_GB2312" w:cs="仿宋_GB2312"/>
          <w:sz w:val="24"/>
          <w:szCs w:val="24"/>
        </w:rPr>
      </w:pPr>
    </w:p>
    <w:p w14:paraId="41B6EF93">
      <w:pPr>
        <w:autoSpaceDE w:val="0"/>
        <w:autoSpaceDN w:val="0"/>
        <w:adjustRightInd w:val="0"/>
        <w:snapToGrid w:val="0"/>
        <w:spacing w:line="300" w:lineRule="auto"/>
        <w:rPr>
          <w:rFonts w:hint="eastAsia" w:ascii="仿宋_GB2312" w:hAnsi="仿宋_GB2312" w:eastAsia="仿宋_GB2312" w:cs="仿宋_GB2312"/>
          <w:sz w:val="24"/>
          <w:szCs w:val="24"/>
        </w:rPr>
      </w:pPr>
    </w:p>
    <w:p w14:paraId="02ED16EE">
      <w:pPr>
        <w:autoSpaceDE w:val="0"/>
        <w:autoSpaceDN w:val="0"/>
        <w:adjustRightInd w:val="0"/>
        <w:snapToGrid w:val="0"/>
        <w:spacing w:line="300" w:lineRule="auto"/>
        <w:ind w:firstLine="480" w:firstLineChars="2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投标单位名称（公章）：</w:t>
      </w:r>
    </w:p>
    <w:p w14:paraId="24791800">
      <w:pPr>
        <w:autoSpaceDE w:val="0"/>
        <w:autoSpaceDN w:val="0"/>
        <w:adjustRightInd w:val="0"/>
        <w:snapToGrid w:val="0"/>
        <w:spacing w:line="300" w:lineRule="auto"/>
        <w:ind w:firstLine="480" w:firstLineChars="2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授权代表签字：</w:t>
      </w:r>
    </w:p>
    <w:p w14:paraId="446B56A1">
      <w:pPr>
        <w:autoSpaceDE w:val="0"/>
        <w:autoSpaceDN w:val="0"/>
        <w:adjustRightInd w:val="0"/>
        <w:snapToGrid w:val="0"/>
        <w:spacing w:line="30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投标响应日期：</w:t>
      </w:r>
      <w:r>
        <w:rPr>
          <w:rFonts w:hint="eastAsia" w:ascii="仿宋_GB2312" w:hAnsi="仿宋_GB2312" w:eastAsia="仿宋_GB2312" w:cs="仿宋_GB2312"/>
          <w:sz w:val="24"/>
          <w:szCs w:val="24"/>
          <w:lang w:val="en-US" w:eastAsia="zh-CN"/>
        </w:rPr>
        <w:t xml:space="preserve">  </w:t>
      </w:r>
    </w:p>
    <w:p w14:paraId="2679D376">
      <w:pPr>
        <w:pStyle w:val="6"/>
        <w:spacing w:before="120" w:after="120" w:line="600" w:lineRule="exact"/>
        <w:ind w:left="420" w:leftChars="200"/>
        <w:jc w:val="center"/>
        <w:rPr>
          <w:rFonts w:ascii="宋体"/>
          <w:sz w:val="22"/>
          <w:szCs w:val="18"/>
        </w:rPr>
      </w:pPr>
    </w:p>
    <w:p w14:paraId="43DC1070"/>
    <w:p w14:paraId="5C0069EC"/>
    <w:p w14:paraId="69AD2D9C"/>
    <w:p w14:paraId="2ED17898">
      <w:pPr>
        <w:pStyle w:val="2"/>
      </w:pPr>
    </w:p>
    <w:p w14:paraId="4D979A3A">
      <w:pPr>
        <w:pStyle w:val="2"/>
      </w:pPr>
    </w:p>
    <w:p w14:paraId="4B111F23">
      <w:pPr>
        <w:pStyle w:val="2"/>
      </w:pPr>
    </w:p>
    <w:p w14:paraId="47365F41">
      <w:pPr>
        <w:pStyle w:val="6"/>
        <w:spacing w:before="120" w:after="120" w:line="600" w:lineRule="exact"/>
        <w:ind w:left="420" w:leftChars="200"/>
        <w:jc w:val="left"/>
        <w:rPr>
          <w:rFonts w:ascii="宋体"/>
          <w:b/>
          <w:bCs/>
        </w:rPr>
      </w:pPr>
      <w:r>
        <w:rPr>
          <w:rFonts w:hint="eastAsia" w:ascii="宋体" w:hAnsi="宋体"/>
          <w:b/>
          <w:bCs/>
          <w:lang w:val="en-US" w:eastAsia="zh-CN"/>
        </w:rPr>
        <w:t>二</w:t>
      </w:r>
      <w:r>
        <w:rPr>
          <w:rFonts w:hint="eastAsia" w:ascii="宋体" w:hAnsi="宋体"/>
          <w:b/>
          <w:bCs/>
        </w:rPr>
        <w:t>、投标一览表</w:t>
      </w:r>
    </w:p>
    <w:p w14:paraId="0AB0E98B">
      <w:pPr>
        <w:spacing w:line="600" w:lineRule="exact"/>
        <w:ind w:left="420" w:leftChars="200"/>
        <w:rPr>
          <w:rStyle w:val="20"/>
          <w:rFonts w:hint="eastAsia" w:ascii="仿宋_GB2312" w:hAnsi="仿宋_GB2312" w:eastAsia="仿宋_GB2312" w:cs="仿宋_GB2312"/>
          <w:sz w:val="24"/>
          <w:szCs w:val="24"/>
          <w:u w:val="single"/>
        </w:rPr>
      </w:pPr>
      <w:r>
        <w:rPr>
          <w:rStyle w:val="20"/>
          <w:rFonts w:hint="eastAsia" w:ascii="仿宋_GB2312" w:hAnsi="仿宋_GB2312" w:eastAsia="仿宋_GB2312" w:cs="仿宋_GB2312"/>
          <w:sz w:val="24"/>
          <w:szCs w:val="24"/>
        </w:rPr>
        <w:t>项目名称：</w:t>
      </w:r>
    </w:p>
    <w:p w14:paraId="7538548E">
      <w:pPr>
        <w:spacing w:line="600" w:lineRule="exact"/>
        <w:ind w:left="420" w:leftChars="200"/>
        <w:rPr>
          <w:rStyle w:val="20"/>
          <w:rFonts w:hint="eastAsia" w:ascii="仿宋_GB2312" w:hAnsi="仿宋_GB2312" w:eastAsia="仿宋_GB2312" w:cs="仿宋_GB2312"/>
          <w:sz w:val="24"/>
          <w:szCs w:val="24"/>
        </w:rPr>
      </w:pPr>
      <w:r>
        <w:rPr>
          <w:rStyle w:val="20"/>
          <w:rFonts w:hint="eastAsia" w:ascii="仿宋_GB2312" w:hAnsi="仿宋_GB2312" w:eastAsia="仿宋_GB2312" w:cs="仿宋_GB2312"/>
          <w:sz w:val="24"/>
          <w:szCs w:val="24"/>
          <w:lang w:eastAsia="zh-CN"/>
        </w:rPr>
        <w:t>投标单位</w:t>
      </w:r>
      <w:r>
        <w:rPr>
          <w:rStyle w:val="20"/>
          <w:rFonts w:hint="eastAsia" w:ascii="仿宋_GB2312" w:hAnsi="仿宋_GB2312" w:eastAsia="仿宋_GB2312" w:cs="仿宋_GB2312"/>
          <w:sz w:val="24"/>
          <w:szCs w:val="24"/>
        </w:rPr>
        <w:t>名称：</w:t>
      </w:r>
    </w:p>
    <w:tbl>
      <w:tblPr>
        <w:tblStyle w:val="15"/>
        <w:tblW w:w="5000" w:type="pct"/>
        <w:jc w:val="center"/>
        <w:tblLayout w:type="fixed"/>
        <w:tblCellMar>
          <w:top w:w="0" w:type="dxa"/>
          <w:left w:w="108" w:type="dxa"/>
          <w:bottom w:w="0" w:type="dxa"/>
          <w:right w:w="108" w:type="dxa"/>
        </w:tblCellMar>
      </w:tblPr>
      <w:tblGrid>
        <w:gridCol w:w="5893"/>
        <w:gridCol w:w="1979"/>
        <w:gridCol w:w="1416"/>
      </w:tblGrid>
      <w:tr w14:paraId="7A8EEF92">
        <w:tblPrEx>
          <w:tblCellMar>
            <w:top w:w="0" w:type="dxa"/>
            <w:left w:w="108" w:type="dxa"/>
            <w:bottom w:w="0" w:type="dxa"/>
            <w:right w:w="108" w:type="dxa"/>
          </w:tblCellMar>
        </w:tblPrEx>
        <w:trPr>
          <w:cantSplit/>
          <w:trHeight w:val="490" w:hRule="atLeast"/>
          <w:jc w:val="center"/>
        </w:trPr>
        <w:tc>
          <w:tcPr>
            <w:tcW w:w="5309" w:type="dxa"/>
            <w:tcBorders>
              <w:top w:val="single" w:color="auto" w:sz="4" w:space="0"/>
              <w:left w:val="single" w:color="auto" w:sz="4" w:space="0"/>
              <w:bottom w:val="single" w:color="auto" w:sz="4" w:space="0"/>
              <w:right w:val="single" w:color="auto" w:sz="4" w:space="0"/>
            </w:tcBorders>
            <w:noWrap w:val="0"/>
            <w:vAlign w:val="center"/>
          </w:tcPr>
          <w:p w14:paraId="37762050">
            <w:pPr>
              <w:spacing w:line="400" w:lineRule="exact"/>
              <w:jc w:val="center"/>
              <w:rPr>
                <w:rStyle w:val="20"/>
                <w:rFonts w:hint="eastAsia" w:ascii="仿宋_GB2312" w:hAnsi="仿宋_GB2312" w:eastAsia="仿宋_GB2312" w:cs="仿宋_GB2312"/>
                <w:sz w:val="22"/>
                <w:szCs w:val="22"/>
              </w:rPr>
            </w:pPr>
            <w:r>
              <w:rPr>
                <w:rStyle w:val="20"/>
                <w:rFonts w:hint="eastAsia" w:ascii="仿宋_GB2312" w:hAnsi="仿宋_GB2312" w:eastAsia="仿宋_GB2312" w:cs="仿宋_GB2312"/>
                <w:sz w:val="22"/>
                <w:szCs w:val="22"/>
              </w:rPr>
              <w:t>项目名称</w:t>
            </w:r>
          </w:p>
        </w:tc>
        <w:tc>
          <w:tcPr>
            <w:tcW w:w="1783" w:type="dxa"/>
            <w:tcBorders>
              <w:top w:val="single" w:color="auto" w:sz="4" w:space="0"/>
              <w:left w:val="nil"/>
              <w:bottom w:val="single" w:color="auto" w:sz="4" w:space="0"/>
              <w:right w:val="single" w:color="auto" w:sz="4" w:space="0"/>
            </w:tcBorders>
            <w:noWrap w:val="0"/>
            <w:vAlign w:val="center"/>
          </w:tcPr>
          <w:p w14:paraId="67BF34FD">
            <w:pPr>
              <w:spacing w:line="400" w:lineRule="exact"/>
              <w:jc w:val="center"/>
              <w:rPr>
                <w:rStyle w:val="20"/>
                <w:rFonts w:hint="eastAsia" w:ascii="仿宋_GB2312" w:hAnsi="仿宋_GB2312" w:eastAsia="仿宋_GB2312" w:cs="仿宋_GB2312"/>
                <w:sz w:val="22"/>
                <w:szCs w:val="22"/>
              </w:rPr>
            </w:pPr>
            <w:r>
              <w:rPr>
                <w:rStyle w:val="20"/>
                <w:rFonts w:hint="eastAsia" w:ascii="仿宋_GB2312" w:hAnsi="仿宋_GB2312" w:eastAsia="仿宋_GB2312" w:cs="仿宋_GB2312"/>
                <w:sz w:val="22"/>
                <w:szCs w:val="22"/>
              </w:rPr>
              <w:t>投标总价</w:t>
            </w:r>
          </w:p>
        </w:tc>
        <w:tc>
          <w:tcPr>
            <w:tcW w:w="1276" w:type="dxa"/>
            <w:tcBorders>
              <w:top w:val="single" w:color="auto" w:sz="4" w:space="0"/>
              <w:left w:val="nil"/>
              <w:bottom w:val="single" w:color="auto" w:sz="4" w:space="0"/>
              <w:right w:val="single" w:color="auto" w:sz="4" w:space="0"/>
            </w:tcBorders>
            <w:noWrap w:val="0"/>
            <w:vAlign w:val="center"/>
          </w:tcPr>
          <w:p w14:paraId="75CB353A">
            <w:pPr>
              <w:spacing w:line="400" w:lineRule="exact"/>
              <w:jc w:val="center"/>
              <w:rPr>
                <w:rStyle w:val="20"/>
                <w:rFonts w:hint="eastAsia" w:ascii="仿宋_GB2312" w:hAnsi="仿宋_GB2312" w:eastAsia="仿宋_GB2312" w:cs="仿宋_GB2312"/>
                <w:sz w:val="22"/>
                <w:szCs w:val="22"/>
              </w:rPr>
            </w:pPr>
            <w:r>
              <w:rPr>
                <w:rStyle w:val="20"/>
                <w:rFonts w:hint="eastAsia" w:ascii="仿宋_GB2312" w:hAnsi="仿宋_GB2312" w:eastAsia="仿宋_GB2312" w:cs="仿宋_GB2312"/>
                <w:sz w:val="22"/>
                <w:szCs w:val="22"/>
              </w:rPr>
              <w:t>备注</w:t>
            </w:r>
          </w:p>
        </w:tc>
      </w:tr>
      <w:tr w14:paraId="2BAFB541">
        <w:tblPrEx>
          <w:tblCellMar>
            <w:top w:w="0" w:type="dxa"/>
            <w:left w:w="108" w:type="dxa"/>
            <w:bottom w:w="0" w:type="dxa"/>
            <w:right w:w="108" w:type="dxa"/>
          </w:tblCellMar>
        </w:tblPrEx>
        <w:trPr>
          <w:cantSplit/>
          <w:trHeight w:val="762" w:hRule="atLeast"/>
          <w:jc w:val="center"/>
        </w:trPr>
        <w:tc>
          <w:tcPr>
            <w:tcW w:w="5309" w:type="dxa"/>
            <w:tcBorders>
              <w:top w:val="single" w:color="auto" w:sz="4" w:space="0"/>
              <w:left w:val="single" w:color="auto" w:sz="4" w:space="0"/>
              <w:bottom w:val="single" w:color="auto" w:sz="4" w:space="0"/>
              <w:right w:val="single" w:color="auto" w:sz="4" w:space="0"/>
            </w:tcBorders>
            <w:noWrap w:val="0"/>
            <w:vAlign w:val="center"/>
          </w:tcPr>
          <w:p w14:paraId="7C671911">
            <w:pPr>
              <w:spacing w:line="400" w:lineRule="exact"/>
              <w:ind w:firstLine="0" w:firstLineChars="0"/>
              <w:jc w:val="center"/>
              <w:rPr>
                <w:rStyle w:val="20"/>
              </w:rPr>
            </w:pPr>
          </w:p>
        </w:tc>
        <w:tc>
          <w:tcPr>
            <w:tcW w:w="1783" w:type="dxa"/>
            <w:tcBorders>
              <w:top w:val="single" w:color="auto" w:sz="4" w:space="0"/>
              <w:left w:val="nil"/>
              <w:bottom w:val="single" w:color="auto" w:sz="4" w:space="0"/>
              <w:right w:val="single" w:color="auto" w:sz="4" w:space="0"/>
            </w:tcBorders>
            <w:noWrap w:val="0"/>
            <w:vAlign w:val="center"/>
          </w:tcPr>
          <w:p w14:paraId="0F03A905">
            <w:pPr>
              <w:spacing w:line="400" w:lineRule="exact"/>
              <w:ind w:firstLine="0" w:firstLineChars="0"/>
              <w:jc w:val="center"/>
              <w:rPr>
                <w:rStyle w:val="20"/>
              </w:rPr>
            </w:pPr>
          </w:p>
        </w:tc>
        <w:tc>
          <w:tcPr>
            <w:tcW w:w="1276" w:type="dxa"/>
            <w:tcBorders>
              <w:top w:val="single" w:color="auto" w:sz="4" w:space="0"/>
              <w:left w:val="nil"/>
              <w:bottom w:val="single" w:color="auto" w:sz="4" w:space="0"/>
              <w:right w:val="single" w:color="auto" w:sz="4" w:space="0"/>
            </w:tcBorders>
            <w:noWrap w:val="0"/>
            <w:vAlign w:val="center"/>
          </w:tcPr>
          <w:p w14:paraId="51775180">
            <w:pPr>
              <w:spacing w:line="400" w:lineRule="exact"/>
              <w:ind w:firstLine="0" w:firstLineChars="0"/>
              <w:jc w:val="center"/>
              <w:rPr>
                <w:rStyle w:val="20"/>
              </w:rPr>
            </w:pPr>
          </w:p>
        </w:tc>
      </w:tr>
    </w:tbl>
    <w:p w14:paraId="1CA538E8">
      <w:pPr>
        <w:keepNext w:val="0"/>
        <w:keepLines w:val="0"/>
        <w:widowControl/>
        <w:adjustRightInd/>
        <w:spacing w:before="0" w:beforeLines="0" w:after="0" w:afterLines="0" w:line="600" w:lineRule="exact"/>
        <w:ind w:left="420" w:leftChars="200"/>
        <w:textAlignment w:val="auto"/>
        <w:outlineLvl w:val="9"/>
        <w:rPr>
          <w:rStyle w:val="20"/>
          <w:rFonts w:ascii="仿宋_GB2312" w:hAnsi="仿宋_GB2312" w:eastAsia="仿宋_GB2312" w:cs="仿宋_GB2312"/>
          <w:szCs w:val="24"/>
        </w:rPr>
      </w:pPr>
      <w:r>
        <w:rPr>
          <w:rStyle w:val="20"/>
          <w:rFonts w:ascii="仿宋_GB2312" w:hAnsi="仿宋_GB2312" w:eastAsia="仿宋_GB2312" w:cs="仿宋_GB2312"/>
          <w:szCs w:val="24"/>
        </w:rPr>
        <w:t>拟安排的项目负责人情况（仅限</w:t>
      </w:r>
      <w:r>
        <w:rPr>
          <w:rStyle w:val="20"/>
          <w:rFonts w:hint="eastAsia" w:ascii="仿宋_GB2312" w:hAnsi="仿宋_GB2312" w:eastAsia="仿宋_GB2312" w:cs="仿宋_GB2312"/>
          <w:szCs w:val="24"/>
        </w:rPr>
        <w:t>1人）</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745"/>
        <w:gridCol w:w="2333"/>
        <w:gridCol w:w="2387"/>
        <w:gridCol w:w="1737"/>
      </w:tblGrid>
      <w:tr w14:paraId="698DA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76" w:type="dxa"/>
            <w:noWrap w:val="0"/>
            <w:vAlign w:val="center"/>
          </w:tcPr>
          <w:p w14:paraId="0844B942">
            <w:pPr>
              <w:widowControl w:val="0"/>
              <w:spacing w:line="400" w:lineRule="exact"/>
              <w:jc w:val="center"/>
              <w:rPr>
                <w:rStyle w:val="20"/>
                <w:rFonts w:hint="eastAsia" w:ascii="仿宋_GB2312" w:hAnsi="仿宋_GB2312" w:eastAsia="仿宋_GB2312" w:cs="仿宋_GB2312"/>
              </w:rPr>
            </w:pPr>
            <w:r>
              <w:rPr>
                <w:rStyle w:val="20"/>
                <w:rFonts w:hint="eastAsia" w:ascii="仿宋_GB2312" w:hAnsi="仿宋_GB2312" w:eastAsia="仿宋_GB2312" w:cs="仿宋_GB2312"/>
              </w:rPr>
              <w:t>序号</w:t>
            </w:r>
          </w:p>
        </w:tc>
        <w:tc>
          <w:tcPr>
            <w:tcW w:w="1569" w:type="dxa"/>
            <w:noWrap w:val="0"/>
            <w:vAlign w:val="center"/>
          </w:tcPr>
          <w:p w14:paraId="1BFEC13B">
            <w:pPr>
              <w:widowControl w:val="0"/>
              <w:spacing w:line="400" w:lineRule="exact"/>
              <w:jc w:val="center"/>
              <w:rPr>
                <w:rStyle w:val="20"/>
                <w:rFonts w:hint="eastAsia" w:ascii="仿宋_GB2312" w:hAnsi="仿宋_GB2312" w:eastAsia="仿宋_GB2312" w:cs="仿宋_GB2312"/>
              </w:rPr>
            </w:pPr>
            <w:r>
              <w:rPr>
                <w:rStyle w:val="20"/>
                <w:rFonts w:hint="eastAsia" w:ascii="仿宋_GB2312" w:hAnsi="仿宋_GB2312" w:eastAsia="仿宋_GB2312" w:cs="仿宋_GB2312"/>
              </w:rPr>
              <w:t>姓名</w:t>
            </w:r>
          </w:p>
        </w:tc>
        <w:tc>
          <w:tcPr>
            <w:tcW w:w="2099" w:type="dxa"/>
            <w:noWrap w:val="0"/>
            <w:vAlign w:val="center"/>
          </w:tcPr>
          <w:p w14:paraId="482E5BDA">
            <w:pPr>
              <w:widowControl w:val="0"/>
              <w:spacing w:line="400" w:lineRule="exact"/>
              <w:jc w:val="center"/>
              <w:rPr>
                <w:rStyle w:val="20"/>
                <w:rFonts w:hint="eastAsia" w:ascii="仿宋_GB2312" w:hAnsi="仿宋_GB2312" w:eastAsia="仿宋_GB2312" w:cs="仿宋_GB2312"/>
              </w:rPr>
            </w:pPr>
            <w:r>
              <w:rPr>
                <w:rStyle w:val="20"/>
                <w:rFonts w:hint="eastAsia" w:ascii="仿宋_GB2312" w:hAnsi="仿宋_GB2312" w:eastAsia="仿宋_GB2312" w:cs="仿宋_GB2312"/>
              </w:rPr>
              <w:t>职称</w:t>
            </w:r>
          </w:p>
        </w:tc>
        <w:tc>
          <w:tcPr>
            <w:tcW w:w="2147" w:type="dxa"/>
            <w:noWrap w:val="0"/>
            <w:vAlign w:val="center"/>
          </w:tcPr>
          <w:p w14:paraId="10A6EE65">
            <w:pPr>
              <w:widowControl w:val="0"/>
              <w:spacing w:line="400" w:lineRule="exact"/>
              <w:jc w:val="center"/>
              <w:rPr>
                <w:rStyle w:val="20"/>
                <w:rFonts w:hint="eastAsia" w:ascii="仿宋_GB2312" w:hAnsi="仿宋_GB2312" w:eastAsia="仿宋_GB2312" w:cs="仿宋_GB2312"/>
              </w:rPr>
            </w:pPr>
            <w:r>
              <w:rPr>
                <w:rStyle w:val="20"/>
                <w:rFonts w:ascii="仿宋_GB2312" w:hAnsi="仿宋_GB2312" w:eastAsia="仿宋_GB2312" w:cs="仿宋_GB2312"/>
              </w:rPr>
              <w:t>学历</w:t>
            </w:r>
          </w:p>
        </w:tc>
        <w:tc>
          <w:tcPr>
            <w:tcW w:w="1562" w:type="dxa"/>
            <w:noWrap w:val="0"/>
            <w:vAlign w:val="center"/>
          </w:tcPr>
          <w:p w14:paraId="63EC1E6D">
            <w:pPr>
              <w:widowControl w:val="0"/>
              <w:spacing w:line="400" w:lineRule="exact"/>
              <w:jc w:val="center"/>
              <w:rPr>
                <w:rStyle w:val="20"/>
                <w:rFonts w:hint="eastAsia" w:ascii="仿宋_GB2312" w:hAnsi="仿宋_GB2312" w:eastAsia="仿宋_GB2312" w:cs="仿宋_GB2312"/>
              </w:rPr>
            </w:pPr>
            <w:r>
              <w:rPr>
                <w:rStyle w:val="20"/>
                <w:rFonts w:hint="eastAsia" w:ascii="仿宋_GB2312" w:hAnsi="仿宋_GB2312" w:eastAsia="仿宋_GB2312" w:cs="仿宋_GB2312"/>
              </w:rPr>
              <w:t>备注</w:t>
            </w:r>
          </w:p>
        </w:tc>
      </w:tr>
      <w:tr w14:paraId="4F68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76" w:type="dxa"/>
            <w:noWrap w:val="0"/>
            <w:vAlign w:val="top"/>
          </w:tcPr>
          <w:p w14:paraId="2E5A96F7">
            <w:pPr>
              <w:widowControl/>
              <w:spacing w:line="400" w:lineRule="exact"/>
              <w:jc w:val="center"/>
              <w:rPr>
                <w:rStyle w:val="20"/>
                <w:rFonts w:hint="eastAsia" w:ascii="仿宋_GB2312" w:hAnsi="仿宋_GB2312" w:eastAsia="仿宋_GB2312" w:cs="仿宋_GB2312"/>
              </w:rPr>
            </w:pPr>
            <w:r>
              <w:rPr>
                <w:rStyle w:val="20"/>
                <w:rFonts w:hint="eastAsia" w:ascii="仿宋_GB2312" w:hAnsi="仿宋_GB2312" w:eastAsia="仿宋_GB2312" w:cs="仿宋_GB2312"/>
              </w:rPr>
              <w:t>1</w:t>
            </w:r>
          </w:p>
        </w:tc>
        <w:tc>
          <w:tcPr>
            <w:tcW w:w="1569" w:type="dxa"/>
            <w:noWrap w:val="0"/>
            <w:vAlign w:val="top"/>
          </w:tcPr>
          <w:p w14:paraId="28671F95">
            <w:pPr>
              <w:widowControl/>
              <w:spacing w:line="400" w:lineRule="exact"/>
              <w:jc w:val="center"/>
              <w:rPr>
                <w:rStyle w:val="20"/>
                <w:rFonts w:hint="eastAsia" w:ascii="仿宋_GB2312" w:hAnsi="仿宋_GB2312" w:eastAsia="仿宋_GB2312" w:cs="仿宋_GB2312"/>
              </w:rPr>
            </w:pPr>
          </w:p>
        </w:tc>
        <w:tc>
          <w:tcPr>
            <w:tcW w:w="2099" w:type="dxa"/>
            <w:noWrap w:val="0"/>
            <w:vAlign w:val="top"/>
          </w:tcPr>
          <w:p w14:paraId="6C2FCD53">
            <w:pPr>
              <w:widowControl/>
              <w:spacing w:line="400" w:lineRule="exact"/>
              <w:jc w:val="center"/>
              <w:rPr>
                <w:rStyle w:val="20"/>
                <w:rFonts w:hint="eastAsia" w:ascii="仿宋_GB2312" w:hAnsi="仿宋_GB2312" w:eastAsia="仿宋_GB2312" w:cs="仿宋_GB2312"/>
              </w:rPr>
            </w:pPr>
          </w:p>
        </w:tc>
        <w:tc>
          <w:tcPr>
            <w:tcW w:w="2147" w:type="dxa"/>
            <w:noWrap w:val="0"/>
            <w:vAlign w:val="top"/>
          </w:tcPr>
          <w:p w14:paraId="63070CF5">
            <w:pPr>
              <w:widowControl/>
              <w:spacing w:line="400" w:lineRule="exact"/>
              <w:jc w:val="center"/>
              <w:rPr>
                <w:rStyle w:val="20"/>
                <w:rFonts w:hint="eastAsia" w:ascii="仿宋_GB2312" w:hAnsi="仿宋_GB2312" w:eastAsia="仿宋_GB2312" w:cs="仿宋_GB2312"/>
              </w:rPr>
            </w:pPr>
          </w:p>
        </w:tc>
        <w:tc>
          <w:tcPr>
            <w:tcW w:w="1562" w:type="dxa"/>
            <w:noWrap w:val="0"/>
            <w:vAlign w:val="top"/>
          </w:tcPr>
          <w:p w14:paraId="190BAE8D">
            <w:pPr>
              <w:widowControl/>
              <w:spacing w:line="400" w:lineRule="exact"/>
              <w:jc w:val="center"/>
              <w:rPr>
                <w:rStyle w:val="20"/>
                <w:rFonts w:hint="eastAsia" w:ascii="仿宋_GB2312" w:hAnsi="仿宋_GB2312" w:eastAsia="仿宋_GB2312" w:cs="仿宋_GB2312"/>
              </w:rPr>
            </w:pPr>
          </w:p>
        </w:tc>
      </w:tr>
    </w:tbl>
    <w:p w14:paraId="381CA92F">
      <w:pPr>
        <w:keepNext w:val="0"/>
        <w:keepLines w:val="0"/>
        <w:widowControl/>
        <w:adjustRightInd/>
        <w:spacing w:before="0" w:beforeLines="0" w:after="0" w:afterLines="0" w:line="600" w:lineRule="exact"/>
        <w:ind w:left="420" w:leftChars="200"/>
        <w:textAlignment w:val="auto"/>
        <w:outlineLvl w:val="9"/>
        <w:rPr>
          <w:rStyle w:val="20"/>
          <w:rFonts w:ascii="仿宋_GB2312" w:hAnsi="仿宋_GB2312" w:eastAsia="仿宋_GB2312" w:cs="仿宋_GB2312"/>
          <w:szCs w:val="24"/>
        </w:rPr>
      </w:pPr>
      <w:r>
        <w:rPr>
          <w:rStyle w:val="20"/>
          <w:rFonts w:hint="eastAsia" w:ascii="仿宋_GB2312" w:hAnsi="仿宋_GB2312" w:eastAsia="仿宋_GB2312" w:cs="仿宋_GB2312"/>
          <w:szCs w:val="24"/>
          <w:lang w:val="en-US" w:eastAsia="zh-CN"/>
        </w:rPr>
        <w:t>拟</w:t>
      </w:r>
      <w:r>
        <w:rPr>
          <w:rStyle w:val="20"/>
          <w:rFonts w:ascii="仿宋_GB2312" w:hAnsi="仿宋_GB2312" w:eastAsia="仿宋_GB2312" w:cs="仿宋_GB2312"/>
          <w:szCs w:val="24"/>
        </w:rPr>
        <w:t>安排的项目团队成员（项目负责人除外）情况</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745"/>
        <w:gridCol w:w="2333"/>
        <w:gridCol w:w="2387"/>
        <w:gridCol w:w="1737"/>
      </w:tblGrid>
      <w:tr w14:paraId="08C2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76" w:type="dxa"/>
            <w:noWrap w:val="0"/>
            <w:vAlign w:val="center"/>
          </w:tcPr>
          <w:p w14:paraId="496205A0">
            <w:pPr>
              <w:widowControl w:val="0"/>
              <w:spacing w:line="400" w:lineRule="exact"/>
              <w:jc w:val="center"/>
              <w:rPr>
                <w:rStyle w:val="20"/>
                <w:rFonts w:hint="eastAsia" w:ascii="仿宋_GB2312" w:hAnsi="仿宋_GB2312" w:eastAsia="仿宋_GB2312" w:cs="仿宋_GB2312"/>
              </w:rPr>
            </w:pPr>
            <w:r>
              <w:rPr>
                <w:rStyle w:val="20"/>
                <w:rFonts w:hint="eastAsia" w:ascii="仿宋_GB2312" w:hAnsi="仿宋_GB2312" w:eastAsia="仿宋_GB2312" w:cs="仿宋_GB2312"/>
              </w:rPr>
              <w:t>序号</w:t>
            </w:r>
          </w:p>
        </w:tc>
        <w:tc>
          <w:tcPr>
            <w:tcW w:w="1569" w:type="dxa"/>
            <w:noWrap w:val="0"/>
            <w:vAlign w:val="center"/>
          </w:tcPr>
          <w:p w14:paraId="3FCC0875">
            <w:pPr>
              <w:widowControl w:val="0"/>
              <w:spacing w:line="400" w:lineRule="exact"/>
              <w:jc w:val="center"/>
              <w:rPr>
                <w:rStyle w:val="20"/>
                <w:rFonts w:hint="eastAsia" w:ascii="仿宋_GB2312" w:hAnsi="仿宋_GB2312" w:eastAsia="仿宋_GB2312" w:cs="仿宋_GB2312"/>
              </w:rPr>
            </w:pPr>
            <w:r>
              <w:rPr>
                <w:rStyle w:val="20"/>
                <w:rFonts w:hint="eastAsia" w:ascii="仿宋_GB2312" w:hAnsi="仿宋_GB2312" w:eastAsia="仿宋_GB2312" w:cs="仿宋_GB2312"/>
              </w:rPr>
              <w:t>姓名</w:t>
            </w:r>
          </w:p>
        </w:tc>
        <w:tc>
          <w:tcPr>
            <w:tcW w:w="2099" w:type="dxa"/>
            <w:noWrap w:val="0"/>
            <w:vAlign w:val="center"/>
          </w:tcPr>
          <w:p w14:paraId="61B843EC">
            <w:pPr>
              <w:widowControl w:val="0"/>
              <w:spacing w:line="400" w:lineRule="exact"/>
              <w:jc w:val="center"/>
              <w:rPr>
                <w:rStyle w:val="20"/>
                <w:rFonts w:hint="eastAsia" w:ascii="仿宋_GB2312" w:hAnsi="仿宋_GB2312" w:eastAsia="仿宋_GB2312" w:cs="仿宋_GB2312"/>
              </w:rPr>
            </w:pPr>
            <w:r>
              <w:rPr>
                <w:rStyle w:val="20"/>
                <w:rFonts w:hint="eastAsia" w:ascii="仿宋_GB2312" w:hAnsi="仿宋_GB2312" w:eastAsia="仿宋_GB2312" w:cs="仿宋_GB2312"/>
              </w:rPr>
              <w:t>职称</w:t>
            </w:r>
          </w:p>
        </w:tc>
        <w:tc>
          <w:tcPr>
            <w:tcW w:w="2147" w:type="dxa"/>
            <w:noWrap w:val="0"/>
            <w:vAlign w:val="center"/>
          </w:tcPr>
          <w:p w14:paraId="0B1E3EBD">
            <w:pPr>
              <w:widowControl w:val="0"/>
              <w:spacing w:line="400" w:lineRule="exact"/>
              <w:jc w:val="center"/>
              <w:rPr>
                <w:rStyle w:val="20"/>
                <w:rFonts w:hint="eastAsia" w:ascii="仿宋_GB2312" w:hAnsi="仿宋_GB2312" w:eastAsia="仿宋_GB2312" w:cs="仿宋_GB2312"/>
              </w:rPr>
            </w:pPr>
            <w:r>
              <w:rPr>
                <w:rStyle w:val="20"/>
                <w:rFonts w:ascii="仿宋_GB2312" w:hAnsi="仿宋_GB2312" w:eastAsia="仿宋_GB2312" w:cs="仿宋_GB2312"/>
              </w:rPr>
              <w:t>学历</w:t>
            </w:r>
          </w:p>
        </w:tc>
        <w:tc>
          <w:tcPr>
            <w:tcW w:w="1562" w:type="dxa"/>
            <w:noWrap w:val="0"/>
            <w:vAlign w:val="center"/>
          </w:tcPr>
          <w:p w14:paraId="3EFE99BC">
            <w:pPr>
              <w:widowControl w:val="0"/>
              <w:spacing w:line="400" w:lineRule="exact"/>
              <w:jc w:val="center"/>
              <w:rPr>
                <w:rStyle w:val="20"/>
                <w:rFonts w:hint="eastAsia" w:ascii="仿宋_GB2312" w:hAnsi="仿宋_GB2312" w:eastAsia="仿宋_GB2312" w:cs="仿宋_GB2312"/>
              </w:rPr>
            </w:pPr>
            <w:r>
              <w:rPr>
                <w:rStyle w:val="20"/>
                <w:rFonts w:hint="eastAsia" w:ascii="仿宋_GB2312" w:hAnsi="仿宋_GB2312" w:eastAsia="仿宋_GB2312" w:cs="仿宋_GB2312"/>
              </w:rPr>
              <w:t>备注</w:t>
            </w:r>
          </w:p>
        </w:tc>
      </w:tr>
      <w:tr w14:paraId="377DE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76" w:type="dxa"/>
            <w:noWrap w:val="0"/>
            <w:vAlign w:val="top"/>
          </w:tcPr>
          <w:p w14:paraId="57CDABC0">
            <w:pPr>
              <w:widowControl/>
              <w:spacing w:line="400" w:lineRule="exact"/>
              <w:jc w:val="center"/>
              <w:rPr>
                <w:rStyle w:val="20"/>
                <w:rFonts w:hint="eastAsia" w:ascii="仿宋_GB2312" w:hAnsi="仿宋_GB2312" w:eastAsia="仿宋_GB2312" w:cs="仿宋_GB2312"/>
              </w:rPr>
            </w:pPr>
            <w:r>
              <w:rPr>
                <w:rStyle w:val="20"/>
                <w:rFonts w:hint="eastAsia" w:ascii="仿宋_GB2312" w:hAnsi="仿宋_GB2312" w:eastAsia="仿宋_GB2312" w:cs="仿宋_GB2312"/>
              </w:rPr>
              <w:t>1</w:t>
            </w:r>
          </w:p>
        </w:tc>
        <w:tc>
          <w:tcPr>
            <w:tcW w:w="1569" w:type="dxa"/>
            <w:noWrap w:val="0"/>
            <w:vAlign w:val="top"/>
          </w:tcPr>
          <w:p w14:paraId="20CB170B">
            <w:pPr>
              <w:widowControl/>
              <w:spacing w:line="400" w:lineRule="exact"/>
              <w:jc w:val="center"/>
              <w:rPr>
                <w:rStyle w:val="20"/>
                <w:rFonts w:hint="eastAsia" w:ascii="仿宋_GB2312" w:hAnsi="仿宋_GB2312" w:eastAsia="仿宋_GB2312" w:cs="仿宋_GB2312"/>
              </w:rPr>
            </w:pPr>
          </w:p>
        </w:tc>
        <w:tc>
          <w:tcPr>
            <w:tcW w:w="2099" w:type="dxa"/>
            <w:noWrap w:val="0"/>
            <w:vAlign w:val="top"/>
          </w:tcPr>
          <w:p w14:paraId="309DA3C8">
            <w:pPr>
              <w:widowControl/>
              <w:spacing w:line="400" w:lineRule="exact"/>
              <w:jc w:val="center"/>
              <w:rPr>
                <w:rStyle w:val="20"/>
                <w:rFonts w:hint="eastAsia" w:ascii="仿宋_GB2312" w:hAnsi="仿宋_GB2312" w:eastAsia="仿宋_GB2312" w:cs="仿宋_GB2312"/>
              </w:rPr>
            </w:pPr>
          </w:p>
        </w:tc>
        <w:tc>
          <w:tcPr>
            <w:tcW w:w="2147" w:type="dxa"/>
            <w:noWrap w:val="0"/>
            <w:vAlign w:val="top"/>
          </w:tcPr>
          <w:p w14:paraId="02FAE89B">
            <w:pPr>
              <w:widowControl/>
              <w:spacing w:line="400" w:lineRule="exact"/>
              <w:jc w:val="center"/>
              <w:rPr>
                <w:rStyle w:val="20"/>
                <w:rFonts w:hint="eastAsia" w:ascii="仿宋_GB2312" w:hAnsi="仿宋_GB2312" w:eastAsia="仿宋_GB2312" w:cs="仿宋_GB2312"/>
              </w:rPr>
            </w:pPr>
          </w:p>
        </w:tc>
        <w:tc>
          <w:tcPr>
            <w:tcW w:w="1562" w:type="dxa"/>
            <w:noWrap w:val="0"/>
            <w:vAlign w:val="top"/>
          </w:tcPr>
          <w:p w14:paraId="18DE63CE">
            <w:pPr>
              <w:widowControl/>
              <w:spacing w:line="400" w:lineRule="exact"/>
              <w:jc w:val="center"/>
              <w:rPr>
                <w:rStyle w:val="20"/>
                <w:rFonts w:hint="eastAsia" w:ascii="仿宋_GB2312" w:hAnsi="仿宋_GB2312" w:eastAsia="仿宋_GB2312" w:cs="仿宋_GB2312"/>
              </w:rPr>
            </w:pPr>
          </w:p>
        </w:tc>
      </w:tr>
      <w:tr w14:paraId="5E5C1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76" w:type="dxa"/>
            <w:noWrap w:val="0"/>
            <w:vAlign w:val="top"/>
          </w:tcPr>
          <w:p w14:paraId="34B4AB16">
            <w:pPr>
              <w:widowControl/>
              <w:spacing w:line="400" w:lineRule="exact"/>
              <w:jc w:val="center"/>
              <w:rPr>
                <w:rStyle w:val="20"/>
                <w:rFonts w:hint="eastAsia" w:ascii="仿宋_GB2312" w:hAnsi="仿宋_GB2312" w:eastAsia="仿宋_GB2312" w:cs="仿宋_GB2312"/>
              </w:rPr>
            </w:pPr>
            <w:r>
              <w:rPr>
                <w:rStyle w:val="20"/>
                <w:rFonts w:hint="eastAsia" w:ascii="仿宋_GB2312" w:hAnsi="仿宋_GB2312" w:eastAsia="仿宋_GB2312" w:cs="仿宋_GB2312"/>
              </w:rPr>
              <w:t>2</w:t>
            </w:r>
          </w:p>
        </w:tc>
        <w:tc>
          <w:tcPr>
            <w:tcW w:w="1569" w:type="dxa"/>
            <w:noWrap w:val="0"/>
            <w:vAlign w:val="top"/>
          </w:tcPr>
          <w:p w14:paraId="632E88F1">
            <w:pPr>
              <w:widowControl/>
              <w:spacing w:line="400" w:lineRule="exact"/>
              <w:jc w:val="center"/>
              <w:rPr>
                <w:rStyle w:val="20"/>
                <w:rFonts w:hint="eastAsia" w:ascii="仿宋_GB2312" w:hAnsi="仿宋_GB2312" w:eastAsia="仿宋_GB2312" w:cs="仿宋_GB2312"/>
              </w:rPr>
            </w:pPr>
          </w:p>
        </w:tc>
        <w:tc>
          <w:tcPr>
            <w:tcW w:w="2099" w:type="dxa"/>
            <w:noWrap w:val="0"/>
            <w:vAlign w:val="top"/>
          </w:tcPr>
          <w:p w14:paraId="5EB5D9C3">
            <w:pPr>
              <w:widowControl/>
              <w:spacing w:line="400" w:lineRule="exact"/>
              <w:jc w:val="center"/>
              <w:rPr>
                <w:rStyle w:val="20"/>
                <w:rFonts w:hint="eastAsia" w:ascii="仿宋_GB2312" w:hAnsi="仿宋_GB2312" w:eastAsia="仿宋_GB2312" w:cs="仿宋_GB2312"/>
              </w:rPr>
            </w:pPr>
          </w:p>
        </w:tc>
        <w:tc>
          <w:tcPr>
            <w:tcW w:w="2147" w:type="dxa"/>
            <w:noWrap w:val="0"/>
            <w:vAlign w:val="top"/>
          </w:tcPr>
          <w:p w14:paraId="74E5841D">
            <w:pPr>
              <w:widowControl/>
              <w:spacing w:line="400" w:lineRule="exact"/>
              <w:jc w:val="center"/>
              <w:rPr>
                <w:rStyle w:val="20"/>
                <w:rFonts w:hint="eastAsia" w:ascii="仿宋_GB2312" w:hAnsi="仿宋_GB2312" w:eastAsia="仿宋_GB2312" w:cs="仿宋_GB2312"/>
              </w:rPr>
            </w:pPr>
          </w:p>
        </w:tc>
        <w:tc>
          <w:tcPr>
            <w:tcW w:w="1562" w:type="dxa"/>
            <w:noWrap w:val="0"/>
            <w:vAlign w:val="top"/>
          </w:tcPr>
          <w:p w14:paraId="11C6DBBA">
            <w:pPr>
              <w:widowControl/>
              <w:spacing w:line="400" w:lineRule="exact"/>
              <w:jc w:val="center"/>
              <w:rPr>
                <w:rStyle w:val="20"/>
                <w:rFonts w:hint="eastAsia" w:ascii="仿宋_GB2312" w:hAnsi="仿宋_GB2312" w:eastAsia="仿宋_GB2312" w:cs="仿宋_GB2312"/>
              </w:rPr>
            </w:pPr>
          </w:p>
        </w:tc>
      </w:tr>
      <w:tr w14:paraId="212C5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6" w:type="dxa"/>
            <w:noWrap w:val="0"/>
            <w:vAlign w:val="top"/>
          </w:tcPr>
          <w:p w14:paraId="6F4BBA63">
            <w:pPr>
              <w:widowControl/>
              <w:spacing w:line="400" w:lineRule="exact"/>
              <w:jc w:val="center"/>
              <w:rPr>
                <w:rStyle w:val="20"/>
                <w:rFonts w:hint="eastAsia" w:ascii="仿宋_GB2312" w:hAnsi="仿宋_GB2312" w:eastAsia="仿宋_GB2312" w:cs="仿宋_GB2312"/>
              </w:rPr>
            </w:pPr>
            <w:r>
              <w:rPr>
                <w:rStyle w:val="20"/>
                <w:rFonts w:hint="eastAsia" w:ascii="仿宋_GB2312" w:hAnsi="仿宋_GB2312" w:eastAsia="仿宋_GB2312" w:cs="仿宋_GB2312"/>
              </w:rPr>
              <w:t>3</w:t>
            </w:r>
          </w:p>
        </w:tc>
        <w:tc>
          <w:tcPr>
            <w:tcW w:w="1569" w:type="dxa"/>
            <w:noWrap w:val="0"/>
            <w:vAlign w:val="top"/>
          </w:tcPr>
          <w:p w14:paraId="5D24A645">
            <w:pPr>
              <w:widowControl/>
              <w:spacing w:line="400" w:lineRule="exact"/>
              <w:jc w:val="center"/>
              <w:rPr>
                <w:rStyle w:val="20"/>
                <w:rFonts w:hint="eastAsia" w:ascii="仿宋_GB2312" w:hAnsi="仿宋_GB2312" w:eastAsia="仿宋_GB2312" w:cs="仿宋_GB2312"/>
              </w:rPr>
            </w:pPr>
          </w:p>
        </w:tc>
        <w:tc>
          <w:tcPr>
            <w:tcW w:w="2099" w:type="dxa"/>
            <w:noWrap w:val="0"/>
            <w:vAlign w:val="top"/>
          </w:tcPr>
          <w:p w14:paraId="6690115E">
            <w:pPr>
              <w:widowControl/>
              <w:spacing w:line="400" w:lineRule="exact"/>
              <w:jc w:val="center"/>
              <w:rPr>
                <w:rStyle w:val="20"/>
                <w:rFonts w:hint="eastAsia" w:ascii="仿宋_GB2312" w:hAnsi="仿宋_GB2312" w:eastAsia="仿宋_GB2312" w:cs="仿宋_GB2312"/>
              </w:rPr>
            </w:pPr>
          </w:p>
        </w:tc>
        <w:tc>
          <w:tcPr>
            <w:tcW w:w="2147" w:type="dxa"/>
            <w:noWrap w:val="0"/>
            <w:vAlign w:val="top"/>
          </w:tcPr>
          <w:p w14:paraId="0B2CDF35">
            <w:pPr>
              <w:widowControl/>
              <w:spacing w:line="400" w:lineRule="exact"/>
              <w:jc w:val="center"/>
              <w:rPr>
                <w:rStyle w:val="20"/>
                <w:rFonts w:hint="eastAsia" w:ascii="仿宋_GB2312" w:hAnsi="仿宋_GB2312" w:eastAsia="仿宋_GB2312" w:cs="仿宋_GB2312"/>
              </w:rPr>
            </w:pPr>
          </w:p>
        </w:tc>
        <w:tc>
          <w:tcPr>
            <w:tcW w:w="1562" w:type="dxa"/>
            <w:noWrap w:val="0"/>
            <w:vAlign w:val="top"/>
          </w:tcPr>
          <w:p w14:paraId="29B3AB65">
            <w:pPr>
              <w:widowControl/>
              <w:spacing w:line="400" w:lineRule="exact"/>
              <w:jc w:val="center"/>
              <w:rPr>
                <w:rStyle w:val="20"/>
                <w:rFonts w:hint="eastAsia" w:ascii="仿宋_GB2312" w:hAnsi="仿宋_GB2312" w:eastAsia="仿宋_GB2312" w:cs="仿宋_GB2312"/>
              </w:rPr>
            </w:pPr>
          </w:p>
        </w:tc>
      </w:tr>
      <w:tr w14:paraId="61D21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76" w:type="dxa"/>
            <w:noWrap w:val="0"/>
            <w:vAlign w:val="top"/>
          </w:tcPr>
          <w:p w14:paraId="6D2BFCE3">
            <w:pPr>
              <w:widowControl/>
              <w:spacing w:line="400" w:lineRule="exact"/>
              <w:jc w:val="center"/>
              <w:rPr>
                <w:rStyle w:val="20"/>
                <w:rFonts w:hint="eastAsia" w:ascii="仿宋_GB2312" w:hAnsi="仿宋_GB2312" w:eastAsia="仿宋_GB2312" w:cs="仿宋_GB2312"/>
              </w:rPr>
            </w:pPr>
            <w:r>
              <w:rPr>
                <w:rStyle w:val="20"/>
                <w:rFonts w:hint="eastAsia" w:ascii="仿宋_GB2312" w:hAnsi="仿宋_GB2312" w:eastAsia="仿宋_GB2312" w:cs="仿宋_GB2312"/>
              </w:rPr>
              <w:t>…</w:t>
            </w:r>
          </w:p>
        </w:tc>
        <w:tc>
          <w:tcPr>
            <w:tcW w:w="1569" w:type="dxa"/>
            <w:noWrap w:val="0"/>
            <w:vAlign w:val="top"/>
          </w:tcPr>
          <w:p w14:paraId="381B5AFF">
            <w:pPr>
              <w:widowControl/>
              <w:spacing w:line="400" w:lineRule="exact"/>
              <w:jc w:val="center"/>
              <w:rPr>
                <w:rStyle w:val="20"/>
                <w:rFonts w:hint="eastAsia" w:ascii="仿宋_GB2312" w:hAnsi="仿宋_GB2312" w:eastAsia="仿宋_GB2312" w:cs="仿宋_GB2312"/>
              </w:rPr>
            </w:pPr>
          </w:p>
        </w:tc>
        <w:tc>
          <w:tcPr>
            <w:tcW w:w="2099" w:type="dxa"/>
            <w:noWrap w:val="0"/>
            <w:vAlign w:val="top"/>
          </w:tcPr>
          <w:p w14:paraId="02437EB6">
            <w:pPr>
              <w:widowControl/>
              <w:spacing w:line="400" w:lineRule="exact"/>
              <w:jc w:val="center"/>
              <w:rPr>
                <w:rStyle w:val="20"/>
                <w:rFonts w:hint="eastAsia" w:ascii="仿宋_GB2312" w:hAnsi="仿宋_GB2312" w:eastAsia="仿宋_GB2312" w:cs="仿宋_GB2312"/>
              </w:rPr>
            </w:pPr>
          </w:p>
        </w:tc>
        <w:tc>
          <w:tcPr>
            <w:tcW w:w="2147" w:type="dxa"/>
            <w:noWrap w:val="0"/>
            <w:vAlign w:val="top"/>
          </w:tcPr>
          <w:p w14:paraId="47EA553B">
            <w:pPr>
              <w:widowControl/>
              <w:spacing w:line="400" w:lineRule="exact"/>
              <w:jc w:val="center"/>
              <w:rPr>
                <w:rStyle w:val="20"/>
                <w:rFonts w:hint="eastAsia" w:ascii="仿宋_GB2312" w:hAnsi="仿宋_GB2312" w:eastAsia="仿宋_GB2312" w:cs="仿宋_GB2312"/>
              </w:rPr>
            </w:pPr>
          </w:p>
        </w:tc>
        <w:tc>
          <w:tcPr>
            <w:tcW w:w="1562" w:type="dxa"/>
            <w:noWrap w:val="0"/>
            <w:vAlign w:val="top"/>
          </w:tcPr>
          <w:p w14:paraId="04B1AADA">
            <w:pPr>
              <w:widowControl/>
              <w:spacing w:line="400" w:lineRule="exact"/>
              <w:jc w:val="center"/>
              <w:rPr>
                <w:rStyle w:val="20"/>
                <w:rFonts w:hint="eastAsia" w:ascii="仿宋_GB2312" w:hAnsi="仿宋_GB2312" w:eastAsia="仿宋_GB2312" w:cs="仿宋_GB2312"/>
              </w:rPr>
            </w:pPr>
          </w:p>
        </w:tc>
      </w:tr>
    </w:tbl>
    <w:p w14:paraId="19DF615D">
      <w:pPr>
        <w:widowControl/>
        <w:spacing w:line="400" w:lineRule="exact"/>
        <w:ind w:firstLine="480" w:firstLineChars="200"/>
        <w:jc w:val="left"/>
        <w:rPr>
          <w:rStyle w:val="20"/>
          <w:rFonts w:hint="eastAsia" w:ascii="仿宋_GB2312" w:hAnsi="仿宋_GB2312" w:eastAsia="仿宋_GB2312" w:cs="仿宋_GB2312"/>
          <w:sz w:val="24"/>
          <w:szCs w:val="24"/>
        </w:rPr>
      </w:pPr>
      <w:r>
        <w:rPr>
          <w:rStyle w:val="20"/>
          <w:rFonts w:hint="eastAsia" w:ascii="仿宋_GB2312" w:hAnsi="仿宋_GB2312" w:eastAsia="仿宋_GB2312" w:cs="仿宋_GB2312"/>
          <w:sz w:val="24"/>
          <w:szCs w:val="24"/>
        </w:rPr>
        <w:t>注：</w:t>
      </w:r>
    </w:p>
    <w:p w14:paraId="1C02649A">
      <w:pPr>
        <w:widowControl/>
        <w:spacing w:line="400" w:lineRule="exact"/>
        <w:ind w:firstLine="480" w:firstLineChars="200"/>
        <w:jc w:val="left"/>
        <w:rPr>
          <w:rStyle w:val="20"/>
          <w:rFonts w:hint="eastAsia" w:ascii="仿宋_GB2312" w:hAnsi="仿宋_GB2312" w:eastAsia="仿宋_GB2312" w:cs="仿宋_GB2312"/>
          <w:sz w:val="24"/>
          <w:szCs w:val="24"/>
        </w:rPr>
      </w:pPr>
      <w:r>
        <w:rPr>
          <w:rStyle w:val="20"/>
          <w:rFonts w:hint="eastAsia" w:ascii="仿宋_GB2312" w:hAnsi="仿宋_GB2312" w:eastAsia="仿宋_GB2312" w:cs="仿宋_GB2312"/>
          <w:sz w:val="24"/>
          <w:szCs w:val="24"/>
        </w:rPr>
        <w:t>1.请按以上表格填写相关内容，并明确内容相关证明材料在投标文件中的页码。</w:t>
      </w:r>
    </w:p>
    <w:p w14:paraId="1E375547">
      <w:pPr>
        <w:widowControl/>
        <w:spacing w:line="400" w:lineRule="exact"/>
        <w:ind w:firstLine="480" w:firstLineChars="200"/>
        <w:jc w:val="left"/>
        <w:rPr>
          <w:rStyle w:val="20"/>
          <w:rFonts w:hint="eastAsia" w:ascii="仿宋_GB2312" w:hAnsi="仿宋_GB2312" w:eastAsia="仿宋_GB2312" w:cs="仿宋_GB2312"/>
          <w:sz w:val="24"/>
          <w:szCs w:val="24"/>
        </w:rPr>
      </w:pPr>
      <w:r>
        <w:rPr>
          <w:rStyle w:val="20"/>
          <w:rFonts w:ascii="仿宋_GB2312" w:hAnsi="仿宋_GB2312" w:eastAsia="仿宋_GB2312" w:cs="仿宋_GB2312"/>
          <w:sz w:val="24"/>
          <w:szCs w:val="24"/>
        </w:rPr>
        <w:t>2.</w:t>
      </w:r>
      <w:r>
        <w:rPr>
          <w:rStyle w:val="20"/>
          <w:rFonts w:hint="eastAsia" w:ascii="仿宋_GB2312" w:hAnsi="仿宋_GB2312" w:eastAsia="仿宋_GB2312" w:cs="仿宋_GB2312"/>
          <w:sz w:val="24"/>
          <w:szCs w:val="24"/>
        </w:rPr>
        <w:t>要求提供投标人工作单位所开出的在职证明，并承诺该员工在本公司</w:t>
      </w:r>
      <w:r>
        <w:rPr>
          <w:rStyle w:val="20"/>
          <w:rFonts w:ascii="仿宋_GB2312" w:hAnsi="仿宋_GB2312" w:eastAsia="仿宋_GB2312" w:cs="仿宋_GB2312"/>
          <w:sz w:val="24"/>
          <w:szCs w:val="24"/>
        </w:rPr>
        <w:t>截标前</w:t>
      </w:r>
      <w:r>
        <w:rPr>
          <w:rStyle w:val="20"/>
          <w:rFonts w:hint="eastAsia" w:ascii="仿宋_GB2312" w:hAnsi="仿宋_GB2312" w:eastAsia="仿宋_GB2312" w:cs="仿宋_GB2312"/>
          <w:sz w:val="24"/>
          <w:szCs w:val="24"/>
        </w:rPr>
        <w:t>任职并在本公司连续缴纳社保3个月以上作为得分依据</w:t>
      </w:r>
      <w:r>
        <w:rPr>
          <w:rStyle w:val="20"/>
          <w:rFonts w:ascii="仿宋_GB2312" w:hAnsi="仿宋_GB2312" w:eastAsia="仿宋_GB2312" w:cs="仿宋_GB2312"/>
          <w:sz w:val="24"/>
          <w:szCs w:val="24"/>
        </w:rPr>
        <w:t>，否则不得分。</w:t>
      </w:r>
    </w:p>
    <w:p w14:paraId="64D103B0">
      <w:pPr>
        <w:spacing w:line="400" w:lineRule="exact"/>
        <w:ind w:left="0" w:leftChars="0" w:firstLine="480" w:firstLineChars="200"/>
        <w:rPr>
          <w:rFonts w:hint="eastAsia" w:ascii="仿宋_GB2312" w:hAnsi="仿宋_GB2312" w:eastAsia="仿宋_GB2312" w:cs="仿宋_GB2312"/>
          <w:sz w:val="24"/>
          <w:szCs w:val="24"/>
        </w:rPr>
      </w:pPr>
      <w:r>
        <w:rPr>
          <w:rStyle w:val="20"/>
          <w:rFonts w:ascii="仿宋_GB2312" w:hAnsi="仿宋_GB2312" w:eastAsia="仿宋_GB2312" w:cs="仿宋_GB2312"/>
          <w:sz w:val="24"/>
          <w:szCs w:val="24"/>
        </w:rPr>
        <w:t>3.</w:t>
      </w:r>
      <w:r>
        <w:rPr>
          <w:rStyle w:val="20"/>
          <w:rFonts w:hint="eastAsia" w:ascii="仿宋_GB2312" w:hAnsi="仿宋_GB2312" w:eastAsia="仿宋_GB2312" w:cs="仿宋_GB2312"/>
          <w:sz w:val="24"/>
          <w:szCs w:val="24"/>
        </w:rPr>
        <w:t>提供相关职业资格证书、</w:t>
      </w:r>
      <w:r>
        <w:rPr>
          <w:rStyle w:val="20"/>
          <w:rFonts w:ascii="仿宋_GB2312" w:hAnsi="仿宋_GB2312" w:eastAsia="仿宋_GB2312" w:cs="仿宋_GB2312"/>
          <w:sz w:val="24"/>
          <w:szCs w:val="24"/>
        </w:rPr>
        <w:t>职称证书、</w:t>
      </w:r>
      <w:r>
        <w:rPr>
          <w:rStyle w:val="20"/>
          <w:rFonts w:hint="eastAsia" w:ascii="仿宋_GB2312" w:hAnsi="仿宋_GB2312" w:eastAsia="仿宋_GB2312" w:cs="仿宋_GB2312"/>
          <w:sz w:val="24"/>
          <w:szCs w:val="24"/>
        </w:rPr>
        <w:t>工作经验证明材料扫描件及能证明相关人员经验的项目相关证明文件扫描件，原件备查。以合同签订时间为准，工作经验证明材料为项目合同关键信息或合同甲方出具的证明文件。</w:t>
      </w:r>
    </w:p>
    <w:p w14:paraId="6469F7C6">
      <w:pPr>
        <w:spacing w:line="360" w:lineRule="auto"/>
        <w:ind w:left="420" w:left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附价格核算明细及依据。</w:t>
      </w:r>
    </w:p>
    <w:p w14:paraId="145B3408">
      <w:pPr>
        <w:spacing w:line="360" w:lineRule="auto"/>
        <w:ind w:left="420" w:leftChars="200"/>
        <w:rPr>
          <w:rFonts w:hint="eastAsia" w:ascii="仿宋_GB2312" w:hAnsi="仿宋_GB2312" w:eastAsia="仿宋_GB2312" w:cs="仿宋_GB2312"/>
          <w:sz w:val="24"/>
          <w:szCs w:val="24"/>
        </w:rPr>
      </w:pPr>
    </w:p>
    <w:p w14:paraId="012ADEC7">
      <w:pPr>
        <w:spacing w:line="360" w:lineRule="exact"/>
        <w:ind w:left="420" w:leftChars="200"/>
        <w:rPr>
          <w:rStyle w:val="20"/>
          <w:rFonts w:hint="eastAsia" w:ascii="仿宋_GB2312" w:hAnsi="仿宋_GB2312" w:eastAsia="仿宋_GB2312" w:cs="仿宋_GB2312"/>
          <w:sz w:val="24"/>
          <w:szCs w:val="24"/>
          <w:lang w:val="en-US" w:eastAsia="zh-CN"/>
        </w:rPr>
      </w:pPr>
      <w:r>
        <w:rPr>
          <w:rStyle w:val="20"/>
          <w:rFonts w:hint="eastAsia" w:ascii="仿宋_GB2312" w:hAnsi="仿宋_GB2312" w:eastAsia="仿宋_GB2312" w:cs="仿宋_GB2312"/>
          <w:sz w:val="24"/>
          <w:szCs w:val="24"/>
          <w:lang w:eastAsia="zh-CN"/>
        </w:rPr>
        <w:t>投标单位</w:t>
      </w:r>
      <w:r>
        <w:rPr>
          <w:rStyle w:val="20"/>
          <w:rFonts w:hint="eastAsia" w:ascii="仿宋_GB2312" w:hAnsi="仿宋_GB2312" w:eastAsia="仿宋_GB2312" w:cs="仿宋_GB2312"/>
          <w:sz w:val="24"/>
          <w:szCs w:val="24"/>
        </w:rPr>
        <w:t xml:space="preserve">代表签字:  </w:t>
      </w:r>
      <w:r>
        <w:rPr>
          <w:rStyle w:val="20"/>
          <w:rFonts w:hint="eastAsia" w:ascii="仿宋_GB2312" w:hAnsi="仿宋_GB2312" w:eastAsia="仿宋_GB2312" w:cs="仿宋_GB2312"/>
          <w:sz w:val="24"/>
          <w:szCs w:val="24"/>
          <w:lang w:val="en-US" w:eastAsia="zh-CN"/>
        </w:rPr>
        <w:t xml:space="preserve">           </w:t>
      </w:r>
    </w:p>
    <w:p w14:paraId="4B6AD371">
      <w:pPr>
        <w:spacing w:line="360" w:lineRule="exact"/>
        <w:ind w:left="0" w:leftChars="0"/>
        <w:rPr>
          <w:rStyle w:val="20"/>
          <w:rFonts w:hint="eastAsia" w:ascii="仿宋_GB2312" w:hAnsi="仿宋_GB2312" w:eastAsia="仿宋_GB2312" w:cs="仿宋_GB2312"/>
          <w:sz w:val="24"/>
          <w:szCs w:val="24"/>
          <w:lang w:val="en-US" w:eastAsia="zh-CN"/>
        </w:rPr>
      </w:pPr>
    </w:p>
    <w:p w14:paraId="4F57D11B">
      <w:pPr>
        <w:spacing w:line="360" w:lineRule="exact"/>
        <w:ind w:left="420" w:leftChars="200"/>
        <w:rPr>
          <w:rFonts w:ascii="宋体"/>
          <w:sz w:val="22"/>
          <w:szCs w:val="22"/>
        </w:rPr>
      </w:pPr>
      <w:r>
        <w:rPr>
          <w:rStyle w:val="20"/>
          <w:rFonts w:hint="eastAsia" w:ascii="仿宋_GB2312" w:hAnsi="仿宋_GB2312" w:eastAsia="仿宋_GB2312" w:cs="仿宋_GB2312"/>
          <w:sz w:val="24"/>
          <w:szCs w:val="24"/>
        </w:rPr>
        <w:t>单位盖章</w:t>
      </w:r>
      <w:r>
        <w:rPr>
          <w:rStyle w:val="20"/>
          <w:rFonts w:hint="eastAsia" w:ascii="仿宋_GB2312" w:hAnsi="仿宋_GB2312" w:eastAsia="仿宋_GB2312" w:cs="仿宋_GB2312"/>
          <w:sz w:val="24"/>
          <w:szCs w:val="24"/>
          <w:lang w:eastAsia="zh-CN"/>
        </w:rPr>
        <w:t>：</w:t>
      </w:r>
    </w:p>
    <w:p w14:paraId="5D58FD5C">
      <w:pPr>
        <w:pStyle w:val="2"/>
        <w:ind w:firstLine="0" w:firstLineChars="0"/>
        <w:rPr>
          <w:rFonts w:ascii="宋体"/>
          <w:sz w:val="22"/>
          <w:szCs w:val="22"/>
        </w:rPr>
      </w:pPr>
    </w:p>
    <w:p w14:paraId="444222BB">
      <w:pPr>
        <w:pStyle w:val="2"/>
        <w:rPr>
          <w:rFonts w:ascii="宋体"/>
          <w:sz w:val="22"/>
          <w:szCs w:val="22"/>
        </w:rPr>
      </w:pPr>
    </w:p>
    <w:p w14:paraId="46681513">
      <w:pPr>
        <w:pStyle w:val="2"/>
        <w:ind w:firstLine="560"/>
      </w:pPr>
      <w:r>
        <w:rPr>
          <w:rFonts w:hint="eastAsia" w:ascii="仿宋_GB2312" w:hAnsi="仿宋_GB2312" w:eastAsia="仿宋_GB2312" w:cs="仿宋_GB2312"/>
          <w:sz w:val="24"/>
          <w:szCs w:val="24"/>
          <w:lang w:eastAsia="zh-CN"/>
        </w:rPr>
        <w:t>日期：</w:t>
      </w:r>
    </w:p>
    <w:p w14:paraId="3FE91350">
      <w:pPr>
        <w:pStyle w:val="6"/>
        <w:spacing w:before="120" w:after="120" w:line="600" w:lineRule="exact"/>
        <w:jc w:val="left"/>
        <w:rPr>
          <w:rFonts w:hint="eastAsia" w:ascii="宋体" w:hAnsi="宋体" w:eastAsia="宋体" w:cs="宋体"/>
          <w:b/>
          <w:bCs/>
        </w:rPr>
      </w:pPr>
      <w:r>
        <w:rPr>
          <w:rFonts w:hint="eastAsia" w:ascii="宋体" w:hAnsi="宋体" w:eastAsia="宋体" w:cs="宋体"/>
          <w:b/>
          <w:bCs/>
          <w:lang w:val="en-US" w:eastAsia="zh-CN"/>
        </w:rPr>
        <w:br w:type="page"/>
      </w:r>
      <w:r>
        <w:rPr>
          <w:rFonts w:hint="eastAsia" w:ascii="宋体" w:hAnsi="宋体" w:eastAsia="宋体" w:cs="宋体"/>
          <w:b/>
          <w:bCs/>
          <w:lang w:val="en-US" w:eastAsia="zh-CN"/>
        </w:rPr>
        <w:t>三</w:t>
      </w:r>
      <w:r>
        <w:rPr>
          <w:rFonts w:hint="eastAsia" w:ascii="宋体" w:hAnsi="宋体" w:eastAsia="宋体" w:cs="宋体"/>
          <w:b/>
          <w:bCs/>
        </w:rPr>
        <w:t>、</w:t>
      </w:r>
      <w:r>
        <w:rPr>
          <w:rFonts w:hint="eastAsia" w:ascii="宋体" w:hAnsi="宋体" w:eastAsia="宋体" w:cs="宋体"/>
          <w:b/>
          <w:bCs/>
          <w:lang w:eastAsia="zh-CN"/>
        </w:rPr>
        <w:t>投标单位</w:t>
      </w:r>
      <w:r>
        <w:rPr>
          <w:rFonts w:hint="eastAsia" w:ascii="宋体" w:hAnsi="宋体" w:eastAsia="宋体" w:cs="宋体"/>
          <w:b/>
          <w:bCs/>
        </w:rPr>
        <w:t>资格证明文件</w:t>
      </w:r>
    </w:p>
    <w:p w14:paraId="3445CCFB">
      <w:pPr>
        <w:jc w:val="center"/>
        <w:rPr>
          <w:b/>
          <w:bCs/>
          <w:sz w:val="28"/>
          <w:szCs w:val="28"/>
        </w:rPr>
      </w:pPr>
    </w:p>
    <w:p w14:paraId="1853E434">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1、执业许可证、税务登记证、组织机构代码证；</w:t>
      </w:r>
    </w:p>
    <w:p w14:paraId="40EE4197">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2、法定代表人身份证明书、法定代表人授权委托书；</w:t>
      </w:r>
    </w:p>
    <w:p w14:paraId="328B2900">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3、项目负责人资质证明文件及社保证明；</w:t>
      </w:r>
    </w:p>
    <w:p w14:paraId="7B860825">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4、项目</w:t>
      </w:r>
      <w:r>
        <w:rPr>
          <w:rFonts w:hint="eastAsia" w:ascii="仿宋_GB2312" w:hAnsi="仿宋_GB2312" w:eastAsia="仿宋_GB2312" w:cs="仿宋_GB2312"/>
          <w:sz w:val="24"/>
          <w:szCs w:val="24"/>
          <w:lang w:val="en-US" w:eastAsia="zh-CN"/>
        </w:rPr>
        <w:t>服务</w:t>
      </w:r>
      <w:r>
        <w:rPr>
          <w:rFonts w:hint="eastAsia" w:ascii="仿宋_GB2312" w:hAnsi="仿宋_GB2312" w:eastAsia="仿宋_GB2312" w:cs="仿宋_GB2312"/>
          <w:sz w:val="24"/>
          <w:szCs w:val="24"/>
        </w:rPr>
        <w:t>人员资质文件及社保证明。</w:t>
      </w:r>
    </w:p>
    <w:p w14:paraId="2EE24746">
      <w:pPr>
        <w:spacing w:line="360" w:lineRule="auto"/>
        <w:rPr>
          <w:rFonts w:hint="eastAsia" w:ascii="仿宋_GB2312" w:hAnsi="仿宋_GB2312" w:eastAsia="仿宋_GB2312" w:cs="仿宋_GB2312"/>
          <w:sz w:val="24"/>
          <w:szCs w:val="24"/>
        </w:rPr>
      </w:pPr>
    </w:p>
    <w:p w14:paraId="6782B9B5">
      <w:pPr>
        <w:spacing w:line="360" w:lineRule="auto"/>
        <w:rPr>
          <w:rFonts w:hint="eastAsia" w:ascii="仿宋_GB2312" w:hAnsi="仿宋_GB2312" w:eastAsia="仿宋_GB2312" w:cs="仿宋_GB2312"/>
          <w:sz w:val="24"/>
          <w:szCs w:val="24"/>
        </w:rPr>
      </w:pPr>
    </w:p>
    <w:p w14:paraId="521FC692">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投标单位</w:t>
      </w:r>
      <w:r>
        <w:rPr>
          <w:rFonts w:hint="eastAsia" w:ascii="仿宋_GB2312" w:hAnsi="仿宋_GB2312" w:eastAsia="仿宋_GB2312" w:cs="仿宋_GB2312"/>
          <w:sz w:val="24"/>
          <w:szCs w:val="24"/>
        </w:rPr>
        <w:t>代表签字:</w:t>
      </w:r>
    </w:p>
    <w:p w14:paraId="2D328D30">
      <w:pPr>
        <w:spacing w:line="360" w:lineRule="auto"/>
        <w:rPr>
          <w:rFonts w:hint="eastAsia" w:ascii="仿宋_GB2312" w:hAnsi="仿宋_GB2312" w:eastAsia="仿宋_GB2312" w:cs="仿宋_GB2312"/>
          <w:sz w:val="24"/>
          <w:szCs w:val="24"/>
        </w:rPr>
      </w:pPr>
    </w:p>
    <w:p w14:paraId="240959B0">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单位盖章：</w:t>
      </w:r>
    </w:p>
    <w:p w14:paraId="7B218800">
      <w:pPr>
        <w:spacing w:line="360" w:lineRule="auto"/>
        <w:rPr>
          <w:rFonts w:ascii="仿宋" w:hAnsi="仿宋" w:eastAsia="仿宋"/>
          <w:kern w:val="0"/>
          <w:sz w:val="22"/>
          <w:szCs w:val="22"/>
        </w:rPr>
      </w:pPr>
    </w:p>
    <w:p w14:paraId="30203327">
      <w:pPr>
        <w:pStyle w:val="2"/>
        <w:rPr>
          <w:rFonts w:ascii="仿宋" w:hAnsi="仿宋" w:eastAsia="仿宋"/>
          <w:kern w:val="0"/>
          <w:sz w:val="22"/>
          <w:szCs w:val="22"/>
        </w:rPr>
      </w:pPr>
    </w:p>
    <w:p w14:paraId="1DB1254B">
      <w:pPr>
        <w:pStyle w:val="2"/>
        <w:ind w:firstLine="0" w:firstLineChars="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日期：</w:t>
      </w:r>
    </w:p>
    <w:p w14:paraId="0912F86B">
      <w:pPr>
        <w:pStyle w:val="2"/>
        <w:rPr>
          <w:rFonts w:ascii="仿宋" w:hAnsi="仿宋" w:eastAsia="仿宋"/>
          <w:kern w:val="0"/>
          <w:sz w:val="22"/>
          <w:szCs w:val="22"/>
        </w:rPr>
      </w:pPr>
    </w:p>
    <w:p w14:paraId="670DE393">
      <w:pPr>
        <w:rPr>
          <w:rFonts w:ascii="仿宋" w:hAnsi="仿宋" w:eastAsia="仿宋"/>
          <w:sz w:val="22"/>
          <w:szCs w:val="22"/>
        </w:rPr>
      </w:pPr>
    </w:p>
    <w:p w14:paraId="7CA56F67">
      <w:pPr>
        <w:rPr>
          <w:rFonts w:ascii="仿宋" w:hAnsi="仿宋" w:eastAsia="仿宋"/>
          <w:sz w:val="22"/>
          <w:szCs w:val="22"/>
        </w:rPr>
      </w:pPr>
    </w:p>
    <w:p w14:paraId="4465251B">
      <w:pPr>
        <w:rPr>
          <w:sz w:val="22"/>
          <w:szCs w:val="22"/>
        </w:rPr>
      </w:pPr>
    </w:p>
    <w:p w14:paraId="2E1FDB63">
      <w:pPr>
        <w:spacing w:line="360" w:lineRule="auto"/>
        <w:jc w:val="both"/>
        <w:rPr>
          <w:rFonts w:ascii="宋体"/>
          <w:b/>
          <w:bCs/>
        </w:rPr>
      </w:pPr>
      <w:r>
        <w:rPr>
          <w:rFonts w:ascii="楷体_GB2312" w:hAnsi="宋体"/>
          <w:sz w:val="22"/>
          <w:szCs w:val="22"/>
        </w:rPr>
        <w:br w:type="page"/>
      </w:r>
      <w:r>
        <w:rPr>
          <w:rFonts w:hint="eastAsia" w:ascii="楷体_GB2312" w:hAnsi="宋体" w:eastAsia="宋体"/>
          <w:b/>
          <w:bCs/>
          <w:sz w:val="24"/>
          <w:szCs w:val="24"/>
          <w:lang w:val="en-US" w:eastAsia="zh-CN"/>
        </w:rPr>
        <w:t>四</w:t>
      </w:r>
      <w:r>
        <w:rPr>
          <w:rFonts w:hint="eastAsia" w:ascii="楷体_GB2312" w:hAnsi="宋体" w:eastAsia="宋体"/>
          <w:b/>
          <w:bCs/>
          <w:sz w:val="24"/>
          <w:szCs w:val="24"/>
        </w:rPr>
        <w:t>、《政府采购投标及履约承诺函》</w:t>
      </w:r>
    </w:p>
    <w:p w14:paraId="7ECE60CB">
      <w:pPr>
        <w:jc w:val="center"/>
        <w:rPr>
          <w:b/>
          <w:bCs/>
          <w:sz w:val="24"/>
          <w:szCs w:val="24"/>
        </w:rPr>
      </w:pPr>
    </w:p>
    <w:p w14:paraId="749B5DC5">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致：深圳市南山区住房和建设局</w:t>
      </w:r>
    </w:p>
    <w:p w14:paraId="20F60BED">
      <w:pPr>
        <w:jc w:val="left"/>
        <w:rPr>
          <w:rFonts w:hint="eastAsia" w:ascii="仿宋_GB2312" w:hAnsi="仿宋_GB2312" w:eastAsia="仿宋_GB2312" w:cs="仿宋_GB2312"/>
          <w:b/>
          <w:bCs/>
          <w:sz w:val="24"/>
          <w:szCs w:val="24"/>
        </w:rPr>
      </w:pPr>
    </w:p>
    <w:p w14:paraId="113180ED">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致：</w:t>
      </w:r>
      <w:r>
        <w:rPr>
          <w:rFonts w:hint="eastAsia" w:ascii="宋体" w:hAnsi="宋体" w:eastAsia="宋体" w:cs="宋体"/>
          <w:sz w:val="24"/>
          <w:szCs w:val="24"/>
          <w:lang w:val="en-US" w:eastAsia="zh-CN"/>
        </w:rPr>
        <w:t xml:space="preserve">                    </w:t>
      </w:r>
    </w:p>
    <w:p w14:paraId="20BF2B3C">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我公司承诺：</w:t>
      </w:r>
    </w:p>
    <w:p w14:paraId="254D979F">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1.我公司本招标项目所提供的货物或服务未侵犯</w:t>
      </w:r>
      <w:r>
        <w:rPr>
          <w:rFonts w:hint="eastAsia" w:eastAsia="宋体" w:cs="宋体"/>
          <w:sz w:val="24"/>
          <w:szCs w:val="24"/>
          <w:lang w:val="en-US" w:eastAsia="zh-CN"/>
        </w:rPr>
        <w:t>他人</w:t>
      </w:r>
      <w:r>
        <w:rPr>
          <w:rFonts w:hint="eastAsia" w:ascii="宋体" w:hAnsi="宋体" w:eastAsia="宋体" w:cs="宋体"/>
          <w:sz w:val="24"/>
          <w:szCs w:val="24"/>
        </w:rPr>
        <w:t>知识产权。</w:t>
      </w:r>
    </w:p>
    <w:p w14:paraId="0FA697A5">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2.我公司参与本项目投标前三年内，在经营活动中没有重大违法记录。</w:t>
      </w:r>
    </w:p>
    <w:p w14:paraId="1F95D598">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3.我公司参与本项目政府采购活动时不存在被有关部门禁止参与政府采购活动且在有效期内的情况。</w:t>
      </w:r>
    </w:p>
    <w:p w14:paraId="510E0C59">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4.我公司具备《中华人民共和国政府采购法》第二十二条第一款的条件。</w:t>
      </w:r>
    </w:p>
    <w:p w14:paraId="7425FB03">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5.我公司未被列入失信被执行人、重大税收违法案件当事人名单、政府采购严重违法失信行为记录名单。</w:t>
      </w:r>
    </w:p>
    <w:p w14:paraId="142F6D75">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6.我公司参与该项目投标，严格遵循公平竞争的原则，不恶意串通，不妨碍其他投标人的竞争行为，不损害采购人或者其他投标人的合法权益。我公司已清楚，如违反上述要求，将作投标无效处理。</w:t>
      </w:r>
    </w:p>
    <w:p w14:paraId="3769CD52">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7.我公司如果中标，做到守信，不</w:t>
      </w:r>
      <w:r>
        <w:rPr>
          <w:rFonts w:hint="eastAsia" w:ascii="宋体" w:hAnsi="宋体" w:eastAsia="宋体" w:cs="宋体"/>
          <w:sz w:val="24"/>
          <w:szCs w:val="24"/>
          <w:lang w:val="en-US" w:eastAsia="zh-CN"/>
        </w:rPr>
        <w:t>弄虚作假</w:t>
      </w:r>
      <w:r>
        <w:rPr>
          <w:rFonts w:hint="eastAsia" w:ascii="宋体" w:hAnsi="宋体" w:eastAsia="宋体" w:cs="宋体"/>
          <w:sz w:val="24"/>
          <w:szCs w:val="24"/>
        </w:rPr>
        <w:t>，依照本项目招标文件需求内容、签署的采购合同及本公司在投标中所作的一切承诺履约。</w:t>
      </w:r>
    </w:p>
    <w:p w14:paraId="4324E34A">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5AD2BEDF">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54F3C534">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10.我公司承诺不转包、非法分包。</w:t>
      </w:r>
    </w:p>
    <w:p w14:paraId="1730EFA6">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以上承诺，如有违反，愿依照国家相关法律处理，并承担由此给采购人带来的损失。</w:t>
      </w:r>
    </w:p>
    <w:p w14:paraId="65613C4D">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投标人：                       单位地址：               </w:t>
      </w:r>
    </w:p>
    <w:p w14:paraId="28788647">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法定代表人或其委托代理人：                   </w:t>
      </w:r>
    </w:p>
    <w:p w14:paraId="73C9E1B4">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日期：    年    月    日</w:t>
      </w:r>
    </w:p>
    <w:p w14:paraId="36AA095A">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p>
    <w:p w14:paraId="57183654">
      <w:pPr>
        <w:pStyle w:val="2"/>
        <w:rPr>
          <w:rFonts w:hint="eastAsia" w:ascii="宋体" w:hAnsi="宋体" w:eastAsia="宋体" w:cs="宋体"/>
          <w:sz w:val="21"/>
          <w:szCs w:val="21"/>
          <w:lang w:val="en-US" w:eastAsia="zh-CN"/>
        </w:rPr>
      </w:pPr>
    </w:p>
    <w:p w14:paraId="0DF9D142">
      <w:pPr>
        <w:pStyle w:val="2"/>
        <w:ind w:firstLine="0" w:firstLineChars="0"/>
        <w:rPr>
          <w:rFonts w:hint="eastAsia" w:ascii="宋体" w:hAnsi="宋体" w:eastAsia="宋体" w:cs="宋体"/>
          <w:sz w:val="21"/>
          <w:szCs w:val="21"/>
          <w:lang w:val="en-US" w:eastAsia="zh-CN"/>
        </w:rPr>
      </w:pPr>
    </w:p>
    <w:p w14:paraId="7BB0ECDF">
      <w:pPr>
        <w:pStyle w:val="2"/>
        <w:ind w:firstLine="0" w:firstLineChars="0"/>
        <w:rPr>
          <w:rFonts w:hint="eastAsia" w:ascii="宋体" w:hAnsi="宋体" w:eastAsia="宋体" w:cs="宋体"/>
          <w:sz w:val="21"/>
          <w:szCs w:val="21"/>
          <w:lang w:val="en-US" w:eastAsia="zh-CN"/>
        </w:rPr>
      </w:pPr>
    </w:p>
    <w:p w14:paraId="4F5268E9">
      <w:pPr>
        <w:pStyle w:val="2"/>
        <w:ind w:firstLine="0" w:firstLineChars="0"/>
        <w:rPr>
          <w:rFonts w:hint="eastAsia" w:ascii="宋体" w:hAnsi="宋体" w:eastAsia="宋体" w:cs="宋体"/>
          <w:sz w:val="21"/>
          <w:szCs w:val="21"/>
          <w:lang w:val="en-US" w:eastAsia="zh-CN"/>
        </w:rPr>
      </w:pPr>
    </w:p>
    <w:p w14:paraId="4917E513">
      <w:pPr>
        <w:pStyle w:val="2"/>
        <w:rPr>
          <w:rFonts w:hint="eastAsia" w:ascii="宋体" w:hAnsi="宋体" w:eastAsia="宋体" w:cs="宋体"/>
          <w:sz w:val="21"/>
          <w:szCs w:val="21"/>
          <w:lang w:val="en-US" w:eastAsia="zh-CN"/>
        </w:rPr>
      </w:pPr>
    </w:p>
    <w:p w14:paraId="2E811F9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2636619C">
      <w:pPr>
        <w:keepNext w:val="0"/>
        <w:keepLines w:val="0"/>
        <w:pageBreakBefore w:val="0"/>
        <w:widowControl/>
        <w:kinsoku/>
        <w:wordWrap/>
        <w:overflowPunct/>
        <w:topLinePunct w:val="0"/>
        <w:autoSpaceDE/>
        <w:autoSpaceDN/>
        <w:bidi w:val="0"/>
        <w:adjustRightInd/>
        <w:snapToGrid/>
        <w:spacing w:line="240" w:lineRule="auto"/>
        <w:textAlignment w:val="auto"/>
        <w:rPr>
          <w:b/>
          <w:bCs/>
          <w:sz w:val="22"/>
          <w:szCs w:val="22"/>
        </w:rPr>
      </w:pPr>
      <w:r>
        <w:rPr>
          <w:rFonts w:hint="eastAsia" w:ascii="宋体" w:hAnsi="宋体" w:eastAsia="宋体" w:cs="宋体"/>
          <w:b/>
          <w:bCs/>
          <w:sz w:val="21"/>
          <w:szCs w:val="21"/>
          <w:lang w:val="en-US" w:eastAsia="zh-CN"/>
        </w:rPr>
        <w:t>备注：本函所称的“公司”由各投标单位根据自身主体性质进行修改。</w:t>
      </w:r>
    </w:p>
    <w:p w14:paraId="2F7BA782">
      <w:pPr>
        <w:keepNext/>
        <w:keepLines/>
        <w:widowControl w:val="0"/>
        <w:adjustRightInd w:val="0"/>
        <w:spacing w:before="244" w:beforeLines="50" w:after="244" w:afterLines="50"/>
        <w:textAlignment w:val="baseline"/>
        <w:outlineLvl w:val="1"/>
        <w:rPr>
          <w:rFonts w:ascii="Times New Roman" w:hAnsi="Times New Roman" w:cs="Times New Roman"/>
          <w:b/>
          <w:bCs/>
          <w:szCs w:val="20"/>
        </w:rPr>
      </w:pPr>
      <w:r>
        <w:rPr>
          <w:rFonts w:hint="eastAsia" w:ascii="Times New Roman" w:hAnsi="Times New Roman" w:cs="Times New Roman"/>
          <w:b/>
          <w:bCs/>
          <w:szCs w:val="20"/>
          <w:lang w:val="en-US" w:eastAsia="zh-CN"/>
        </w:rPr>
        <w:br w:type="page"/>
      </w:r>
      <w:r>
        <w:rPr>
          <w:rFonts w:hint="eastAsia" w:ascii="Times New Roman" w:hAnsi="Times New Roman" w:cs="Times New Roman"/>
          <w:b/>
          <w:bCs/>
          <w:szCs w:val="20"/>
          <w:lang w:val="en-US" w:eastAsia="zh-CN"/>
        </w:rPr>
        <w:t>五</w:t>
      </w:r>
      <w:r>
        <w:rPr>
          <w:rFonts w:ascii="Times New Roman" w:hAnsi="Times New Roman" w:cs="Times New Roman"/>
          <w:b/>
          <w:bCs/>
          <w:szCs w:val="20"/>
        </w:rPr>
        <w:t>、</w:t>
      </w:r>
      <w:r>
        <w:rPr>
          <w:rFonts w:hint="eastAsia" w:ascii="Times New Roman" w:hAnsi="Times New Roman" w:cs="Times New Roman"/>
          <w:b/>
          <w:bCs/>
          <w:szCs w:val="20"/>
          <w:lang w:val="en-US" w:eastAsia="zh-CN"/>
        </w:rPr>
        <w:t>项目</w:t>
      </w:r>
      <w:r>
        <w:rPr>
          <w:rFonts w:ascii="Times New Roman" w:hAnsi="Times New Roman" w:cs="Times New Roman"/>
          <w:b/>
          <w:bCs/>
          <w:szCs w:val="20"/>
        </w:rPr>
        <w:t>服务方案</w:t>
      </w:r>
    </w:p>
    <w:p w14:paraId="0731BB28">
      <w:pPr>
        <w:keepNext/>
        <w:keepLines/>
        <w:widowControl w:val="0"/>
        <w:adjustRightInd w:val="0"/>
        <w:spacing w:before="244" w:beforeLines="50" w:after="244" w:afterLines="50"/>
        <w:textAlignment w:val="baseline"/>
        <w:outlineLvl w:val="1"/>
        <w:rPr>
          <w:rFonts w:ascii="Times New Roman" w:hAnsi="Times New Roman" w:cs="Times New Roman"/>
          <w:b/>
          <w:bCs/>
          <w:szCs w:val="20"/>
        </w:rPr>
      </w:pPr>
      <w:r>
        <w:rPr>
          <w:rFonts w:hint="eastAsia" w:ascii="Times New Roman" w:hAnsi="Times New Roman" w:cs="Times New Roman"/>
          <w:b/>
          <w:bCs/>
          <w:szCs w:val="20"/>
          <w:lang w:val="en-US" w:eastAsia="zh-CN"/>
        </w:rPr>
        <w:t>六</w:t>
      </w:r>
      <w:r>
        <w:rPr>
          <w:rFonts w:ascii="Times New Roman" w:hAnsi="Times New Roman" w:cs="Times New Roman"/>
          <w:b/>
          <w:bCs/>
          <w:szCs w:val="20"/>
        </w:rPr>
        <w:t>、项目重点难点分析、应对措施及相关的合理化建议（格式自定）</w:t>
      </w:r>
    </w:p>
    <w:p w14:paraId="235B1A01">
      <w:pPr>
        <w:keepNext/>
        <w:keepLines/>
        <w:widowControl w:val="0"/>
        <w:adjustRightInd w:val="0"/>
        <w:spacing w:before="244" w:beforeLines="50" w:after="244" w:afterLines="50"/>
        <w:textAlignment w:val="baseline"/>
        <w:outlineLvl w:val="1"/>
        <w:rPr>
          <w:rFonts w:ascii="Times New Roman" w:hAnsi="Times New Roman" w:cs="Times New Roman"/>
          <w:b/>
          <w:bCs/>
          <w:szCs w:val="20"/>
        </w:rPr>
      </w:pPr>
      <w:r>
        <w:rPr>
          <w:rFonts w:hint="eastAsia" w:ascii="Times New Roman" w:hAnsi="Times New Roman" w:cs="Times New Roman"/>
          <w:b/>
          <w:bCs/>
          <w:szCs w:val="20"/>
          <w:lang w:val="en-US" w:eastAsia="zh-CN"/>
        </w:rPr>
        <w:t>七</w:t>
      </w:r>
      <w:r>
        <w:rPr>
          <w:rFonts w:ascii="Times New Roman" w:hAnsi="Times New Roman" w:cs="Times New Roman"/>
          <w:b/>
          <w:bCs/>
          <w:szCs w:val="20"/>
        </w:rPr>
        <w:t>、质量（完成时间、安全、环保）保障措施及方案（格式自定）</w:t>
      </w:r>
    </w:p>
    <w:p w14:paraId="76EC5337">
      <w:pPr>
        <w:keepNext/>
        <w:keepLines/>
        <w:adjustRightInd w:val="0"/>
        <w:snapToGrid w:val="0"/>
        <w:spacing w:before="244" w:beforeLines="50" w:after="244" w:afterLines="50" w:line="240" w:lineRule="auto"/>
        <w:textAlignment w:val="baseline"/>
        <w:outlineLvl w:val="1"/>
        <w:rPr>
          <w:rFonts w:hint="default" w:ascii="Times New Roman" w:hAnsi="Times New Roman" w:eastAsia="宋体" w:cs="Times New Roman"/>
          <w:b/>
          <w:bCs/>
          <w:sz w:val="21"/>
          <w:szCs w:val="20"/>
          <w:lang w:val="en-US" w:eastAsia="zh-CN"/>
        </w:rPr>
      </w:pPr>
      <w:r>
        <w:rPr>
          <w:rFonts w:hint="default" w:ascii="Times New Roman" w:hAnsi="Times New Roman" w:eastAsia="宋体" w:cs="Times New Roman"/>
          <w:b/>
          <w:bCs/>
          <w:szCs w:val="20"/>
          <w:lang w:val="en-US" w:eastAsia="zh-CN"/>
        </w:rPr>
        <w:t>八、</w:t>
      </w:r>
      <w:r>
        <w:rPr>
          <w:rFonts w:hint="default" w:ascii="Times New Roman" w:hAnsi="Times New Roman" w:eastAsia="宋体" w:cs="Times New Roman"/>
          <w:b/>
          <w:bCs/>
          <w:sz w:val="21"/>
          <w:szCs w:val="20"/>
          <w:lang w:val="en-US" w:eastAsia="zh-CN"/>
        </w:rPr>
        <w:t>供应商基本情况表</w:t>
      </w:r>
    </w:p>
    <w:p w14:paraId="7B8E6B6A">
      <w:pPr>
        <w:pStyle w:val="4"/>
        <w:snapToGrid w:val="0"/>
        <w:spacing w:before="0" w:after="0" w:line="240" w:lineRule="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14:paraId="513714B4">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6"/>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568CD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296B960">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14:paraId="2BEE857E">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1A3FD6B7">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7613B989">
            <w:pPr>
              <w:jc w:val="center"/>
              <w:rPr>
                <w:rFonts w:hint="eastAsia" w:ascii="方正仿宋_GBK" w:hAnsi="方正仿宋_GBK" w:eastAsia="方正仿宋_GBK" w:cs="方正仿宋_GBK"/>
                <w:sz w:val="24"/>
                <w:szCs w:val="24"/>
                <w:vertAlign w:val="baseline"/>
                <w:lang w:val="en-US" w:eastAsia="zh-CN"/>
              </w:rPr>
            </w:pPr>
          </w:p>
        </w:tc>
      </w:tr>
      <w:tr w14:paraId="112E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1958EB6F">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14:paraId="0FB4C722">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7E2195E9">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5D99FC5F">
            <w:pPr>
              <w:jc w:val="center"/>
              <w:rPr>
                <w:rFonts w:hint="eastAsia" w:ascii="方正仿宋_GBK" w:hAnsi="方正仿宋_GBK" w:eastAsia="方正仿宋_GBK" w:cs="方正仿宋_GBK"/>
                <w:sz w:val="24"/>
                <w:szCs w:val="24"/>
                <w:vertAlign w:val="baseline"/>
                <w:lang w:val="en-US" w:eastAsia="zh-CN"/>
              </w:rPr>
            </w:pPr>
          </w:p>
        </w:tc>
      </w:tr>
      <w:tr w14:paraId="4846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5A7AB3A7">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0C83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1483C58D">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14:paraId="6BF2845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14:paraId="5E8AEF66">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14:paraId="22F1B0FA">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37A6B95C">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60AFD23F">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144AAA86">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1A747108">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75D15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0071722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3EA24DD1">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617D49E3">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3CDCBFC7">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27FC172">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2F12D13">
            <w:pPr>
              <w:jc w:val="center"/>
              <w:rPr>
                <w:rFonts w:hint="eastAsia" w:ascii="方正仿宋_GBK" w:hAnsi="方正仿宋_GBK" w:eastAsia="方正仿宋_GBK" w:cs="方正仿宋_GBK"/>
                <w:sz w:val="24"/>
                <w:szCs w:val="24"/>
                <w:vertAlign w:val="baseline"/>
                <w:lang w:val="en-US" w:eastAsia="zh-CN"/>
              </w:rPr>
            </w:pPr>
          </w:p>
        </w:tc>
      </w:tr>
      <w:tr w14:paraId="20EB0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D9EED0F">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1E003AEF">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67526887">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37AB1DAF">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EF711A7">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4E7019F2">
            <w:pPr>
              <w:jc w:val="center"/>
              <w:rPr>
                <w:rFonts w:hint="eastAsia" w:ascii="方正仿宋_GBK" w:hAnsi="方正仿宋_GBK" w:eastAsia="方正仿宋_GBK" w:cs="方正仿宋_GBK"/>
                <w:sz w:val="24"/>
                <w:szCs w:val="24"/>
                <w:vertAlign w:val="baseline"/>
                <w:lang w:val="en-US" w:eastAsia="zh-CN"/>
              </w:rPr>
            </w:pPr>
          </w:p>
        </w:tc>
      </w:tr>
      <w:tr w14:paraId="6C3F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597D324D">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14:paraId="598F0D7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14:paraId="263A1110">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14:paraId="0CCFBC6B">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641455E9">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6C67E457">
            <w:pPr>
              <w:jc w:val="center"/>
              <w:rPr>
                <w:rFonts w:hint="eastAsia" w:ascii="方正仿宋_GBK" w:hAnsi="方正仿宋_GBK" w:eastAsia="方正仿宋_GBK" w:cs="方正仿宋_GBK"/>
                <w:sz w:val="24"/>
                <w:szCs w:val="24"/>
                <w:vertAlign w:val="baseline"/>
                <w:lang w:val="en-US" w:eastAsia="zh-CN"/>
              </w:rPr>
            </w:pPr>
          </w:p>
        </w:tc>
      </w:tr>
      <w:tr w14:paraId="1C48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7A4C54D2">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14:paraId="76829ED6">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14:paraId="5E87F663">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784F2D15">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3C06C85E">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34AE0DEA">
            <w:pPr>
              <w:jc w:val="center"/>
              <w:rPr>
                <w:rFonts w:hint="eastAsia" w:ascii="方正仿宋_GBK" w:hAnsi="方正仿宋_GBK" w:eastAsia="方正仿宋_GBK" w:cs="方正仿宋_GBK"/>
                <w:sz w:val="24"/>
                <w:szCs w:val="24"/>
                <w:vertAlign w:val="baseline"/>
                <w:lang w:val="en-US" w:eastAsia="zh-CN"/>
              </w:rPr>
            </w:pPr>
          </w:p>
        </w:tc>
      </w:tr>
      <w:tr w14:paraId="3AE11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41E7192A">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14:paraId="5D924AA5">
            <w:pPr>
              <w:pStyle w:val="2"/>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14:paraId="46A59B53">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3BA0023E">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70C1CEDC">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6DEE37A8">
            <w:pPr>
              <w:jc w:val="center"/>
              <w:rPr>
                <w:rFonts w:hint="eastAsia" w:ascii="方正仿宋_GBK" w:hAnsi="方正仿宋_GBK" w:eastAsia="方正仿宋_GBK" w:cs="方正仿宋_GBK"/>
                <w:sz w:val="24"/>
                <w:szCs w:val="24"/>
                <w:vertAlign w:val="baseline"/>
                <w:lang w:val="en-US" w:eastAsia="zh-CN"/>
              </w:rPr>
            </w:pPr>
          </w:p>
        </w:tc>
      </w:tr>
      <w:tr w14:paraId="39FD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536EB7EA">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14:paraId="6322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138C37EA">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5A358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724E01D7">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14:paraId="39187DA5">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14:paraId="08626AB8">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5A40B546">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1931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2D9F39B4">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2F103D94">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5A3C6E3D">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5F630AF8">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383CB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6C7FDE0F">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43FC5E3C">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3516D54E">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001185E6">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05D9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44836EB9">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22F33FB2"/>
    <w:p w14:paraId="32DBF7FF">
      <w:pPr>
        <w:keepNext/>
        <w:keepLines/>
        <w:widowControl w:val="0"/>
        <w:adjustRightInd w:val="0"/>
        <w:spacing w:before="244" w:beforeLines="50" w:after="244" w:afterLines="50"/>
        <w:textAlignment w:val="baseline"/>
        <w:outlineLvl w:val="1"/>
        <w:rPr>
          <w:rFonts w:hint="eastAsia" w:ascii="Times New Roman" w:hAnsi="Times New Roman" w:cs="Times New Roman"/>
          <w:b/>
          <w:bCs/>
          <w:szCs w:val="20"/>
          <w:lang w:val="en-US" w:eastAsia="zh-CN"/>
        </w:rPr>
      </w:pPr>
    </w:p>
    <w:p w14:paraId="7024FB77">
      <w:pPr>
        <w:keepNext/>
        <w:keepLines/>
        <w:widowControl w:val="0"/>
        <w:adjustRightInd w:val="0"/>
        <w:spacing w:before="244" w:beforeLines="50" w:after="244" w:afterLines="50"/>
        <w:textAlignment w:val="baseline"/>
        <w:outlineLvl w:val="1"/>
        <w:rPr>
          <w:rFonts w:hint="eastAsia" w:ascii="黑体" w:hAnsi="黑体" w:eastAsia="黑体"/>
          <w:sz w:val="40"/>
          <w:szCs w:val="40"/>
        </w:rPr>
      </w:pPr>
      <w:r>
        <w:rPr>
          <w:rFonts w:hint="eastAsia" w:ascii="Times New Roman" w:hAnsi="Times New Roman" w:cs="Times New Roman"/>
          <w:b/>
          <w:bCs/>
          <w:szCs w:val="20"/>
          <w:lang w:val="en-US" w:eastAsia="zh-CN"/>
        </w:rPr>
        <w:t>九</w:t>
      </w:r>
      <w:r>
        <w:rPr>
          <w:rFonts w:hint="eastAsia" w:ascii="Times New Roman" w:hAnsi="Times New Roman" w:cs="Times New Roman"/>
          <w:b/>
          <w:bCs/>
          <w:szCs w:val="20"/>
        </w:rPr>
        <w:t>、</w:t>
      </w:r>
      <w:r>
        <w:rPr>
          <w:rFonts w:ascii="Times New Roman" w:hAnsi="Times New Roman" w:cs="Times New Roman"/>
          <w:b/>
          <w:bCs/>
          <w:szCs w:val="20"/>
        </w:rPr>
        <w:t>其他招标文件要求的资料或投标人认为需要补充的资料（格式自定）</w:t>
      </w:r>
      <w:bookmarkStart w:id="5" w:name="bt合同的授予"/>
      <w:bookmarkEnd w:id="5"/>
    </w:p>
    <w:p w14:paraId="413ACB3A">
      <w:pPr>
        <w:rPr>
          <w:rFonts w:hint="eastAsia" w:ascii="黑体" w:hAnsi="黑体" w:eastAsia="黑体"/>
          <w:sz w:val="32"/>
          <w:szCs w:val="32"/>
          <w:lang w:eastAsia="zh-CN"/>
        </w:rPr>
      </w:pPr>
    </w:p>
    <w:p w14:paraId="3ECD78E1">
      <w:pPr>
        <w:pStyle w:val="14"/>
        <w:rPr>
          <w:rFonts w:hint="eastAsia" w:ascii="黑体" w:hAnsi="黑体" w:eastAsia="黑体"/>
          <w:sz w:val="32"/>
          <w:szCs w:val="32"/>
          <w:lang w:eastAsia="zh-CN"/>
        </w:rPr>
      </w:pPr>
    </w:p>
    <w:p w14:paraId="6889E32A">
      <w:pPr>
        <w:pStyle w:val="14"/>
        <w:rPr>
          <w:rFonts w:hint="eastAsia" w:ascii="黑体" w:hAnsi="黑体" w:eastAsia="黑体"/>
          <w:sz w:val="32"/>
          <w:szCs w:val="32"/>
          <w:lang w:eastAsia="zh-CN"/>
        </w:rPr>
      </w:pPr>
    </w:p>
    <w:p w14:paraId="4A9F3BA6">
      <w:pPr>
        <w:pStyle w:val="14"/>
        <w:rPr>
          <w:rFonts w:hint="eastAsia" w:ascii="黑体" w:hAnsi="黑体" w:eastAsia="黑体"/>
          <w:sz w:val="32"/>
          <w:szCs w:val="32"/>
          <w:lang w:eastAsia="zh-CN"/>
        </w:rPr>
      </w:pPr>
    </w:p>
    <w:p w14:paraId="44835C18">
      <w:pPr>
        <w:pStyle w:val="14"/>
        <w:rPr>
          <w:rFonts w:hint="eastAsia" w:ascii="黑体" w:hAnsi="黑体" w:eastAsia="黑体"/>
          <w:sz w:val="32"/>
          <w:szCs w:val="32"/>
          <w:lang w:eastAsia="zh-CN"/>
        </w:rPr>
      </w:pPr>
    </w:p>
    <w:p w14:paraId="5C204504">
      <w:pPr>
        <w:pStyle w:val="14"/>
        <w:rPr>
          <w:rFonts w:hint="eastAsia" w:ascii="黑体" w:hAnsi="黑体" w:eastAsia="黑体"/>
          <w:sz w:val="32"/>
          <w:szCs w:val="32"/>
          <w:lang w:eastAsia="zh-CN"/>
        </w:rPr>
      </w:pPr>
    </w:p>
    <w:p w14:paraId="1D9B83B1">
      <w:pPr>
        <w:pStyle w:val="14"/>
        <w:rPr>
          <w:rFonts w:hint="eastAsia" w:ascii="黑体" w:hAnsi="黑体" w:eastAsia="黑体"/>
          <w:sz w:val="32"/>
          <w:szCs w:val="32"/>
          <w:lang w:eastAsia="zh-CN"/>
        </w:rPr>
      </w:pPr>
    </w:p>
    <w:p w14:paraId="00121B0B">
      <w:pPr>
        <w:pStyle w:val="14"/>
        <w:rPr>
          <w:rFonts w:hint="eastAsia" w:ascii="黑体" w:hAnsi="黑体" w:eastAsia="黑体"/>
          <w:sz w:val="32"/>
          <w:szCs w:val="32"/>
          <w:lang w:eastAsia="zh-CN"/>
        </w:rPr>
      </w:pPr>
    </w:p>
    <w:p w14:paraId="64E39A56">
      <w:pPr>
        <w:pStyle w:val="14"/>
        <w:rPr>
          <w:rFonts w:hint="eastAsia" w:ascii="黑体" w:hAnsi="黑体" w:eastAsia="黑体"/>
          <w:sz w:val="32"/>
          <w:szCs w:val="32"/>
          <w:lang w:eastAsia="zh-CN"/>
        </w:rPr>
      </w:pPr>
    </w:p>
    <w:p w14:paraId="07524A9B">
      <w:pPr>
        <w:pStyle w:val="14"/>
        <w:rPr>
          <w:rFonts w:hint="eastAsia" w:ascii="黑体" w:hAnsi="黑体" w:eastAsia="黑体"/>
          <w:sz w:val="32"/>
          <w:szCs w:val="32"/>
          <w:lang w:eastAsia="zh-CN"/>
        </w:rPr>
      </w:pPr>
    </w:p>
    <w:p w14:paraId="76623BB7">
      <w:pPr>
        <w:pStyle w:val="14"/>
        <w:rPr>
          <w:rFonts w:hint="eastAsia" w:ascii="黑体" w:hAnsi="黑体" w:eastAsia="黑体"/>
          <w:sz w:val="32"/>
          <w:szCs w:val="32"/>
          <w:lang w:eastAsia="zh-CN"/>
        </w:rPr>
      </w:pPr>
    </w:p>
    <w:p w14:paraId="38ED5344">
      <w:pPr>
        <w:pStyle w:val="14"/>
        <w:rPr>
          <w:rFonts w:hint="eastAsia" w:ascii="黑体" w:hAnsi="黑体" w:eastAsia="黑体"/>
          <w:sz w:val="32"/>
          <w:szCs w:val="32"/>
          <w:lang w:eastAsia="zh-CN"/>
        </w:rPr>
      </w:pPr>
    </w:p>
    <w:p w14:paraId="36E10F72">
      <w:pPr>
        <w:pStyle w:val="14"/>
        <w:rPr>
          <w:rFonts w:hint="eastAsia" w:ascii="黑体" w:hAnsi="黑体" w:eastAsia="黑体"/>
          <w:sz w:val="32"/>
          <w:szCs w:val="32"/>
          <w:lang w:eastAsia="zh-CN"/>
        </w:rPr>
      </w:pPr>
    </w:p>
    <w:p w14:paraId="47C7A97E">
      <w:pPr>
        <w:pStyle w:val="14"/>
        <w:rPr>
          <w:rFonts w:hint="eastAsia" w:ascii="黑体" w:hAnsi="黑体" w:eastAsia="黑体"/>
          <w:sz w:val="32"/>
          <w:szCs w:val="32"/>
          <w:lang w:eastAsia="zh-CN"/>
        </w:rPr>
      </w:pPr>
    </w:p>
    <w:p w14:paraId="41BE87B0">
      <w:pPr>
        <w:pStyle w:val="14"/>
        <w:rPr>
          <w:rFonts w:hint="eastAsia" w:ascii="黑体" w:hAnsi="黑体" w:eastAsia="黑体"/>
          <w:sz w:val="32"/>
          <w:szCs w:val="32"/>
          <w:lang w:eastAsia="zh-CN"/>
        </w:rPr>
      </w:pPr>
    </w:p>
    <w:p w14:paraId="0A07578C">
      <w:pPr>
        <w:pStyle w:val="14"/>
        <w:rPr>
          <w:rFonts w:hint="eastAsia" w:ascii="黑体" w:hAnsi="黑体" w:eastAsia="黑体"/>
          <w:sz w:val="32"/>
          <w:szCs w:val="32"/>
          <w:lang w:eastAsia="zh-CN"/>
        </w:rPr>
      </w:pPr>
    </w:p>
    <w:p w14:paraId="591089C7">
      <w:pPr>
        <w:pStyle w:val="14"/>
        <w:rPr>
          <w:rFonts w:hint="eastAsia" w:ascii="黑体" w:hAnsi="黑体" w:eastAsia="黑体"/>
          <w:sz w:val="32"/>
          <w:szCs w:val="32"/>
          <w:lang w:eastAsia="zh-CN"/>
        </w:rPr>
      </w:pPr>
    </w:p>
    <w:p w14:paraId="166A7020">
      <w:pPr>
        <w:pStyle w:val="14"/>
        <w:rPr>
          <w:rFonts w:hint="eastAsia" w:ascii="黑体" w:hAnsi="黑体" w:eastAsia="黑体"/>
          <w:sz w:val="32"/>
          <w:szCs w:val="32"/>
          <w:lang w:eastAsia="zh-CN"/>
        </w:rPr>
      </w:pPr>
    </w:p>
    <w:p w14:paraId="15EFE247">
      <w:pPr>
        <w:pStyle w:val="14"/>
        <w:rPr>
          <w:rFonts w:hint="eastAsia" w:ascii="黑体" w:hAnsi="黑体" w:eastAsia="黑体"/>
          <w:sz w:val="32"/>
          <w:szCs w:val="32"/>
          <w:lang w:eastAsia="zh-CN"/>
        </w:rPr>
      </w:pPr>
    </w:p>
    <w:p w14:paraId="7D287593">
      <w:pPr>
        <w:jc w:val="center"/>
        <w:rPr>
          <w:rFonts w:hint="eastAsia" w:ascii="黑体" w:hAnsi="黑体" w:eastAsia="黑体" w:cs="黑体"/>
          <w:b w:val="0"/>
          <w:bCs/>
          <w:sz w:val="44"/>
          <w:szCs w:val="44"/>
          <w:lang w:eastAsia="zh-CN"/>
        </w:rPr>
      </w:pPr>
      <w:r>
        <w:rPr>
          <w:rFonts w:hint="eastAsia" w:ascii="黑体" w:hAnsi="黑体" w:eastAsia="黑体" w:cs="黑体"/>
          <w:b w:val="0"/>
          <w:bCs/>
          <w:sz w:val="44"/>
          <w:szCs w:val="44"/>
          <w:lang w:eastAsia="zh-CN"/>
        </w:rPr>
        <w:t>第三部分</w:t>
      </w:r>
    </w:p>
    <w:p w14:paraId="44AAFD38">
      <w:pPr>
        <w:spacing w:before="156" w:beforeLines="50" w:after="156" w:afterLines="50" w:line="500" w:lineRule="exact"/>
        <w:jc w:val="center"/>
        <w:outlineLvl w:val="0"/>
        <w:rPr>
          <w:rFonts w:hint="default" w:ascii="黑体" w:hAnsi="黑体" w:eastAsia="黑体"/>
          <w:sz w:val="32"/>
          <w:szCs w:val="32"/>
          <w:lang w:val="en-US" w:eastAsia="zh-CN"/>
        </w:rPr>
      </w:pPr>
      <w:r>
        <w:rPr>
          <w:rFonts w:hint="eastAsia" w:ascii="黑体" w:hAnsi="黑体" w:eastAsia="黑体"/>
          <w:sz w:val="32"/>
          <w:szCs w:val="32"/>
          <w:lang w:val="en-US" w:eastAsia="zh-CN"/>
        </w:rPr>
        <w:t>合同条款及格式</w:t>
      </w:r>
    </w:p>
    <w:p w14:paraId="418BCE3A">
      <w:pPr>
        <w:adjustRightInd w:val="0"/>
        <w:snapToGrid w:val="0"/>
        <w:spacing w:line="560" w:lineRule="exact"/>
        <w:ind w:firstLine="640"/>
        <w:rPr>
          <w:rFonts w:hint="eastAsia" w:ascii="仿宋_GB2312" w:eastAsia="仿宋_GB2312"/>
          <w:sz w:val="32"/>
          <w:szCs w:val="32"/>
        </w:rPr>
      </w:pPr>
      <w:r>
        <w:rPr>
          <w:rFonts w:hint="eastAsia" w:ascii="仿宋_GB2312" w:eastAsia="仿宋_GB2312"/>
          <w:sz w:val="32"/>
          <w:szCs w:val="32"/>
        </w:rPr>
        <w:t xml:space="preserve">合同编号： </w:t>
      </w:r>
    </w:p>
    <w:p w14:paraId="26B03F58">
      <w:pPr>
        <w:bidi w:val="0"/>
        <w:rPr>
          <w:rFonts w:hint="eastAsia"/>
        </w:rPr>
      </w:pPr>
    </w:p>
    <w:p w14:paraId="3FB6BB21">
      <w:pPr>
        <w:adjustRightInd w:val="0"/>
        <w:snapToGrid w:val="0"/>
        <w:spacing w:line="700" w:lineRule="exact"/>
        <w:ind w:firstLine="560"/>
        <w:jc w:val="center"/>
      </w:pPr>
    </w:p>
    <w:p w14:paraId="6B62CD42">
      <w:pPr>
        <w:adjustRightInd w:val="0"/>
        <w:snapToGrid w:val="0"/>
        <w:spacing w:line="560" w:lineRule="exact"/>
        <w:ind w:firstLine="0" w:firstLineChars="0"/>
        <w:jc w:val="center"/>
        <w:rPr>
          <w:rFonts w:hint="eastAsia" w:ascii="宋体" w:hAnsi="宋体" w:cs="宋体"/>
          <w:bCs/>
          <w:sz w:val="44"/>
          <w:szCs w:val="44"/>
          <w:highlight w:val="none"/>
        </w:rPr>
      </w:pPr>
      <w:r>
        <w:rPr>
          <w:rFonts w:hint="eastAsia" w:ascii="宋体" w:hAnsi="宋体" w:cs="宋体"/>
          <w:bCs/>
          <w:sz w:val="44"/>
          <w:szCs w:val="44"/>
          <w:highlight w:val="none"/>
        </w:rPr>
        <w:t>深圳市南山区住房和建设局202</w:t>
      </w:r>
      <w:r>
        <w:rPr>
          <w:rFonts w:hint="eastAsia" w:ascii="宋体" w:hAnsi="宋体" w:cs="宋体"/>
          <w:bCs/>
          <w:sz w:val="44"/>
          <w:szCs w:val="44"/>
          <w:highlight w:val="none"/>
          <w:lang w:val="en-US" w:eastAsia="zh-CN"/>
        </w:rPr>
        <w:t>5</w:t>
      </w:r>
      <w:r>
        <w:rPr>
          <w:rFonts w:hint="eastAsia" w:ascii="宋体" w:hAnsi="宋体" w:cs="宋体"/>
          <w:bCs/>
          <w:sz w:val="44"/>
          <w:szCs w:val="44"/>
          <w:highlight w:val="none"/>
        </w:rPr>
        <w:t>年南山区</w:t>
      </w:r>
    </w:p>
    <w:p w14:paraId="7825E792">
      <w:pPr>
        <w:adjustRightInd w:val="0"/>
        <w:snapToGrid w:val="0"/>
        <w:spacing w:line="560" w:lineRule="exact"/>
        <w:ind w:firstLine="0" w:firstLineChars="0"/>
        <w:jc w:val="center"/>
        <w:rPr>
          <w:rFonts w:hint="eastAsia" w:ascii="宋体" w:hAnsi="宋体" w:cs="宋体"/>
          <w:bCs/>
          <w:sz w:val="44"/>
          <w:szCs w:val="44"/>
          <w:highlight w:val="none"/>
        </w:rPr>
      </w:pPr>
      <w:r>
        <w:rPr>
          <w:rFonts w:hint="eastAsia" w:ascii="宋体" w:hAnsi="宋体" w:cs="宋体"/>
          <w:bCs/>
          <w:sz w:val="44"/>
          <w:szCs w:val="44"/>
          <w:highlight w:val="none"/>
        </w:rPr>
        <w:t>建筑施工安全教育和小散工程</w:t>
      </w:r>
    </w:p>
    <w:p w14:paraId="111733C2">
      <w:pPr>
        <w:adjustRightInd w:val="0"/>
        <w:snapToGrid w:val="0"/>
        <w:spacing w:line="560" w:lineRule="exact"/>
        <w:ind w:firstLine="0" w:firstLineChars="0"/>
        <w:jc w:val="center"/>
        <w:rPr>
          <w:rFonts w:hint="eastAsia" w:ascii="宋体" w:hAnsi="宋体" w:cs="宋体"/>
          <w:bCs/>
          <w:sz w:val="44"/>
          <w:szCs w:val="44"/>
        </w:rPr>
      </w:pPr>
      <w:r>
        <w:rPr>
          <w:rFonts w:hint="eastAsia" w:ascii="宋体" w:hAnsi="宋体" w:cs="宋体"/>
          <w:bCs/>
          <w:sz w:val="44"/>
          <w:szCs w:val="44"/>
        </w:rPr>
        <w:t>安全</w:t>
      </w:r>
      <w:r>
        <w:rPr>
          <w:rFonts w:hint="eastAsia" w:ascii="宋体" w:hAnsi="宋体" w:cs="宋体"/>
          <w:bCs/>
          <w:sz w:val="44"/>
          <w:szCs w:val="44"/>
          <w:lang w:eastAsia="zh-CN"/>
        </w:rPr>
        <w:t>培训</w:t>
      </w:r>
      <w:r>
        <w:rPr>
          <w:rFonts w:hint="eastAsia" w:ascii="宋体" w:hAnsi="宋体" w:cs="宋体"/>
          <w:bCs/>
          <w:sz w:val="44"/>
          <w:szCs w:val="44"/>
        </w:rPr>
        <w:t>工作</w:t>
      </w:r>
    </w:p>
    <w:p w14:paraId="69115104">
      <w:pPr>
        <w:adjustRightInd w:val="0"/>
        <w:snapToGrid w:val="0"/>
        <w:spacing w:line="800" w:lineRule="exact"/>
        <w:ind w:firstLine="0" w:firstLineChars="0"/>
        <w:jc w:val="center"/>
        <w:rPr>
          <w:rFonts w:hint="eastAsia" w:ascii="黑体" w:eastAsia="黑体"/>
          <w:bCs/>
          <w:sz w:val="84"/>
          <w:szCs w:val="84"/>
        </w:rPr>
      </w:pPr>
    </w:p>
    <w:p w14:paraId="00379887">
      <w:pPr>
        <w:adjustRightInd w:val="0"/>
        <w:snapToGrid w:val="0"/>
        <w:spacing w:line="800" w:lineRule="exact"/>
        <w:ind w:firstLine="0" w:firstLineChars="0"/>
        <w:jc w:val="center"/>
        <w:rPr>
          <w:rFonts w:hint="eastAsia" w:ascii="黑体" w:eastAsia="黑体"/>
          <w:bCs/>
          <w:sz w:val="84"/>
          <w:szCs w:val="84"/>
        </w:rPr>
      </w:pPr>
      <w:r>
        <w:rPr>
          <w:rFonts w:hint="eastAsia" w:ascii="黑体" w:eastAsia="黑体"/>
          <w:bCs/>
          <w:sz w:val="84"/>
          <w:szCs w:val="84"/>
        </w:rPr>
        <w:t>合同书</w:t>
      </w:r>
    </w:p>
    <w:p w14:paraId="132DA87C">
      <w:pPr>
        <w:adjustRightInd w:val="0"/>
        <w:snapToGrid w:val="0"/>
        <w:spacing w:line="560" w:lineRule="exact"/>
        <w:ind w:firstLine="0" w:firstLineChars="0"/>
        <w:jc w:val="center"/>
        <w:rPr>
          <w:rFonts w:hint="eastAsia"/>
          <w:b/>
          <w:sz w:val="48"/>
          <w:szCs w:val="48"/>
        </w:rPr>
      </w:pPr>
    </w:p>
    <w:p w14:paraId="6ACA18AE">
      <w:pPr>
        <w:adjustRightInd w:val="0"/>
        <w:snapToGrid w:val="0"/>
        <w:spacing w:line="560" w:lineRule="exact"/>
        <w:ind w:firstLine="0" w:firstLineChars="0"/>
        <w:jc w:val="center"/>
        <w:rPr>
          <w:rFonts w:hint="eastAsia"/>
          <w:b/>
          <w:sz w:val="48"/>
          <w:szCs w:val="48"/>
        </w:rPr>
      </w:pPr>
    </w:p>
    <w:p w14:paraId="16BB7A0C">
      <w:pPr>
        <w:adjustRightInd w:val="0"/>
        <w:snapToGrid w:val="0"/>
        <w:spacing w:line="560" w:lineRule="exact"/>
        <w:ind w:firstLine="0" w:firstLineChars="0"/>
        <w:jc w:val="center"/>
        <w:rPr>
          <w:rFonts w:hint="eastAsia"/>
          <w:b/>
          <w:sz w:val="48"/>
          <w:szCs w:val="48"/>
        </w:rPr>
      </w:pPr>
    </w:p>
    <w:p w14:paraId="4D49F3EE">
      <w:pPr>
        <w:adjustRightInd w:val="0"/>
        <w:snapToGrid w:val="0"/>
        <w:spacing w:line="560" w:lineRule="exact"/>
        <w:ind w:firstLine="0" w:firstLineChars="0"/>
        <w:jc w:val="center"/>
        <w:rPr>
          <w:rFonts w:hint="eastAsia"/>
          <w:b/>
          <w:sz w:val="48"/>
          <w:szCs w:val="48"/>
        </w:rPr>
      </w:pPr>
    </w:p>
    <w:p w14:paraId="0B8A1859">
      <w:pPr>
        <w:adjustRightInd w:val="0"/>
        <w:snapToGrid w:val="0"/>
        <w:spacing w:line="560" w:lineRule="exact"/>
        <w:ind w:left="2520" w:hanging="2519" w:hangingChars="430"/>
        <w:rPr>
          <w:rFonts w:hint="eastAsia" w:ascii="仿宋_GB2312" w:eastAsia="仿宋_GB2312"/>
          <w:sz w:val="32"/>
          <w:szCs w:val="32"/>
        </w:rPr>
      </w:pPr>
      <w:r>
        <w:rPr>
          <w:rFonts w:hint="eastAsia" w:ascii="仿宋_GB2312" w:eastAsia="仿宋_GB2312"/>
          <w:spacing w:val="133"/>
          <w:kern w:val="0"/>
          <w:sz w:val="32"/>
          <w:szCs w:val="32"/>
        </w:rPr>
        <w:t>项目名</w:t>
      </w:r>
      <w:r>
        <w:rPr>
          <w:rFonts w:hint="eastAsia" w:ascii="仿宋_GB2312" w:eastAsia="仿宋_GB2312"/>
          <w:spacing w:val="1"/>
          <w:kern w:val="0"/>
          <w:sz w:val="32"/>
          <w:szCs w:val="32"/>
        </w:rPr>
        <w:t>称</w:t>
      </w:r>
      <w:r>
        <w:rPr>
          <w:rFonts w:hint="eastAsia" w:ascii="仿宋_GB2312" w:eastAsia="仿宋_GB2312"/>
          <w:sz w:val="32"/>
          <w:szCs w:val="32"/>
        </w:rPr>
        <w:t xml:space="preserve">： </w:t>
      </w:r>
      <w:r>
        <w:rPr>
          <w:rFonts w:hint="eastAsia" w:ascii="仿宋_GB2312" w:eastAsia="仿宋_GB2312"/>
          <w:sz w:val="32"/>
          <w:szCs w:val="32"/>
          <w:highlight w:val="none"/>
          <w:u w:val="single"/>
        </w:rPr>
        <w:t>202</w:t>
      </w:r>
      <w:r>
        <w:rPr>
          <w:rFonts w:hint="eastAsia" w:ascii="仿宋_GB2312" w:eastAsia="仿宋_GB2312"/>
          <w:sz w:val="32"/>
          <w:szCs w:val="32"/>
          <w:highlight w:val="none"/>
          <w:u w:val="single"/>
          <w:lang w:val="en-US" w:eastAsia="zh-CN"/>
        </w:rPr>
        <w:t>5</w:t>
      </w:r>
      <w:r>
        <w:rPr>
          <w:rFonts w:hint="eastAsia" w:ascii="仿宋_GB2312" w:eastAsia="仿宋_GB2312"/>
          <w:sz w:val="32"/>
          <w:szCs w:val="32"/>
          <w:highlight w:val="none"/>
          <w:u w:val="single"/>
        </w:rPr>
        <w:t>年南山区建筑施工安全教育和小散工程安全</w:t>
      </w:r>
      <w:r>
        <w:rPr>
          <w:rFonts w:hint="eastAsia" w:ascii="仿宋_GB2312" w:eastAsia="仿宋_GB2312"/>
          <w:sz w:val="32"/>
          <w:szCs w:val="32"/>
          <w:highlight w:val="none"/>
          <w:u w:val="single"/>
          <w:lang w:eastAsia="zh-CN"/>
        </w:rPr>
        <w:t>培训</w:t>
      </w:r>
      <w:r>
        <w:rPr>
          <w:rFonts w:hint="eastAsia" w:ascii="仿宋_GB2312" w:eastAsia="仿宋_GB2312"/>
          <w:sz w:val="32"/>
          <w:szCs w:val="32"/>
          <w:highlight w:val="none"/>
          <w:u w:val="single"/>
        </w:rPr>
        <w:t xml:space="preserve">工作 </w:t>
      </w:r>
      <w:r>
        <w:rPr>
          <w:rFonts w:ascii="仿宋_GB2312" w:eastAsia="仿宋_GB2312"/>
          <w:sz w:val="32"/>
          <w:szCs w:val="32"/>
          <w:highlight w:val="none"/>
          <w:u w:val="single"/>
        </w:rPr>
        <w:t xml:space="preserve"> </w:t>
      </w:r>
    </w:p>
    <w:p w14:paraId="3A5F92B0">
      <w:pPr>
        <w:adjustRightInd w:val="0"/>
        <w:snapToGrid w:val="0"/>
        <w:spacing w:line="560" w:lineRule="exact"/>
        <w:ind w:firstLine="0" w:firstLineChars="0"/>
        <w:rPr>
          <w:rFonts w:hint="eastAsia" w:ascii="仿宋_GB2312" w:eastAsia="仿宋_GB2312"/>
          <w:sz w:val="32"/>
          <w:szCs w:val="32"/>
          <w:u w:val="single"/>
        </w:rPr>
      </w:pPr>
      <w:r>
        <w:rPr>
          <w:rFonts w:hint="eastAsia" w:ascii="仿宋_GB2312" w:eastAsia="仿宋_GB2312"/>
          <w:sz w:val="32"/>
          <w:szCs w:val="32"/>
        </w:rPr>
        <w:t>委托方（甲方）：</w:t>
      </w:r>
      <w:r>
        <w:rPr>
          <w:rFonts w:hint="eastAsia" w:ascii="仿宋_GB2312" w:eastAsia="仿宋_GB2312"/>
          <w:sz w:val="32"/>
          <w:szCs w:val="32"/>
          <w:u w:val="single"/>
        </w:rPr>
        <w:t xml:space="preserve"> 深圳市南山区住房和建设局    </w:t>
      </w:r>
      <w:r>
        <w:rPr>
          <w:rFonts w:ascii="仿宋_GB2312" w:eastAsia="仿宋_GB2312"/>
          <w:sz w:val="32"/>
          <w:szCs w:val="32"/>
          <w:u w:val="single"/>
        </w:rPr>
        <w:t xml:space="preserve">        </w:t>
      </w:r>
      <w:r>
        <w:rPr>
          <w:rFonts w:hint="eastAsia" w:ascii="仿宋_GB2312" w:eastAsia="仿宋_GB2312"/>
          <w:sz w:val="32"/>
          <w:szCs w:val="32"/>
          <w:u w:val="single"/>
        </w:rPr>
        <w:t xml:space="preserve">   </w:t>
      </w:r>
    </w:p>
    <w:p w14:paraId="09D6238C">
      <w:pPr>
        <w:adjustRightInd w:val="0"/>
        <w:snapToGrid w:val="0"/>
        <w:spacing w:line="560" w:lineRule="exact"/>
        <w:ind w:firstLine="0" w:firstLineChars="0"/>
        <w:rPr>
          <w:rFonts w:hint="eastAsia" w:ascii="仿宋_GB2312" w:eastAsia="仿宋_GB2312"/>
          <w:sz w:val="32"/>
          <w:szCs w:val="32"/>
          <w:u w:val="single"/>
        </w:rPr>
      </w:pPr>
      <w:r>
        <w:rPr>
          <w:rFonts w:hint="eastAsia" w:ascii="仿宋_GB2312" w:eastAsia="仿宋_GB2312"/>
          <w:sz w:val="32"/>
          <w:szCs w:val="32"/>
        </w:rPr>
        <w:t>受托方（乙方）：</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p>
    <w:p w14:paraId="7CD1E122">
      <w:pPr>
        <w:adjustRightInd w:val="0"/>
        <w:snapToGrid w:val="0"/>
        <w:spacing w:line="560" w:lineRule="exact"/>
        <w:ind w:firstLine="0" w:firstLineChars="0"/>
        <w:rPr>
          <w:rFonts w:hint="eastAsia" w:ascii="仿宋_GB2312" w:eastAsia="仿宋_GB2312"/>
          <w:sz w:val="32"/>
          <w:szCs w:val="32"/>
          <w:u w:val="single"/>
        </w:rPr>
      </w:pPr>
      <w:r>
        <w:rPr>
          <w:rFonts w:hint="eastAsia" w:ascii="仿宋_GB2312" w:eastAsia="仿宋_GB2312"/>
          <w:spacing w:val="133"/>
          <w:kern w:val="0"/>
          <w:sz w:val="32"/>
          <w:szCs w:val="32"/>
        </w:rPr>
        <w:t>签订时</w:t>
      </w:r>
      <w:r>
        <w:rPr>
          <w:rFonts w:hint="eastAsia" w:ascii="仿宋_GB2312" w:eastAsia="仿宋_GB2312"/>
          <w:spacing w:val="1"/>
          <w:kern w:val="0"/>
          <w:sz w:val="32"/>
          <w:szCs w:val="32"/>
        </w:rPr>
        <w:t>间</w:t>
      </w:r>
      <w:r>
        <w:rPr>
          <w:rFonts w:hint="eastAsia" w:ascii="仿宋_GB2312" w:eastAsia="仿宋_GB2312"/>
          <w:sz w:val="32"/>
          <w:szCs w:val="32"/>
        </w:rPr>
        <w:t xml:space="preserve">： </w:t>
      </w:r>
      <w:r>
        <w:rPr>
          <w:rFonts w:hint="eastAsia" w:ascii="仿宋_GB2312" w:eastAsia="仿宋_GB2312"/>
          <w:sz w:val="32"/>
          <w:szCs w:val="32"/>
          <w:u w:val="single"/>
        </w:rPr>
        <w:t xml:space="preserve">       </w:t>
      </w:r>
      <w:r>
        <w:rPr>
          <w:rFonts w:hint="eastAsia" w:ascii="仿宋_GB2312" w:eastAsia="仿宋_GB2312"/>
          <w:sz w:val="32"/>
          <w:szCs w:val="32"/>
          <w:highlight w:val="yellow"/>
          <w:u w:val="single"/>
        </w:rPr>
        <w:t xml:space="preserve"> 年    月    日</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p>
    <w:p w14:paraId="0C10DC2E">
      <w:pPr>
        <w:adjustRightInd w:val="0"/>
        <w:snapToGrid w:val="0"/>
        <w:spacing w:line="560" w:lineRule="exact"/>
        <w:ind w:firstLine="640"/>
        <w:rPr>
          <w:rFonts w:hint="eastAsia" w:ascii="仿宋_GB2312" w:hAnsi="宋体" w:eastAsia="仿宋_GB2312"/>
          <w:sz w:val="32"/>
          <w:szCs w:val="32"/>
        </w:rPr>
      </w:pPr>
    </w:p>
    <w:p w14:paraId="5571200D">
      <w:pPr>
        <w:adjustRightInd w:val="0"/>
        <w:snapToGrid w:val="0"/>
        <w:spacing w:line="560" w:lineRule="exact"/>
        <w:ind w:firstLine="640"/>
        <w:rPr>
          <w:rFonts w:hint="eastAsia" w:ascii="仿宋_GB2312" w:hAnsi="宋体" w:eastAsia="仿宋_GB2312"/>
          <w:sz w:val="32"/>
          <w:szCs w:val="32"/>
        </w:rPr>
      </w:pPr>
    </w:p>
    <w:p w14:paraId="221EEDD4">
      <w:pPr>
        <w:adjustRightInd w:val="0"/>
        <w:snapToGrid w:val="0"/>
        <w:spacing w:line="560" w:lineRule="exact"/>
        <w:ind w:firstLine="640"/>
        <w:rPr>
          <w:rFonts w:hint="eastAsia" w:ascii="仿宋_GB2312" w:hAnsi="宋体" w:eastAsia="仿宋_GB2312"/>
          <w:sz w:val="32"/>
          <w:szCs w:val="32"/>
        </w:rPr>
      </w:pPr>
    </w:p>
    <w:p w14:paraId="14A0E0F8">
      <w:pPr>
        <w:adjustRightInd w:val="0"/>
        <w:snapToGrid w:val="0"/>
        <w:spacing w:line="560" w:lineRule="exact"/>
        <w:ind w:firstLine="640"/>
        <w:rPr>
          <w:rFonts w:hint="eastAsia" w:ascii="仿宋_GB2312" w:hAnsi="宋体" w:eastAsia="仿宋_GB2312"/>
          <w:sz w:val="32"/>
          <w:szCs w:val="32"/>
        </w:rPr>
      </w:pPr>
    </w:p>
    <w:p w14:paraId="2C03B350">
      <w:pPr>
        <w:adjustRightInd w:val="0"/>
        <w:snapToGrid w:val="0"/>
        <w:spacing w:line="560" w:lineRule="exact"/>
        <w:ind w:firstLine="640"/>
        <w:rPr>
          <w:rFonts w:hint="eastAsia" w:ascii="仿宋_GB2312" w:hAnsi="宋体" w:eastAsia="仿宋_GB2312"/>
          <w:sz w:val="32"/>
          <w:szCs w:val="32"/>
        </w:rPr>
      </w:pPr>
    </w:p>
    <w:p w14:paraId="523A3207">
      <w:pPr>
        <w:adjustRightInd w:val="0"/>
        <w:snapToGrid w:val="0"/>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甲、乙双方按照</w:t>
      </w:r>
      <w:r>
        <w:rPr>
          <w:rFonts w:hint="eastAsia" w:ascii="仿宋_GB2312" w:hAnsi="宋体" w:eastAsia="仿宋_GB2312"/>
          <w:sz w:val="32"/>
          <w:szCs w:val="32"/>
          <w:highlight w:val="none"/>
        </w:rPr>
        <w:t>《中华人民共和国</w:t>
      </w:r>
      <w:r>
        <w:rPr>
          <w:rFonts w:hint="eastAsia" w:ascii="仿宋_GB2312" w:hAnsi="宋体" w:eastAsia="仿宋_GB2312"/>
          <w:sz w:val="32"/>
          <w:szCs w:val="32"/>
          <w:highlight w:val="none"/>
          <w:lang w:eastAsia="zh-CN"/>
        </w:rPr>
        <w:t>民法典</w:t>
      </w:r>
      <w:r>
        <w:rPr>
          <w:rFonts w:hint="eastAsia" w:ascii="仿宋_GB2312" w:hAnsi="宋体" w:eastAsia="仿宋_GB2312"/>
          <w:sz w:val="32"/>
          <w:szCs w:val="32"/>
          <w:highlight w:val="none"/>
        </w:rPr>
        <w:t>》、</w:t>
      </w:r>
      <w:r>
        <w:rPr>
          <w:rFonts w:hint="eastAsia" w:ascii="仿宋_GB2312" w:hAnsi="宋体" w:eastAsia="仿宋_GB2312"/>
          <w:sz w:val="32"/>
          <w:szCs w:val="32"/>
        </w:rPr>
        <w:t>《深圳经济特区政府采购条例》及其他相关法律、法规和规章的规定，经协商，遵循平等、自愿、公平和诚实信用的原则</w:t>
      </w:r>
      <w:r>
        <w:rPr>
          <w:rFonts w:hint="eastAsia" w:ascii="仿宋_GB2312" w:hAnsi="宋体" w:eastAsia="仿宋_GB2312"/>
          <w:sz w:val="32"/>
          <w:szCs w:val="32"/>
          <w:highlight w:val="none"/>
        </w:rPr>
        <w:t>，就202</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年南山区建筑施工安全教育和小散工程安全</w:t>
      </w:r>
      <w:r>
        <w:rPr>
          <w:rFonts w:hint="eastAsia" w:ascii="仿宋_GB2312" w:hAnsi="宋体" w:eastAsia="仿宋_GB2312"/>
          <w:sz w:val="32"/>
          <w:szCs w:val="32"/>
          <w:highlight w:val="none"/>
          <w:lang w:eastAsia="zh-CN"/>
        </w:rPr>
        <w:t>培训</w:t>
      </w:r>
      <w:r>
        <w:rPr>
          <w:rFonts w:hint="eastAsia" w:ascii="仿宋_GB2312" w:hAnsi="宋体" w:eastAsia="仿宋_GB2312"/>
          <w:sz w:val="32"/>
          <w:szCs w:val="32"/>
          <w:highlight w:val="none"/>
        </w:rPr>
        <w:t>工作事宜，</w:t>
      </w:r>
      <w:r>
        <w:rPr>
          <w:rFonts w:hint="eastAsia" w:ascii="仿宋_GB2312" w:hAnsi="宋体" w:eastAsia="仿宋_GB2312"/>
          <w:sz w:val="32"/>
          <w:szCs w:val="32"/>
        </w:rPr>
        <w:t>达成一致协议，签订本合同。有关条款如下：</w:t>
      </w:r>
    </w:p>
    <w:p w14:paraId="7C99B62A">
      <w:p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第一条 项目内容</w:t>
      </w:r>
    </w:p>
    <w:p w14:paraId="14369B76">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本合同的建设内容由项目招标文件规定、投标文件承诺以及双方约定的内容组成，依据本合同乙方负责为</w:t>
      </w:r>
      <w:r>
        <w:rPr>
          <w:rFonts w:hint="eastAsia" w:ascii="仿宋_GB2312" w:hAnsi="宋体" w:eastAsia="仿宋_GB2312"/>
          <w:sz w:val="32"/>
          <w:szCs w:val="32"/>
          <w:highlight w:val="none"/>
        </w:rPr>
        <w:t>甲方提供202</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年南山区建筑施工安全教育和小散工程安全</w:t>
      </w:r>
      <w:r>
        <w:rPr>
          <w:rFonts w:hint="eastAsia" w:ascii="仿宋_GB2312" w:hAnsi="宋体" w:eastAsia="仿宋_GB2312"/>
          <w:sz w:val="32"/>
          <w:szCs w:val="32"/>
          <w:highlight w:val="none"/>
          <w:lang w:eastAsia="zh-CN"/>
        </w:rPr>
        <w:t>培训</w:t>
      </w:r>
      <w:r>
        <w:rPr>
          <w:rFonts w:hint="eastAsia" w:ascii="仿宋_GB2312" w:hAnsi="宋体" w:eastAsia="仿宋_GB2312"/>
          <w:sz w:val="32"/>
          <w:szCs w:val="32"/>
          <w:highlight w:val="none"/>
        </w:rPr>
        <w:t>工作。</w:t>
      </w:r>
    </w:p>
    <w:p w14:paraId="66DC3586">
      <w:pPr>
        <w:spacing w:line="560" w:lineRule="exact"/>
        <w:ind w:firstLine="640"/>
        <w:rPr>
          <w:rFonts w:hint="eastAsia" w:ascii="黑体" w:hAnsi="黑体" w:eastAsia="黑体"/>
          <w:bCs/>
          <w:sz w:val="32"/>
          <w:szCs w:val="32"/>
        </w:rPr>
      </w:pPr>
      <w:r>
        <w:rPr>
          <w:rFonts w:hint="eastAsia" w:ascii="黑体" w:hAnsi="黑体" w:eastAsia="黑体"/>
          <w:bCs/>
          <w:sz w:val="32"/>
          <w:szCs w:val="32"/>
        </w:rPr>
        <w:t>第二条 双方义务</w:t>
      </w:r>
    </w:p>
    <w:p w14:paraId="4F24A766">
      <w:pPr>
        <w:spacing w:line="5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（一）甲方义务</w:t>
      </w:r>
    </w:p>
    <w:p w14:paraId="5B56BB04">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1.甲方结合项目实际，结合项目进展节点对乙方的工作情况进行检查和督促乙方按照合同时间节点交付项目成果。</w:t>
      </w:r>
    </w:p>
    <w:p w14:paraId="144AA92B">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2.甲方应根据本合同要求按期向乙方支付服务费用。</w:t>
      </w:r>
    </w:p>
    <w:p w14:paraId="4FBA3B7A">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3.甲方应当在合同约定的范围内向乙方提供与本合同业务有关的资料，或协助乙方收集资料，若项目及其有关信息发生变更时，应及时以书面形式通知乙方。甲方应指派专人负责与乙方联系，以及接受乙方就本项目的咨询。</w:t>
      </w:r>
    </w:p>
    <w:p w14:paraId="74AB9679">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4.甲方负责与本合同业务有关的项目关系的协调，应配合乙方，对其在项目进行过程中与相关部门的沟通提供支持，为乙方履行本合同提供必要的外部条件。</w:t>
      </w:r>
    </w:p>
    <w:p w14:paraId="4B540DBA">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5.甲方应对乙方按要求完成的工作成果予以接收和确认，需现场验收的，甲方须进行现场核验。验收合格后，甲方应按本合同第六条规定向乙方支付各阶段合同价款。</w:t>
      </w:r>
    </w:p>
    <w:p w14:paraId="318036A7">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6.若合同服务要求发生变化时，甲方应及时通知乙方，否则乙方仍按原要求进行，甲方应认可乙方在接到通知前所完成的工作成果。</w:t>
      </w:r>
    </w:p>
    <w:p w14:paraId="0DBA35C3">
      <w:pPr>
        <w:spacing w:line="5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（二）乙方义务</w:t>
      </w:r>
    </w:p>
    <w:p w14:paraId="56F6AB17">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1.乙方应指定专人对接甲方，负责统筹安排项目开展和工作进度。</w:t>
      </w:r>
    </w:p>
    <w:p w14:paraId="222A1990">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2.乙方承诺并保证具备履行本合同委托事项的各项法定资格、并提供相关证明文件。</w:t>
      </w:r>
    </w:p>
    <w:p w14:paraId="633203EB">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3.乙方不得将本合同约定委托事项全部或者部分转委托给第三方。</w:t>
      </w:r>
    </w:p>
    <w:p w14:paraId="4148BDE1">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4.乙方应按照本合同约定的工作内容、技术标准、工作进度和成果要求以及甲方要求，安排专人负责项目开展，对相关的安全教育</w:t>
      </w:r>
      <w:r>
        <w:rPr>
          <w:rFonts w:hint="eastAsia" w:ascii="仿宋_GB2312" w:hAnsi="宋体" w:eastAsia="仿宋_GB2312"/>
          <w:sz w:val="32"/>
          <w:szCs w:val="32"/>
          <w:lang w:eastAsia="zh-CN"/>
        </w:rPr>
        <w:t>培训</w:t>
      </w:r>
      <w:r>
        <w:rPr>
          <w:rFonts w:hint="eastAsia" w:ascii="仿宋_GB2312" w:hAnsi="宋体" w:eastAsia="仿宋_GB2312"/>
          <w:sz w:val="32"/>
          <w:szCs w:val="32"/>
        </w:rPr>
        <w:t>资料、数据、成果进行整理分析，按时向甲方提交符合要求的报告，并积极配合甲方提出的建议改进工作。乙方应对其提交的各阶段成果文件以及相关资料的真实性、完整性和质量负责</w:t>
      </w:r>
    </w:p>
    <w:p w14:paraId="63EFEDEA">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5.乙方按照招标文件的要求，组建不少于4人的项目服务团队，其中项目负责人1人，讲师1人，助理2人；服务人员与投标文件保持一致，项目负责人为XXX。乙方应保证项目团队成员的相对稳定，无正当理由，不得随意更换项目团队成员，确需更换人员须提前10个工作日，与甲方沟通确认，除人员离职等特殊原因外。乙方可根据项目进度，增加项目团队人员，新增人员必须经过甲方同意认可后方可开展工作。</w:t>
      </w:r>
    </w:p>
    <w:p w14:paraId="262C08C9">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6.乙方在履行合同过程中所有产生的费用已包含在本合同款项中。</w:t>
      </w:r>
    </w:p>
    <w:p w14:paraId="39A16427">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7.乙方应遵守甲方的规章、制度，接受甲方的管理。</w:t>
      </w:r>
    </w:p>
    <w:p w14:paraId="69BAB8D6">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8.乙方对合同履行过程中产生的台账和相关记录及接触到的甲方的内部资料负有保密责任，若因乙方原因发生泄密，乙方须承担由此引起的一切法律责任。</w:t>
      </w:r>
    </w:p>
    <w:p w14:paraId="3CDD4150">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9.乙方有义务根据甲方需求对服务任务、方式及团队及时进行调整。</w:t>
      </w:r>
    </w:p>
    <w:p w14:paraId="25EDC28E">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10.合同期间，乙方人员严禁参加施工单位、供货方单位等其他单位任何形式的宴请或接受任何礼物。</w:t>
      </w:r>
    </w:p>
    <w:p w14:paraId="36EA0597">
      <w:pPr>
        <w:spacing w:line="560" w:lineRule="exact"/>
        <w:ind w:firstLine="640"/>
        <w:rPr>
          <w:rFonts w:hint="eastAsia" w:ascii="黑体" w:hAnsi="黑体" w:eastAsia="黑体"/>
          <w:bCs/>
          <w:sz w:val="32"/>
          <w:szCs w:val="32"/>
        </w:rPr>
      </w:pPr>
      <w:r>
        <w:rPr>
          <w:rFonts w:hint="eastAsia" w:ascii="黑体" w:hAnsi="黑体" w:eastAsia="黑体"/>
          <w:bCs/>
          <w:sz w:val="32"/>
          <w:szCs w:val="32"/>
        </w:rPr>
        <w:t>第三条  服务内容</w:t>
      </w:r>
    </w:p>
    <w:p w14:paraId="2F81445C">
      <w:pPr>
        <w:spacing w:line="560" w:lineRule="exact"/>
        <w:ind w:firstLine="64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（一）区管在建项目从业人员安全教育</w:t>
      </w:r>
      <w:r>
        <w:rPr>
          <w:rFonts w:hint="eastAsia" w:ascii="楷体_GB2312" w:hAnsi="楷体_GB2312" w:eastAsia="楷体_GB2312" w:cs="楷体_GB2312"/>
          <w:bCs/>
          <w:sz w:val="32"/>
          <w:szCs w:val="32"/>
          <w:lang w:eastAsia="zh-CN"/>
        </w:rPr>
        <w:t>培训</w:t>
      </w:r>
      <w:r>
        <w:rPr>
          <w:rFonts w:hint="eastAsia" w:ascii="楷体_GB2312" w:hAnsi="楷体_GB2312" w:eastAsia="楷体_GB2312" w:cs="楷体_GB2312"/>
          <w:bCs/>
          <w:sz w:val="32"/>
          <w:szCs w:val="32"/>
        </w:rPr>
        <w:t>内容</w:t>
      </w:r>
    </w:p>
    <w:p w14:paraId="518FB7BB">
      <w:pPr>
        <w:spacing w:line="56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eastAsia="zh-CN"/>
        </w:rPr>
        <w:t>培训</w:t>
      </w:r>
      <w:r>
        <w:rPr>
          <w:rFonts w:hint="eastAsia" w:ascii="仿宋_GB2312" w:hAnsi="仿宋_GB2312" w:eastAsia="仿宋_GB2312" w:cs="仿宋_GB2312"/>
          <w:bCs/>
          <w:sz w:val="32"/>
          <w:szCs w:val="32"/>
        </w:rPr>
        <w:t>对象:南山区在建项目建设、施工、监理单位安全管理人员和现场施工作业人员。</w:t>
      </w:r>
    </w:p>
    <w:p w14:paraId="322B542E">
      <w:pPr>
        <w:spacing w:line="56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eastAsia="zh-CN"/>
        </w:rPr>
        <w:t>培训</w:t>
      </w:r>
      <w:r>
        <w:rPr>
          <w:rFonts w:hint="eastAsia" w:ascii="仿宋_GB2312" w:hAnsi="仿宋_GB2312" w:eastAsia="仿宋_GB2312" w:cs="仿宋_GB2312"/>
          <w:bCs/>
          <w:sz w:val="32"/>
          <w:szCs w:val="32"/>
        </w:rPr>
        <w:t>内容：针对管理人员主要包括《建筑工地防火安全管理》、《物体打击事故的预防》、《高处坠落事故的预防》、《模板坍塌事故的预防》、《起重机械伤害事故的预防》、《基坑坍塌事故的预防》、《触电事故的预防》、</w:t>
      </w:r>
      <w:r>
        <w:rPr>
          <w:rFonts w:hint="eastAsia" w:ascii="仿宋_GB2312" w:hAnsi="仿宋_GB2312" w:eastAsia="仿宋_GB2312" w:cs="仿宋_GB2312"/>
          <w:bCs/>
          <w:sz w:val="32"/>
          <w:szCs w:val="32"/>
          <w:lang w:eastAsia="zh-CN"/>
        </w:rPr>
        <w:t>《中毒和窒息的预防》、</w:t>
      </w:r>
      <w:r>
        <w:rPr>
          <w:rFonts w:hint="eastAsia" w:ascii="仿宋_GB2312" w:hAnsi="仿宋_GB2312" w:eastAsia="仿宋_GB2312" w:cs="仿宋_GB2312"/>
          <w:bCs/>
          <w:sz w:val="32"/>
          <w:szCs w:val="32"/>
        </w:rPr>
        <w:t>《台风雨季期间施工安全管理》、《暑季高温期间施工安全管理》、《交通安全》等专题内容；针对现场施工作业人员主要包括建设工程施工过程的基本安全知识、安全生产操作、危险源和风险点的辨识、安全防护设施和器材的正确使用、典型事故案例分析等内容</w:t>
      </w:r>
      <w:r>
        <w:rPr>
          <w:rFonts w:hint="eastAsia" w:ascii="仿宋_GB2312" w:hAnsi="仿宋_GB2312" w:eastAsia="仿宋_GB2312" w:cs="仿宋_GB2312"/>
          <w:bCs/>
          <w:sz w:val="32"/>
          <w:szCs w:val="32"/>
          <w:lang w:eastAsia="zh-CN"/>
        </w:rPr>
        <w:t>培训</w:t>
      </w:r>
      <w:r>
        <w:rPr>
          <w:rFonts w:hint="eastAsia" w:ascii="仿宋_GB2312" w:hAnsi="仿宋_GB2312" w:eastAsia="仿宋_GB2312" w:cs="仿宋_GB2312"/>
          <w:bCs/>
          <w:sz w:val="32"/>
          <w:szCs w:val="32"/>
        </w:rPr>
        <w:t>。</w:t>
      </w:r>
    </w:p>
    <w:p w14:paraId="247A2291">
      <w:pPr>
        <w:spacing w:line="56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eastAsia="zh-CN"/>
        </w:rPr>
        <w:t>培训</w:t>
      </w:r>
      <w:r>
        <w:rPr>
          <w:rFonts w:hint="eastAsia" w:ascii="仿宋_GB2312" w:hAnsi="仿宋_GB2312" w:eastAsia="仿宋_GB2312" w:cs="仿宋_GB2312"/>
          <w:bCs/>
          <w:sz w:val="32"/>
          <w:szCs w:val="32"/>
        </w:rPr>
        <w:t>方式：对建筑施工项目管理人员开展集中式</w:t>
      </w:r>
      <w:r>
        <w:rPr>
          <w:rFonts w:hint="eastAsia" w:ascii="仿宋_GB2312" w:hAnsi="仿宋_GB2312" w:eastAsia="仿宋_GB2312" w:cs="仿宋_GB2312"/>
          <w:bCs/>
          <w:sz w:val="32"/>
          <w:szCs w:val="32"/>
          <w:lang w:eastAsia="zh-CN"/>
        </w:rPr>
        <w:t>培训</w:t>
      </w:r>
      <w:r>
        <w:rPr>
          <w:rFonts w:hint="eastAsia" w:ascii="仿宋_GB2312" w:hAnsi="仿宋_GB2312" w:eastAsia="仿宋_GB2312" w:cs="仿宋_GB2312"/>
          <w:bCs/>
          <w:sz w:val="32"/>
          <w:szCs w:val="32"/>
        </w:rPr>
        <w:t>；对建筑施工人员安排专家深入工地开展小型安全教育</w:t>
      </w:r>
      <w:r>
        <w:rPr>
          <w:rFonts w:hint="eastAsia" w:ascii="仿宋_GB2312" w:hAnsi="仿宋_GB2312" w:eastAsia="仿宋_GB2312" w:cs="仿宋_GB2312"/>
          <w:bCs/>
          <w:sz w:val="32"/>
          <w:szCs w:val="32"/>
          <w:lang w:eastAsia="zh-CN"/>
        </w:rPr>
        <w:t>培训</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负责制定培训课件</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印制培训材料，注重</w:t>
      </w:r>
      <w:r>
        <w:rPr>
          <w:rFonts w:hint="eastAsia" w:ascii="仿宋_GB2312" w:hAnsi="仿宋_GB2312" w:eastAsia="仿宋_GB2312" w:cs="仿宋_GB2312"/>
          <w:bCs/>
          <w:sz w:val="32"/>
          <w:szCs w:val="32"/>
        </w:rPr>
        <w:t>案例剖析、互动问答等形式</w:t>
      </w:r>
      <w:r>
        <w:rPr>
          <w:rFonts w:hint="eastAsia" w:ascii="仿宋_GB2312" w:hAnsi="仿宋_GB2312" w:eastAsia="仿宋_GB2312" w:cs="仿宋_GB2312"/>
          <w:bCs/>
          <w:sz w:val="32"/>
          <w:szCs w:val="32"/>
          <w:lang w:eastAsia="zh-CN"/>
        </w:rPr>
        <w:t>。</w:t>
      </w:r>
    </w:p>
    <w:p w14:paraId="6D9CA2F4">
      <w:pPr>
        <w:spacing w:line="560" w:lineRule="exact"/>
        <w:ind w:firstLine="64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4.</w:t>
      </w:r>
      <w:r>
        <w:rPr>
          <w:rFonts w:hint="eastAsia" w:ascii="仿宋_GB2312" w:hAnsi="仿宋_GB2312" w:eastAsia="仿宋_GB2312" w:cs="仿宋_GB2312"/>
          <w:bCs/>
          <w:sz w:val="32"/>
          <w:szCs w:val="32"/>
          <w:highlight w:val="none"/>
          <w:lang w:eastAsia="zh-CN"/>
        </w:rPr>
        <w:t>培训</w:t>
      </w:r>
      <w:r>
        <w:rPr>
          <w:rFonts w:hint="eastAsia" w:ascii="仿宋_GB2312" w:hAnsi="仿宋_GB2312" w:eastAsia="仿宋_GB2312" w:cs="仿宋_GB2312"/>
          <w:bCs/>
          <w:sz w:val="32"/>
          <w:szCs w:val="32"/>
          <w:highlight w:val="none"/>
        </w:rPr>
        <w:t>场次：</w:t>
      </w:r>
      <w:r>
        <w:rPr>
          <w:rFonts w:hint="eastAsia" w:ascii="仿宋_GB2312" w:hAnsi="仿宋_GB2312" w:eastAsia="仿宋_GB2312" w:cs="仿宋_GB2312"/>
          <w:bCs/>
          <w:sz w:val="32"/>
          <w:szCs w:val="32"/>
          <w:highlight w:val="none"/>
          <w:lang w:val="en-US" w:eastAsia="zh-CN"/>
        </w:rPr>
        <w:t>126</w:t>
      </w:r>
      <w:r>
        <w:rPr>
          <w:rFonts w:hint="eastAsia" w:ascii="仿宋_GB2312" w:hAnsi="仿宋_GB2312" w:eastAsia="仿宋_GB2312" w:cs="仿宋_GB2312"/>
          <w:bCs/>
          <w:sz w:val="32"/>
          <w:szCs w:val="32"/>
          <w:highlight w:val="none"/>
        </w:rPr>
        <w:t>场次，其中集中式</w:t>
      </w:r>
      <w:r>
        <w:rPr>
          <w:rFonts w:hint="eastAsia" w:ascii="仿宋_GB2312" w:hAnsi="仿宋_GB2312" w:eastAsia="仿宋_GB2312" w:cs="仿宋_GB2312"/>
          <w:bCs/>
          <w:sz w:val="32"/>
          <w:szCs w:val="32"/>
          <w:highlight w:val="none"/>
          <w:lang w:eastAsia="zh-CN"/>
        </w:rPr>
        <w:t>培训6</w:t>
      </w:r>
      <w:r>
        <w:rPr>
          <w:rFonts w:hint="eastAsia" w:ascii="仿宋_GB2312" w:hAnsi="仿宋_GB2312" w:eastAsia="仿宋_GB2312" w:cs="仿宋_GB2312"/>
          <w:bCs/>
          <w:sz w:val="32"/>
          <w:szCs w:val="32"/>
          <w:highlight w:val="none"/>
        </w:rPr>
        <w:t>场次，深入工地</w:t>
      </w:r>
      <w:r>
        <w:rPr>
          <w:rFonts w:hint="eastAsia" w:ascii="仿宋_GB2312" w:hAnsi="仿宋_GB2312" w:eastAsia="仿宋_GB2312" w:cs="仿宋_GB2312"/>
          <w:bCs/>
          <w:sz w:val="32"/>
          <w:szCs w:val="32"/>
          <w:highlight w:val="none"/>
          <w:lang w:eastAsia="zh-CN"/>
        </w:rPr>
        <w:t>培训</w:t>
      </w:r>
      <w:r>
        <w:rPr>
          <w:rFonts w:hint="eastAsia" w:ascii="仿宋_GB2312" w:hAnsi="仿宋_GB2312" w:eastAsia="仿宋_GB2312" w:cs="仿宋_GB2312"/>
          <w:bCs/>
          <w:sz w:val="32"/>
          <w:szCs w:val="32"/>
          <w:highlight w:val="none"/>
          <w:lang w:val="en-US" w:eastAsia="zh-CN"/>
        </w:rPr>
        <w:t>120</w:t>
      </w:r>
      <w:r>
        <w:rPr>
          <w:rFonts w:hint="eastAsia" w:ascii="仿宋_GB2312" w:hAnsi="仿宋_GB2312" w:eastAsia="仿宋_GB2312" w:cs="仿宋_GB2312"/>
          <w:bCs/>
          <w:sz w:val="32"/>
          <w:szCs w:val="32"/>
          <w:highlight w:val="none"/>
        </w:rPr>
        <w:t>场次。</w:t>
      </w:r>
    </w:p>
    <w:p w14:paraId="4913988F">
      <w:pPr>
        <w:spacing w:line="560" w:lineRule="exact"/>
        <w:ind w:firstLine="64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（二）小散工程管理人员安全教育</w:t>
      </w:r>
      <w:r>
        <w:rPr>
          <w:rFonts w:hint="eastAsia" w:ascii="楷体_GB2312" w:hAnsi="楷体_GB2312" w:eastAsia="楷体_GB2312" w:cs="楷体_GB2312"/>
          <w:bCs/>
          <w:sz w:val="32"/>
          <w:szCs w:val="32"/>
          <w:lang w:eastAsia="zh-CN"/>
        </w:rPr>
        <w:t>培训</w:t>
      </w:r>
      <w:r>
        <w:rPr>
          <w:rFonts w:hint="eastAsia" w:ascii="楷体_GB2312" w:hAnsi="楷体_GB2312" w:eastAsia="楷体_GB2312" w:cs="楷体_GB2312"/>
          <w:bCs/>
          <w:sz w:val="32"/>
          <w:szCs w:val="32"/>
        </w:rPr>
        <w:t>内容</w:t>
      </w:r>
    </w:p>
    <w:p w14:paraId="5711E940">
      <w:pPr>
        <w:spacing w:line="56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eastAsia="zh-CN"/>
        </w:rPr>
        <w:t>培训</w:t>
      </w:r>
      <w:r>
        <w:rPr>
          <w:rFonts w:hint="eastAsia" w:ascii="仿宋_GB2312" w:hAnsi="仿宋_GB2312" w:eastAsia="仿宋_GB2312" w:cs="仿宋_GB2312"/>
          <w:bCs/>
          <w:sz w:val="32"/>
          <w:szCs w:val="32"/>
        </w:rPr>
        <w:t>对象：各街道、社区工作站小散工程管理人员和执法人员、网格员、物业企业服务人员、股份有限公司相关小散工程管理人员等。</w:t>
      </w:r>
    </w:p>
    <w:p w14:paraId="1281455B">
      <w:pPr>
        <w:spacing w:line="56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eastAsia="zh-CN"/>
        </w:rPr>
        <w:t>培训</w:t>
      </w:r>
      <w:r>
        <w:rPr>
          <w:rFonts w:hint="eastAsia" w:ascii="仿宋_GB2312" w:hAnsi="仿宋_GB2312" w:eastAsia="仿宋_GB2312" w:cs="仿宋_GB2312"/>
          <w:bCs/>
          <w:sz w:val="32"/>
          <w:szCs w:val="32"/>
        </w:rPr>
        <w:t>内容：小散工程安全生产巡查知识培训、小散工程安全生产纳管工作培训、小散工程安全生产教育等。</w:t>
      </w:r>
    </w:p>
    <w:p w14:paraId="37FEE5DE">
      <w:pPr>
        <w:spacing w:line="56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eastAsia="zh-CN"/>
        </w:rPr>
        <w:t>培训</w:t>
      </w:r>
      <w:r>
        <w:rPr>
          <w:rFonts w:hint="eastAsia" w:ascii="仿宋_GB2312" w:hAnsi="仿宋_GB2312" w:eastAsia="仿宋_GB2312" w:cs="仿宋_GB2312"/>
          <w:bCs/>
          <w:sz w:val="32"/>
          <w:szCs w:val="32"/>
        </w:rPr>
        <w:t>方式：</w:t>
      </w:r>
      <w:r>
        <w:rPr>
          <w:rFonts w:hint="eastAsia" w:ascii="仿宋_GB2312" w:hAnsi="仿宋_GB2312" w:eastAsia="仿宋_GB2312" w:cs="仿宋_GB2312"/>
          <w:bCs/>
          <w:sz w:val="32"/>
          <w:szCs w:val="32"/>
          <w:lang w:eastAsia="zh-CN"/>
        </w:rPr>
        <w:t>负责制定培训课件</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印制培训材料，</w:t>
      </w:r>
      <w:r>
        <w:rPr>
          <w:rFonts w:hint="eastAsia" w:ascii="仿宋_GB2312" w:hAnsi="仿宋_GB2312" w:eastAsia="仿宋_GB2312" w:cs="仿宋_GB2312"/>
          <w:bCs/>
          <w:sz w:val="32"/>
          <w:szCs w:val="32"/>
        </w:rPr>
        <w:t>采取PPT幻灯片展示、案例剖析、互动问答等形式，开展集中式</w:t>
      </w:r>
      <w:r>
        <w:rPr>
          <w:rFonts w:hint="eastAsia" w:ascii="仿宋_GB2312" w:hAnsi="仿宋_GB2312" w:eastAsia="仿宋_GB2312" w:cs="仿宋_GB2312"/>
          <w:bCs/>
          <w:sz w:val="32"/>
          <w:szCs w:val="32"/>
          <w:lang w:eastAsia="zh-CN"/>
        </w:rPr>
        <w:t>培训</w:t>
      </w:r>
      <w:r>
        <w:rPr>
          <w:rFonts w:hint="eastAsia" w:ascii="仿宋_GB2312" w:hAnsi="仿宋_GB2312" w:eastAsia="仿宋_GB2312" w:cs="仿宋_GB2312"/>
          <w:bCs/>
          <w:sz w:val="32"/>
          <w:szCs w:val="32"/>
        </w:rPr>
        <w:t>，讲解小散工程安全生产纳管的重要性、巡查工作的要点等。</w:t>
      </w:r>
    </w:p>
    <w:p w14:paraId="0AD7B729">
      <w:pPr>
        <w:spacing w:line="560" w:lineRule="exact"/>
        <w:ind w:firstLine="64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4.</w:t>
      </w:r>
      <w:r>
        <w:rPr>
          <w:rFonts w:hint="eastAsia" w:ascii="仿宋_GB2312" w:hAnsi="仿宋_GB2312" w:eastAsia="仿宋_GB2312" w:cs="仿宋_GB2312"/>
          <w:bCs/>
          <w:sz w:val="32"/>
          <w:szCs w:val="32"/>
          <w:highlight w:val="none"/>
          <w:lang w:eastAsia="zh-CN"/>
        </w:rPr>
        <w:t>培训</w:t>
      </w:r>
      <w:r>
        <w:rPr>
          <w:rFonts w:hint="eastAsia" w:ascii="仿宋_GB2312" w:hAnsi="仿宋_GB2312" w:eastAsia="仿宋_GB2312" w:cs="仿宋_GB2312"/>
          <w:bCs/>
          <w:sz w:val="32"/>
          <w:szCs w:val="32"/>
          <w:highlight w:val="none"/>
        </w:rPr>
        <w:t>场次：</w:t>
      </w:r>
      <w:r>
        <w:rPr>
          <w:rFonts w:hint="eastAsia" w:ascii="仿宋_GB2312" w:hAnsi="仿宋_GB2312" w:eastAsia="仿宋_GB2312" w:cs="仿宋_GB2312"/>
          <w:bCs/>
          <w:sz w:val="32"/>
          <w:szCs w:val="32"/>
          <w:highlight w:val="none"/>
          <w:lang w:val="en-US" w:eastAsia="zh-CN"/>
        </w:rPr>
        <w:t>16</w:t>
      </w:r>
      <w:r>
        <w:rPr>
          <w:rFonts w:hint="eastAsia" w:ascii="仿宋_GB2312" w:hAnsi="仿宋_GB2312" w:eastAsia="仿宋_GB2312" w:cs="仿宋_GB2312"/>
          <w:bCs/>
          <w:sz w:val="32"/>
          <w:szCs w:val="32"/>
          <w:highlight w:val="none"/>
        </w:rPr>
        <w:t>场次，每个街道</w:t>
      </w:r>
      <w:r>
        <w:rPr>
          <w:rFonts w:hint="eastAsia" w:ascii="仿宋_GB2312" w:hAnsi="仿宋_GB2312" w:eastAsia="仿宋_GB2312" w:cs="仿宋_GB2312"/>
          <w:bCs/>
          <w:sz w:val="32"/>
          <w:szCs w:val="32"/>
          <w:highlight w:val="none"/>
          <w:lang w:val="en-US" w:eastAsia="zh-CN"/>
        </w:rPr>
        <w:t>2</w:t>
      </w:r>
      <w:r>
        <w:rPr>
          <w:rFonts w:hint="eastAsia" w:ascii="仿宋_GB2312" w:hAnsi="仿宋_GB2312" w:eastAsia="仿宋_GB2312" w:cs="仿宋_GB2312"/>
          <w:bCs/>
          <w:sz w:val="32"/>
          <w:szCs w:val="32"/>
          <w:highlight w:val="none"/>
        </w:rPr>
        <w:t>场次。</w:t>
      </w:r>
    </w:p>
    <w:p w14:paraId="2F16842A">
      <w:pPr>
        <w:spacing w:line="560" w:lineRule="exact"/>
        <w:ind w:firstLine="640"/>
        <w:rPr>
          <w:rFonts w:hint="eastAsia" w:ascii="黑体" w:hAnsi="黑体" w:eastAsia="黑体" w:cs="黑体"/>
          <w:bCs/>
          <w:sz w:val="32"/>
          <w:szCs w:val="32"/>
        </w:rPr>
      </w:pPr>
      <w:r>
        <w:rPr>
          <w:rFonts w:hint="eastAsia" w:ascii="黑体" w:hAnsi="黑体" w:eastAsia="黑体" w:cs="黑体"/>
          <w:bCs/>
          <w:sz w:val="32"/>
          <w:szCs w:val="32"/>
        </w:rPr>
        <w:t>第四条 服务成果验收和履约评价</w:t>
      </w:r>
    </w:p>
    <w:p w14:paraId="10DF63CA">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1.按照甲方要求完成安全教育培训及宣贯日常工作。</w:t>
      </w:r>
    </w:p>
    <w:p w14:paraId="7718387E">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2.培训结束后乙方要对培训工作进行梳理，形成完整的档案资料和工作总结。档案资料按照一场次一档案，包括参培人员签到表、课件、</w:t>
      </w:r>
      <w:r>
        <w:rPr>
          <w:rFonts w:hint="eastAsia" w:ascii="仿宋_GB2312" w:hAnsi="宋体" w:eastAsia="仿宋_GB2312"/>
          <w:sz w:val="32"/>
          <w:szCs w:val="32"/>
          <w:lang w:eastAsia="zh-CN"/>
        </w:rPr>
        <w:t>影像</w:t>
      </w:r>
      <w:r>
        <w:rPr>
          <w:rFonts w:hint="eastAsia" w:ascii="仿宋_GB2312" w:hAnsi="宋体" w:eastAsia="仿宋_GB2312"/>
          <w:sz w:val="32"/>
          <w:szCs w:val="32"/>
        </w:rPr>
        <w:t>资料等，一式两份（含电子档和纸质档）；工作总结包括培训的情况、对项目工人安全水平的评价等。</w:t>
      </w:r>
    </w:p>
    <w:p w14:paraId="60AB8872">
      <w:pPr>
        <w:spacing w:line="560" w:lineRule="exact"/>
        <w:ind w:firstLine="640"/>
        <w:rPr>
          <w:rFonts w:ascii="仿宋_GB2312" w:hAnsi="宋体" w:eastAsia="仿宋_GB2312"/>
          <w:sz w:val="32"/>
          <w:szCs w:val="32"/>
        </w:rPr>
      </w:pPr>
      <w:r>
        <w:rPr>
          <w:rFonts w:hint="eastAsia" w:ascii="仿宋_GB2312" w:hAnsi="宋体" w:eastAsia="仿宋_GB2312"/>
          <w:sz w:val="32"/>
          <w:szCs w:val="32"/>
        </w:rPr>
        <w:t>3.项目完成后，甲方对乙方工作完成情况进行履约评价，并将评价情况存档备案，履约评价不合格的单位不允许参与甲方后续同类项目招投标。</w:t>
      </w:r>
    </w:p>
    <w:p w14:paraId="772E6561">
      <w:pPr>
        <w:spacing w:line="560" w:lineRule="exact"/>
        <w:ind w:firstLine="640"/>
        <w:rPr>
          <w:rFonts w:hint="eastAsia" w:ascii="黑体" w:hAnsi="黑体" w:eastAsia="黑体"/>
          <w:bCs/>
          <w:sz w:val="32"/>
          <w:szCs w:val="32"/>
        </w:rPr>
      </w:pPr>
      <w:r>
        <w:rPr>
          <w:rFonts w:hint="eastAsia" w:ascii="黑体" w:hAnsi="黑体" w:eastAsia="黑体"/>
          <w:bCs/>
          <w:sz w:val="32"/>
          <w:szCs w:val="32"/>
        </w:rPr>
        <w:t>第五条 服务时间</w:t>
      </w:r>
    </w:p>
    <w:p w14:paraId="3EF822C6">
      <w:pPr>
        <w:spacing w:line="560" w:lineRule="exact"/>
        <w:ind w:firstLine="640"/>
        <w:rPr>
          <w:rFonts w:hint="eastAsia" w:ascii="仿宋_GB2312" w:hAnsi="宋体" w:eastAsia="仿宋_GB2312"/>
          <w:sz w:val="32"/>
          <w:szCs w:val="32"/>
          <w:highlight w:val="none"/>
        </w:rPr>
      </w:pPr>
      <w:r>
        <w:rPr>
          <w:rFonts w:hint="eastAsia" w:ascii="仿宋_GB2312" w:hAnsi="宋体" w:eastAsia="仿宋_GB2312"/>
          <w:sz w:val="32"/>
          <w:szCs w:val="32"/>
        </w:rPr>
        <w:t>本项目服务期自</w:t>
      </w:r>
      <w:r>
        <w:rPr>
          <w:rFonts w:hint="eastAsia" w:ascii="仿宋_GB2312" w:hAnsi="宋体" w:eastAsia="仿宋_GB2312"/>
          <w:sz w:val="32"/>
          <w:szCs w:val="32"/>
          <w:highlight w:val="yellow"/>
          <w:u w:val="single"/>
          <w:lang w:val="en-US" w:eastAsia="zh-CN"/>
        </w:rPr>
        <w:t>2025</w:t>
      </w:r>
      <w:r>
        <w:rPr>
          <w:rFonts w:hint="eastAsia" w:ascii="仿宋_GB2312" w:hAnsi="宋体" w:eastAsia="仿宋_GB2312"/>
          <w:sz w:val="32"/>
          <w:szCs w:val="32"/>
          <w:highlight w:val="yellow"/>
          <w:lang w:val="en-US" w:eastAsia="zh-CN"/>
        </w:rPr>
        <w:t>年</w:t>
      </w:r>
      <w:r>
        <w:rPr>
          <w:rFonts w:hint="eastAsia" w:ascii="仿宋_GB2312" w:hAnsi="宋体" w:eastAsia="仿宋_GB2312"/>
          <w:sz w:val="32"/>
          <w:szCs w:val="32"/>
          <w:highlight w:val="yellow"/>
          <w:u w:val="single"/>
          <w:lang w:val="en-US" w:eastAsia="zh-CN"/>
        </w:rPr>
        <w:t>xx</w:t>
      </w:r>
      <w:r>
        <w:rPr>
          <w:rFonts w:hint="eastAsia" w:ascii="仿宋_GB2312" w:hAnsi="宋体" w:eastAsia="仿宋_GB2312"/>
          <w:sz w:val="32"/>
          <w:szCs w:val="32"/>
          <w:highlight w:val="yellow"/>
          <w:lang w:val="en-US" w:eastAsia="zh-CN"/>
        </w:rPr>
        <w:t>月</w:t>
      </w:r>
      <w:r>
        <w:rPr>
          <w:rFonts w:hint="eastAsia" w:ascii="仿宋_GB2312" w:hAnsi="宋体" w:eastAsia="仿宋_GB2312"/>
          <w:sz w:val="32"/>
          <w:szCs w:val="32"/>
          <w:highlight w:val="yellow"/>
          <w:u w:val="single"/>
          <w:lang w:val="en-US" w:eastAsia="zh-CN"/>
        </w:rPr>
        <w:t>xx</w:t>
      </w:r>
      <w:r>
        <w:rPr>
          <w:rFonts w:hint="eastAsia" w:ascii="仿宋_GB2312" w:hAnsi="宋体" w:eastAsia="仿宋_GB2312"/>
          <w:sz w:val="32"/>
          <w:szCs w:val="32"/>
          <w:highlight w:val="yellow"/>
          <w:lang w:val="en-US" w:eastAsia="zh-CN"/>
        </w:rPr>
        <w:t>日</w:t>
      </w:r>
      <w:r>
        <w:rPr>
          <w:rFonts w:hint="eastAsia" w:ascii="仿宋_GB2312" w:hAnsi="宋体" w:eastAsia="仿宋_GB2312"/>
          <w:sz w:val="32"/>
          <w:szCs w:val="32"/>
          <w:highlight w:val="yellow"/>
        </w:rPr>
        <w:t>起至</w:t>
      </w:r>
      <w:r>
        <w:rPr>
          <w:rFonts w:hint="eastAsia" w:ascii="仿宋_GB2312" w:hAnsi="宋体" w:eastAsia="仿宋_GB2312"/>
          <w:sz w:val="32"/>
          <w:szCs w:val="32"/>
          <w:highlight w:val="yellow"/>
          <w:u w:val="single"/>
        </w:rPr>
        <w:t>202</w:t>
      </w:r>
      <w:r>
        <w:rPr>
          <w:rFonts w:hint="eastAsia" w:ascii="仿宋_GB2312" w:hAnsi="宋体" w:eastAsia="仿宋_GB2312"/>
          <w:sz w:val="32"/>
          <w:szCs w:val="32"/>
          <w:highlight w:val="yellow"/>
          <w:u w:val="single"/>
          <w:lang w:val="en-US" w:eastAsia="zh-CN"/>
        </w:rPr>
        <w:t>5</w:t>
      </w:r>
      <w:r>
        <w:rPr>
          <w:rFonts w:hint="eastAsia" w:ascii="仿宋_GB2312" w:hAnsi="宋体" w:eastAsia="仿宋_GB2312"/>
          <w:sz w:val="32"/>
          <w:szCs w:val="32"/>
          <w:highlight w:val="yellow"/>
        </w:rPr>
        <w:t>年</w:t>
      </w:r>
      <w:r>
        <w:rPr>
          <w:rFonts w:hint="eastAsia" w:ascii="仿宋_GB2312" w:hAnsi="宋体" w:eastAsia="仿宋_GB2312"/>
          <w:sz w:val="32"/>
          <w:szCs w:val="32"/>
          <w:highlight w:val="yellow"/>
          <w:u w:val="single"/>
        </w:rPr>
        <w:t xml:space="preserve"> </w:t>
      </w:r>
      <w:r>
        <w:rPr>
          <w:rFonts w:ascii="仿宋_GB2312" w:hAnsi="宋体" w:eastAsia="仿宋_GB2312"/>
          <w:sz w:val="32"/>
          <w:szCs w:val="32"/>
          <w:highlight w:val="yellow"/>
          <w:u w:val="single"/>
        </w:rPr>
        <w:t>12</w:t>
      </w:r>
      <w:r>
        <w:rPr>
          <w:rFonts w:hint="eastAsia" w:ascii="仿宋_GB2312" w:hAnsi="宋体" w:eastAsia="仿宋_GB2312"/>
          <w:sz w:val="32"/>
          <w:szCs w:val="32"/>
          <w:highlight w:val="yellow"/>
        </w:rPr>
        <w:t>月</w:t>
      </w:r>
      <w:r>
        <w:rPr>
          <w:rFonts w:hint="eastAsia" w:ascii="仿宋_GB2312" w:hAnsi="宋体" w:eastAsia="仿宋_GB2312"/>
          <w:sz w:val="32"/>
          <w:szCs w:val="32"/>
          <w:highlight w:val="yellow"/>
          <w:u w:val="single"/>
          <w:lang w:val="en-US" w:eastAsia="zh-CN"/>
        </w:rPr>
        <w:t>10</w:t>
      </w:r>
      <w:r>
        <w:rPr>
          <w:rFonts w:hint="eastAsia" w:ascii="仿宋_GB2312" w:hAnsi="宋体" w:eastAsia="仿宋_GB2312"/>
          <w:sz w:val="32"/>
          <w:szCs w:val="32"/>
          <w:highlight w:val="yellow"/>
        </w:rPr>
        <w:t>日止</w:t>
      </w:r>
      <w:r>
        <w:rPr>
          <w:rFonts w:hint="eastAsia" w:ascii="仿宋_GB2312" w:hAnsi="宋体" w:eastAsia="仿宋_GB2312"/>
          <w:sz w:val="32"/>
          <w:szCs w:val="32"/>
          <w:highlight w:val="none"/>
        </w:rPr>
        <w:t>。</w:t>
      </w:r>
    </w:p>
    <w:p w14:paraId="756FD96D">
      <w:pPr>
        <w:spacing w:line="560" w:lineRule="exact"/>
        <w:ind w:firstLine="640"/>
        <w:rPr>
          <w:rFonts w:hint="eastAsia" w:ascii="黑体" w:hAnsi="黑体" w:eastAsia="黑体"/>
          <w:bCs/>
          <w:sz w:val="32"/>
          <w:szCs w:val="32"/>
        </w:rPr>
      </w:pPr>
      <w:r>
        <w:rPr>
          <w:rFonts w:hint="eastAsia" w:ascii="黑体" w:hAnsi="黑体" w:eastAsia="黑体"/>
          <w:bCs/>
          <w:sz w:val="32"/>
          <w:szCs w:val="32"/>
        </w:rPr>
        <w:t>第六条  付款方式</w:t>
      </w:r>
    </w:p>
    <w:p w14:paraId="3283C829">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1.服务的费用总额</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含税</w:t>
      </w:r>
      <w:r>
        <w:rPr>
          <w:rFonts w:hint="eastAsia" w:ascii="仿宋_GB2312" w:hAnsi="宋体" w:eastAsia="仿宋_GB2312"/>
          <w:sz w:val="32"/>
          <w:szCs w:val="32"/>
          <w:lang w:eastAsia="zh-CN"/>
        </w:rPr>
        <w:t>）</w:t>
      </w:r>
      <w:r>
        <w:rPr>
          <w:rFonts w:hint="eastAsia" w:ascii="仿宋_GB2312" w:hAnsi="宋体" w:eastAsia="仿宋_GB2312"/>
          <w:sz w:val="32"/>
          <w:szCs w:val="32"/>
        </w:rPr>
        <w:t>为：</w:t>
      </w:r>
      <w:r>
        <w:rPr>
          <w:rFonts w:hint="eastAsia" w:ascii="仿宋_GB2312" w:hAnsi="宋体" w:eastAsia="仿宋_GB2312"/>
          <w:sz w:val="32"/>
          <w:szCs w:val="32"/>
          <w:u w:val="single"/>
        </w:rPr>
        <w:t xml:space="preserve">      </w:t>
      </w:r>
      <w:r>
        <w:rPr>
          <w:rFonts w:hint="eastAsia" w:ascii="仿宋_GB2312" w:hAnsi="宋体" w:eastAsia="仿宋_GB2312"/>
          <w:sz w:val="32"/>
          <w:szCs w:val="32"/>
        </w:rPr>
        <w:t>元整（小写：￥</w:t>
      </w:r>
      <w:r>
        <w:rPr>
          <w:rFonts w:hint="eastAsia" w:ascii="仿宋_GB2312" w:hAnsi="宋体" w:eastAsia="仿宋_GB2312"/>
          <w:sz w:val="32"/>
          <w:szCs w:val="32"/>
          <w:u w:val="single"/>
        </w:rPr>
        <w:t xml:space="preserve">      </w:t>
      </w:r>
      <w:r>
        <w:rPr>
          <w:rFonts w:hint="eastAsia" w:ascii="仿宋_GB2312" w:hAnsi="宋体" w:eastAsia="仿宋_GB2312"/>
          <w:sz w:val="32"/>
          <w:szCs w:val="32"/>
        </w:rPr>
        <w:t>元），此费用为包干总价，是乙方依合同约定履行了全部义务后适用的总价格。</w:t>
      </w:r>
    </w:p>
    <w:p w14:paraId="3C87CCB2">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在甲方付款前，乙方需要提供国家合规含税发票。甲方将服务费用以转账方式支付至乙方以下账户。如因政策或内部审批原因导致甲方付款延期的，甲方不承担违约责任。</w:t>
      </w:r>
    </w:p>
    <w:p w14:paraId="28BC9360">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乙方收款的开户银行名称和账号为：</w:t>
      </w:r>
    </w:p>
    <w:p w14:paraId="1178D841">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 xml:space="preserve">开户名称： </w:t>
      </w:r>
    </w:p>
    <w:p w14:paraId="116E5850">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 xml:space="preserve">开户银行：  </w:t>
      </w:r>
    </w:p>
    <w:p w14:paraId="34E31988">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 xml:space="preserve">账    号：   </w:t>
      </w:r>
    </w:p>
    <w:p w14:paraId="75F43326">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2.支付方式</w:t>
      </w:r>
    </w:p>
    <w:p w14:paraId="57C296CE">
      <w:pPr>
        <w:spacing w:line="560" w:lineRule="exact"/>
        <w:ind w:firstLine="640"/>
        <w:rPr>
          <w:rFonts w:hint="eastAsia" w:ascii="仿宋_GB2312" w:hAnsi="宋体" w:eastAsia="仿宋_GB2312"/>
          <w:sz w:val="32"/>
          <w:szCs w:val="32"/>
          <w:highlight w:val="yellow"/>
          <w:lang w:eastAsia="zh-CN"/>
        </w:rPr>
      </w:pPr>
      <w:r>
        <w:rPr>
          <w:rFonts w:hint="eastAsia" w:ascii="仿宋_GB2312" w:eastAsia="仿宋_GB2312"/>
          <w:sz w:val="32"/>
          <w:szCs w:val="32"/>
          <w:highlight w:val="none"/>
          <w:lang w:val="en-US" w:eastAsia="zh-CN"/>
        </w:rPr>
        <w:t>2025年3月15日前</w:t>
      </w:r>
      <w:r>
        <w:rPr>
          <w:rFonts w:hint="eastAsia" w:ascii="仿宋_GB2312" w:eastAsia="仿宋_GB2312"/>
          <w:sz w:val="32"/>
          <w:szCs w:val="32"/>
          <w:highlight w:val="none"/>
          <w:lang w:eastAsia="zh-CN"/>
        </w:rPr>
        <w:t>，完成项目培训工作方案及培训</w:t>
      </w:r>
      <w:r>
        <w:rPr>
          <w:rFonts w:hint="eastAsia" w:ascii="仿宋_GB2312" w:eastAsia="仿宋_GB2312"/>
          <w:sz w:val="32"/>
          <w:szCs w:val="32"/>
          <w:highlight w:val="none"/>
          <w:lang w:val="en-US" w:eastAsia="zh-CN"/>
        </w:rPr>
        <w:t>ppt后，</w:t>
      </w:r>
      <w:r>
        <w:rPr>
          <w:rFonts w:hint="eastAsia" w:ascii="仿宋_GB2312" w:eastAsia="仿宋_GB2312"/>
          <w:sz w:val="32"/>
          <w:szCs w:val="32"/>
          <w:highlight w:val="none"/>
          <w:lang w:eastAsia="zh-CN"/>
        </w:rPr>
        <w:t>支付项目合同总价的30%；余下款项按项目进度支付，</w:t>
      </w:r>
      <w:r>
        <w:rPr>
          <w:rFonts w:hint="eastAsia" w:ascii="仿宋_GB2312" w:eastAsia="仿宋_GB2312"/>
          <w:sz w:val="32"/>
          <w:szCs w:val="32"/>
          <w:highlight w:val="none"/>
          <w:lang w:val="en-US" w:eastAsia="zh-CN"/>
        </w:rPr>
        <w:t>2025年9月15日前，</w:t>
      </w:r>
      <w:r>
        <w:rPr>
          <w:rFonts w:hint="eastAsia" w:ascii="仿宋_GB2312" w:eastAsia="仿宋_GB2312"/>
          <w:sz w:val="32"/>
          <w:szCs w:val="32"/>
          <w:highlight w:val="none"/>
          <w:lang w:eastAsia="zh-CN"/>
        </w:rPr>
        <w:t>完成培训总场次</w:t>
      </w:r>
      <w:r>
        <w:rPr>
          <w:rFonts w:hint="eastAsia" w:ascii="仿宋_GB2312" w:eastAsia="仿宋_GB2312"/>
          <w:sz w:val="32"/>
          <w:szCs w:val="32"/>
          <w:highlight w:val="none"/>
          <w:lang w:val="en-US" w:eastAsia="zh-CN"/>
        </w:rPr>
        <w:t>70%，经复核确认</w:t>
      </w:r>
      <w:r>
        <w:rPr>
          <w:rFonts w:hint="eastAsia" w:ascii="仿宋_GB2312" w:eastAsia="仿宋_GB2312"/>
          <w:sz w:val="32"/>
          <w:szCs w:val="32"/>
          <w:highlight w:val="none"/>
          <w:lang w:eastAsia="zh-CN"/>
        </w:rPr>
        <w:t>后，支付项目合同总价的</w:t>
      </w:r>
      <w:r>
        <w:rPr>
          <w:rFonts w:hint="eastAsia" w:ascii="仿宋_GB2312" w:eastAsia="仿宋_GB2312"/>
          <w:sz w:val="32"/>
          <w:szCs w:val="32"/>
          <w:highlight w:val="none"/>
          <w:lang w:val="en-US" w:eastAsia="zh-CN"/>
        </w:rPr>
        <w:t>40%；2025年12月10日前，</w:t>
      </w:r>
      <w:r>
        <w:rPr>
          <w:rFonts w:hint="eastAsia" w:ascii="仿宋_GB2312" w:eastAsia="仿宋_GB2312"/>
          <w:sz w:val="32"/>
          <w:szCs w:val="32"/>
          <w:highlight w:val="none"/>
          <w:lang w:eastAsia="zh-CN"/>
        </w:rPr>
        <w:t>完成全部培训后并验收合格后，支付完全部合同</w:t>
      </w:r>
      <w:r>
        <w:rPr>
          <w:rFonts w:hint="eastAsia" w:ascii="仿宋_GB2312" w:eastAsia="仿宋_GB2312"/>
          <w:sz w:val="32"/>
          <w:szCs w:val="32"/>
          <w:highlight w:val="none"/>
          <w:lang w:val="en-US" w:eastAsia="zh-CN"/>
        </w:rPr>
        <w:t>款项</w:t>
      </w:r>
      <w:r>
        <w:rPr>
          <w:rFonts w:hint="eastAsia" w:ascii="仿宋_GB2312" w:eastAsia="仿宋_GB2312"/>
          <w:sz w:val="32"/>
          <w:szCs w:val="32"/>
          <w:highlight w:val="none"/>
          <w:lang w:eastAsia="zh-CN"/>
        </w:rPr>
        <w:t>（即人民币大写：</w:t>
      </w:r>
      <w:r>
        <w:rPr>
          <w:rFonts w:hint="eastAsia" w:ascii="仿宋_GB2312" w:eastAsia="仿宋_GB2312"/>
          <w:sz w:val="32"/>
          <w:szCs w:val="32"/>
          <w:highlight w:val="none"/>
          <w:lang w:val="en-US" w:eastAsia="zh-CN"/>
        </w:rPr>
        <w:t>XXXX</w:t>
      </w:r>
      <w:r>
        <w:rPr>
          <w:rFonts w:hint="eastAsia" w:ascii="仿宋_GB2312" w:eastAsia="仿宋_GB2312"/>
          <w:sz w:val="32"/>
          <w:szCs w:val="32"/>
          <w:highlight w:val="none"/>
          <w:lang w:eastAsia="zh-CN"/>
        </w:rPr>
        <w:t>元整，小写:¥</w:t>
      </w:r>
      <w:r>
        <w:rPr>
          <w:rFonts w:hint="eastAsia" w:ascii="仿宋_GB2312" w:eastAsia="仿宋_GB2312"/>
          <w:sz w:val="32"/>
          <w:szCs w:val="32"/>
          <w:highlight w:val="none"/>
          <w:lang w:val="en-US" w:eastAsia="zh-CN"/>
        </w:rPr>
        <w:t>XXXX</w:t>
      </w:r>
      <w:r>
        <w:rPr>
          <w:rFonts w:hint="eastAsia" w:ascii="仿宋_GB2312" w:eastAsia="仿宋_GB2312"/>
          <w:sz w:val="32"/>
          <w:szCs w:val="32"/>
          <w:highlight w:val="none"/>
          <w:lang w:eastAsia="zh-CN"/>
        </w:rPr>
        <w:t>元），乙方应提供等额的</w:t>
      </w:r>
      <w:r>
        <w:rPr>
          <w:rFonts w:hint="eastAsia" w:ascii="仿宋_GB2312" w:eastAsia="仿宋_GB2312"/>
          <w:sz w:val="32"/>
          <w:szCs w:val="32"/>
          <w:highlight w:val="none"/>
          <w:lang w:val="en-US" w:eastAsia="zh-CN"/>
        </w:rPr>
        <w:t>合法</w:t>
      </w:r>
      <w:r>
        <w:rPr>
          <w:rFonts w:hint="eastAsia" w:ascii="仿宋_GB2312" w:eastAsia="仿宋_GB2312"/>
          <w:sz w:val="32"/>
          <w:szCs w:val="32"/>
          <w:highlight w:val="none"/>
          <w:lang w:eastAsia="zh-CN"/>
        </w:rPr>
        <w:t>有效发票。</w:t>
      </w:r>
    </w:p>
    <w:p w14:paraId="3A78892B">
      <w:pPr>
        <w:spacing w:line="560" w:lineRule="exact"/>
        <w:ind w:firstLine="640"/>
        <w:rPr>
          <w:rFonts w:ascii="黑体" w:hAnsi="黑体" w:eastAsia="黑体"/>
          <w:bCs/>
          <w:sz w:val="32"/>
          <w:szCs w:val="32"/>
        </w:rPr>
      </w:pPr>
      <w:r>
        <w:rPr>
          <w:rFonts w:hint="eastAsia" w:ascii="黑体" w:hAnsi="黑体" w:eastAsia="黑体"/>
          <w:bCs/>
          <w:sz w:val="32"/>
          <w:szCs w:val="32"/>
        </w:rPr>
        <w:t xml:space="preserve">第七条 </w:t>
      </w:r>
      <w:r>
        <w:rPr>
          <w:rFonts w:ascii="黑体" w:hAnsi="黑体" w:eastAsia="黑体"/>
          <w:bCs/>
          <w:sz w:val="32"/>
          <w:szCs w:val="32"/>
        </w:rPr>
        <w:t xml:space="preserve"> </w:t>
      </w:r>
      <w:r>
        <w:rPr>
          <w:rFonts w:hint="eastAsia" w:ascii="黑体" w:hAnsi="黑体" w:eastAsia="黑体"/>
          <w:bCs/>
          <w:sz w:val="32"/>
          <w:szCs w:val="32"/>
        </w:rPr>
        <w:t>双方确定服务资料归属</w:t>
      </w:r>
    </w:p>
    <w:p w14:paraId="3C4C5969">
      <w:pPr>
        <w:spacing w:line="560" w:lineRule="exact"/>
        <w:ind w:firstLine="64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.乙方向甲方提交的工作成果属于甲方所有。</w:t>
      </w:r>
    </w:p>
    <w:p w14:paraId="5078A9EF">
      <w:pPr>
        <w:spacing w:line="560" w:lineRule="exact"/>
        <w:ind w:firstLine="64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.甲方利用乙方提交的工作成果所完成的新的技术成果，归甲方所有。</w:t>
      </w:r>
    </w:p>
    <w:p w14:paraId="18103CF2">
      <w:pPr>
        <w:spacing w:line="560" w:lineRule="exact"/>
        <w:ind w:firstLine="64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.乙方利用工作成果所完成的新的技术成果，归乙方所有，但乙方对新的技术成果遵循本合同第十条保密条款的约定。</w:t>
      </w:r>
    </w:p>
    <w:p w14:paraId="60CA74A8">
      <w:pPr>
        <w:spacing w:line="560" w:lineRule="exact"/>
        <w:ind w:firstLine="640"/>
        <w:rPr>
          <w:rFonts w:ascii="黑体" w:hAnsi="黑体" w:eastAsia="黑体"/>
          <w:bCs/>
          <w:sz w:val="32"/>
          <w:szCs w:val="32"/>
        </w:rPr>
      </w:pPr>
      <w:r>
        <w:rPr>
          <w:rFonts w:hint="eastAsia" w:ascii="黑体" w:hAnsi="黑体" w:eastAsia="黑体"/>
          <w:bCs/>
          <w:sz w:val="32"/>
          <w:szCs w:val="32"/>
        </w:rPr>
        <w:t xml:space="preserve">第八条 </w:t>
      </w:r>
      <w:r>
        <w:rPr>
          <w:rFonts w:ascii="黑体" w:hAnsi="黑体" w:eastAsia="黑体"/>
          <w:bCs/>
          <w:sz w:val="32"/>
          <w:szCs w:val="32"/>
        </w:rPr>
        <w:t xml:space="preserve"> </w:t>
      </w:r>
      <w:r>
        <w:rPr>
          <w:rFonts w:hint="eastAsia" w:ascii="黑体" w:hAnsi="黑体" w:eastAsia="黑体"/>
          <w:bCs/>
          <w:sz w:val="32"/>
          <w:szCs w:val="32"/>
        </w:rPr>
        <w:t>双方确定，本合同有效期内，甲方指定</w:t>
      </w:r>
      <w:r>
        <w:rPr>
          <w:rFonts w:hint="eastAsia" w:ascii="黑体" w:hAnsi="黑体" w:eastAsia="黑体"/>
          <w:bCs/>
          <w:sz w:val="32"/>
          <w:szCs w:val="32"/>
          <w:u w:val="single"/>
        </w:rPr>
        <w:t>XXX</w:t>
      </w:r>
      <w:r>
        <w:rPr>
          <w:rFonts w:hint="eastAsia" w:ascii="黑体" w:hAnsi="黑体" w:eastAsia="黑体"/>
          <w:bCs/>
          <w:sz w:val="32"/>
          <w:szCs w:val="32"/>
        </w:rPr>
        <w:t>为甲方项目联系人，乙方指定</w:t>
      </w:r>
      <w:r>
        <w:rPr>
          <w:rFonts w:hint="eastAsia" w:ascii="黑体" w:hAnsi="黑体" w:eastAsia="黑体"/>
          <w:bCs/>
          <w:sz w:val="32"/>
          <w:szCs w:val="32"/>
          <w:u w:val="single"/>
        </w:rPr>
        <w:t xml:space="preserve">XXX </w:t>
      </w:r>
      <w:r>
        <w:rPr>
          <w:rFonts w:hint="eastAsia" w:ascii="黑体" w:hAnsi="黑体" w:eastAsia="黑体"/>
          <w:bCs/>
          <w:sz w:val="32"/>
          <w:szCs w:val="32"/>
        </w:rPr>
        <w:t>为乙方项目联系人。项目联系人承担以下责任：</w:t>
      </w:r>
    </w:p>
    <w:p w14:paraId="6156D138">
      <w:pPr>
        <w:spacing w:line="560" w:lineRule="exact"/>
        <w:ind w:firstLine="64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.负责传送资料及完成项目需要的资料；</w:t>
      </w:r>
    </w:p>
    <w:p w14:paraId="0698B8C4">
      <w:pPr>
        <w:spacing w:line="560" w:lineRule="exact"/>
        <w:ind w:firstLine="64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.负责督促项目完成的进度；</w:t>
      </w:r>
    </w:p>
    <w:p w14:paraId="6341743C">
      <w:pPr>
        <w:spacing w:line="560" w:lineRule="exact"/>
        <w:ind w:firstLine="64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.安排乙方的相关人员进行服务。</w:t>
      </w:r>
    </w:p>
    <w:p w14:paraId="6CB925C8">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一方变更项目联系人的，应当及时以书面形式通知另一方。未及时通知并影响本合同履行或造成损失的，应承担相应的责任。</w:t>
      </w:r>
    </w:p>
    <w:p w14:paraId="1FEC8D84">
      <w:pPr>
        <w:spacing w:line="560" w:lineRule="exact"/>
        <w:ind w:firstLine="640"/>
        <w:rPr>
          <w:rFonts w:hint="eastAsia" w:ascii="黑体" w:hAnsi="黑体" w:eastAsia="黑体"/>
          <w:bCs/>
          <w:sz w:val="32"/>
          <w:szCs w:val="32"/>
        </w:rPr>
      </w:pPr>
      <w:r>
        <w:rPr>
          <w:rFonts w:hint="eastAsia" w:ascii="黑体" w:hAnsi="黑体" w:eastAsia="黑体"/>
          <w:bCs/>
          <w:sz w:val="32"/>
          <w:szCs w:val="32"/>
        </w:rPr>
        <w:t xml:space="preserve">第九条 </w:t>
      </w:r>
      <w:r>
        <w:rPr>
          <w:rFonts w:ascii="黑体" w:hAnsi="黑体" w:eastAsia="黑体"/>
          <w:bCs/>
          <w:sz w:val="32"/>
          <w:szCs w:val="32"/>
        </w:rPr>
        <w:t xml:space="preserve"> </w:t>
      </w:r>
      <w:r>
        <w:rPr>
          <w:rFonts w:hint="eastAsia" w:ascii="黑体" w:hAnsi="黑体" w:eastAsia="黑体"/>
          <w:bCs/>
          <w:sz w:val="32"/>
          <w:szCs w:val="32"/>
        </w:rPr>
        <w:t>其他条款及违约责任</w:t>
      </w:r>
    </w:p>
    <w:p w14:paraId="416C08DE">
      <w:pPr>
        <w:spacing w:line="5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1.合同终止</w:t>
      </w:r>
    </w:p>
    <w:p w14:paraId="295CD7FF">
      <w:pPr>
        <w:spacing w:line="560" w:lineRule="exact"/>
        <w:ind w:firstLine="640"/>
        <w:rPr>
          <w:rFonts w:ascii="仿宋_GB2312" w:hAnsi="宋体" w:eastAsia="仿宋_GB2312"/>
          <w:sz w:val="32"/>
          <w:szCs w:val="32"/>
        </w:rPr>
      </w:pPr>
      <w:r>
        <w:rPr>
          <w:rFonts w:ascii="仿宋_GB2312" w:hAnsi="宋体" w:eastAsia="仿宋_GB2312"/>
          <w:sz w:val="32"/>
          <w:szCs w:val="32"/>
        </w:rPr>
        <w:t xml:space="preserve">1.1 </w:t>
      </w:r>
      <w:r>
        <w:rPr>
          <w:rFonts w:hint="eastAsia" w:ascii="仿宋_GB2312" w:hAnsi="宋体" w:eastAsia="仿宋_GB2312"/>
          <w:sz w:val="32"/>
          <w:szCs w:val="32"/>
        </w:rPr>
        <w:t>甲方因自身原因终止委托、解除本合同，对乙方已完成并提交相应成果的工作，应按照合同付清已完成部分的服务费用。</w:t>
      </w:r>
    </w:p>
    <w:p w14:paraId="5CE76FF2">
      <w:pPr>
        <w:spacing w:line="560" w:lineRule="exact"/>
        <w:ind w:firstLine="640"/>
        <w:rPr>
          <w:rFonts w:ascii="仿宋_GB2312" w:hAnsi="宋体" w:eastAsia="仿宋_GB2312"/>
          <w:sz w:val="32"/>
          <w:szCs w:val="32"/>
        </w:rPr>
      </w:pPr>
      <w:bookmarkStart w:id="6" w:name="_Hlk13230309"/>
      <w:r>
        <w:rPr>
          <w:rFonts w:ascii="仿宋_GB2312" w:hAnsi="宋体" w:eastAsia="仿宋_GB2312"/>
          <w:sz w:val="32"/>
          <w:szCs w:val="32"/>
        </w:rPr>
        <w:t>1.2</w:t>
      </w:r>
      <w:bookmarkEnd w:id="6"/>
      <w:r>
        <w:rPr>
          <w:rFonts w:ascii="仿宋_GB2312" w:hAnsi="宋体" w:eastAsia="仿宋_GB2312"/>
          <w:sz w:val="32"/>
          <w:szCs w:val="32"/>
        </w:rPr>
        <w:t xml:space="preserve"> </w:t>
      </w:r>
      <w:r>
        <w:rPr>
          <w:rFonts w:hint="eastAsia" w:ascii="仿宋_GB2312" w:hAnsi="宋体" w:eastAsia="仿宋_GB2312"/>
          <w:sz w:val="32"/>
          <w:szCs w:val="32"/>
        </w:rPr>
        <w:t>乙方因自身原因无法履行合同，甲方按实际完成的成果支付乙方服务费用，乙方应按合同总价10%赔偿甲方。</w:t>
      </w:r>
    </w:p>
    <w:p w14:paraId="46FC6558">
      <w:pPr>
        <w:spacing w:line="560" w:lineRule="exact"/>
        <w:ind w:firstLine="64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3</w:t>
      </w:r>
      <w:r>
        <w:rPr>
          <w:rFonts w:ascii="仿宋_GB2312" w:hAnsi="宋体" w:eastAsia="仿宋_GB2312"/>
          <w:sz w:val="32"/>
          <w:szCs w:val="32"/>
        </w:rPr>
        <w:t xml:space="preserve"> </w:t>
      </w:r>
      <w:r>
        <w:rPr>
          <w:rFonts w:hint="eastAsia" w:ascii="仿宋_GB2312" w:hAnsi="宋体" w:eastAsia="仿宋_GB2312"/>
          <w:sz w:val="32"/>
          <w:szCs w:val="32"/>
        </w:rPr>
        <w:t>不可抗力导致的终止合同：如果不可抗力发生，如行政命令、政策法规、罢工、故意破坏、资方停工、禁运、战争、自然灾害（如洪水和地震）或其他超出协议双方控制的事件，因而一方无法履行协议，受到不可抗力影响的一方可以提前十五天书面通知对方终止合同。</w:t>
      </w:r>
    </w:p>
    <w:p w14:paraId="59A47093">
      <w:pPr>
        <w:spacing w:line="560" w:lineRule="exact"/>
        <w:ind w:firstLine="64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4本合同因不可抗力而终止的，甲方应按乙方实际完成并提交成果的工作量支付报酬。</w:t>
      </w:r>
    </w:p>
    <w:p w14:paraId="6C26687A">
      <w:pPr>
        <w:spacing w:line="5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2.违约责任</w:t>
      </w:r>
    </w:p>
    <w:p w14:paraId="7F44D2E2">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2.1甲方有权对乙</w:t>
      </w:r>
      <w:r>
        <w:rPr>
          <w:rFonts w:hint="eastAsia" w:ascii="仿宋_GB2312" w:hAnsi="宋体" w:eastAsia="仿宋_GB2312"/>
          <w:sz w:val="32"/>
          <w:szCs w:val="32"/>
          <w:lang w:eastAsia="zh-CN"/>
        </w:rPr>
        <w:t>方提</w:t>
      </w:r>
      <w:r>
        <w:rPr>
          <w:rFonts w:hint="eastAsia" w:ascii="仿宋_GB2312" w:hAnsi="宋体" w:eastAsia="仿宋_GB2312"/>
          <w:sz w:val="32"/>
          <w:szCs w:val="32"/>
        </w:rPr>
        <w:t>供培训的真实性及培训情况进行检查。如存在虚假行为的，每一场次处项目合同总价1%的罚款，罚款可直接在合同款中扣除。</w:t>
      </w:r>
    </w:p>
    <w:p w14:paraId="20A27888">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2由于乙方原因造成未能</w:t>
      </w:r>
      <w:r>
        <w:rPr>
          <w:rFonts w:hint="eastAsia" w:ascii="仿宋_GB2312" w:hAnsi="宋体" w:eastAsia="仿宋_GB2312"/>
          <w:sz w:val="32"/>
          <w:szCs w:val="32"/>
          <w:highlight w:val="none"/>
        </w:rPr>
        <w:t>在202</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年12月</w:t>
      </w:r>
      <w:r>
        <w:rPr>
          <w:rFonts w:hint="eastAsia" w:ascii="仿宋_GB2312" w:hAnsi="宋体" w:eastAsia="仿宋_GB2312"/>
          <w:sz w:val="32"/>
          <w:szCs w:val="32"/>
          <w:highlight w:val="none"/>
          <w:lang w:val="en-US" w:eastAsia="zh-CN"/>
        </w:rPr>
        <w:t>10</w:t>
      </w:r>
      <w:r>
        <w:rPr>
          <w:rFonts w:hint="eastAsia" w:ascii="仿宋_GB2312" w:hAnsi="宋体" w:eastAsia="仿宋_GB2312"/>
          <w:sz w:val="32"/>
          <w:szCs w:val="32"/>
          <w:highlight w:val="none"/>
        </w:rPr>
        <w:t>日以</w:t>
      </w:r>
      <w:r>
        <w:rPr>
          <w:rFonts w:hint="eastAsia" w:ascii="仿宋_GB2312" w:hAnsi="宋体" w:eastAsia="仿宋_GB2312"/>
          <w:sz w:val="32"/>
          <w:szCs w:val="32"/>
        </w:rPr>
        <w:t>前完成服务内容的，责任由乙方承担，并视为乙方违约，乙方应当按照合同总价的10%向甲方支付违约金，违约金可直接在合同款中扣除。</w:t>
      </w:r>
    </w:p>
    <w:p w14:paraId="4EB6036C">
      <w:pPr>
        <w:spacing w:line="560" w:lineRule="exact"/>
        <w:ind w:firstLine="640"/>
        <w:rPr>
          <w:rFonts w:ascii="仿宋_GB2312" w:hAnsi="宋体" w:eastAsia="仿宋_GB2312"/>
          <w:sz w:val="32"/>
          <w:szCs w:val="32"/>
        </w:rPr>
      </w:pPr>
      <w:r>
        <w:rPr>
          <w:rFonts w:hint="eastAsia" w:ascii="仿宋_GB2312" w:hAnsi="宋体" w:eastAsia="仿宋_GB2312"/>
          <w:sz w:val="32"/>
          <w:szCs w:val="32"/>
        </w:rPr>
        <w:t>2.3经甲方核查，乙方提供的服务达不到合同约定的有关要求的，甲方有权视服务质量瑕疵严重程度进行合同总价30%内的扣款。</w:t>
      </w:r>
    </w:p>
    <w:p w14:paraId="78ED826D">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2.4乙方未经甲方同意擅自更换项目团队成员，应按照本合同总价5%向甲方支付违约金，违约金可直接在合同款中扣除。</w:t>
      </w:r>
    </w:p>
    <w:p w14:paraId="5E1DE8ED">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2.5乙方将本合同项目与第三方合作，或将本合同标的全部或部分擅自转包给第三方的，甲方有权要求乙方终止与第三方的合同。乙方应承担因此而产生的一切责任。</w:t>
      </w:r>
    </w:p>
    <w:p w14:paraId="65EC9579">
      <w:pPr>
        <w:spacing w:line="560" w:lineRule="exact"/>
        <w:ind w:firstLine="640"/>
        <w:rPr>
          <w:rFonts w:ascii="仿宋_GB2312" w:hAnsi="宋体" w:eastAsia="仿宋_GB2312"/>
          <w:sz w:val="32"/>
          <w:szCs w:val="32"/>
        </w:rPr>
      </w:pPr>
      <w:r>
        <w:rPr>
          <w:rFonts w:hint="eastAsia" w:ascii="仿宋_GB2312" w:hAnsi="宋体" w:eastAsia="仿宋_GB2312"/>
          <w:sz w:val="32"/>
          <w:szCs w:val="32"/>
        </w:rPr>
        <w:t>2.6乙方不能以甲方的名义开展与本合同约定的服务内容无关的活动或者从事商业活动，如有则视为乙方违约，甲方有权利解除合同，并要求乙方按照合同总价的30%向甲方支付违约金，违约金可直接在合同款中扣除。</w:t>
      </w:r>
    </w:p>
    <w:p w14:paraId="0FAC2A94">
      <w:pPr>
        <w:spacing w:line="5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3.一般条款</w:t>
      </w:r>
    </w:p>
    <w:p w14:paraId="22A8775E">
      <w:pPr>
        <w:spacing w:line="560" w:lineRule="exact"/>
        <w:ind w:firstLine="640"/>
        <w:rPr>
          <w:rFonts w:ascii="仿宋_GB2312" w:hAnsi="宋体" w:eastAsia="仿宋_GB2312"/>
          <w:sz w:val="32"/>
          <w:szCs w:val="32"/>
        </w:rPr>
      </w:pPr>
      <w:r>
        <w:rPr>
          <w:rFonts w:hint="eastAsia" w:ascii="仿宋_GB2312" w:hAnsi="宋体" w:eastAsia="仿宋_GB2312"/>
          <w:sz w:val="32"/>
          <w:szCs w:val="32"/>
        </w:rPr>
        <w:t>3.1本合同要求乙方提供的相关资料和文件与本合同一并使用，并与本合同具有同等法律效力，如两者之间有不符之处，以本合同为准。</w:t>
      </w:r>
    </w:p>
    <w:p w14:paraId="586372D6">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3.2本合同未尽事宜，双方可签订补充协议作为附件，补充协议与本合同具有同等法律效力。</w:t>
      </w:r>
    </w:p>
    <w:p w14:paraId="7D265AC1">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3.3双方因履行本合同而发生的争议，应协商、调解解决。协商、调解不成的，确定按以下第2种方式处理</w:t>
      </w:r>
    </w:p>
    <w:p w14:paraId="7E801D3C">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（1）提交甲方所在地仲裁委员会仲裁；</w:t>
      </w:r>
    </w:p>
    <w:p w14:paraId="678FD17C">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（2）依法向甲方所在地人民法院起诉。</w:t>
      </w:r>
    </w:p>
    <w:p w14:paraId="167D44B4">
      <w:p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第十条  保密要求</w:t>
      </w:r>
    </w:p>
    <w:p w14:paraId="0E60CC95">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1.保密内容（包括技术信息和经营信息）：甲方的管理等相关信息，乙方不得向第三方透露。</w:t>
      </w:r>
    </w:p>
    <w:p w14:paraId="6985831F">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2.涉密人员范围：乙方为履行本合同而指派的人员及其他可能了解甲方经营管理信息的技术信息人员。</w:t>
      </w:r>
    </w:p>
    <w:p w14:paraId="31503997">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3.技术保密期限：项目验收之日起两年止。</w:t>
      </w:r>
    </w:p>
    <w:p w14:paraId="23A921A3">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4.泄密责任：依法赔偿相应损失。</w:t>
      </w:r>
    </w:p>
    <w:p w14:paraId="03F9FA37">
      <w:pPr>
        <w:spacing w:line="560" w:lineRule="exact"/>
        <w:ind w:firstLine="640"/>
        <w:rPr>
          <w:rFonts w:ascii="黑体" w:hAnsi="黑体" w:eastAsia="黑体"/>
          <w:bCs/>
          <w:sz w:val="32"/>
          <w:szCs w:val="32"/>
        </w:rPr>
      </w:pPr>
      <w:r>
        <w:rPr>
          <w:rFonts w:hint="eastAsia" w:ascii="黑体" w:hAnsi="黑体" w:eastAsia="黑体"/>
          <w:bCs/>
          <w:sz w:val="32"/>
          <w:szCs w:val="32"/>
        </w:rPr>
        <w:t>第十一条 本合同一式</w:t>
      </w:r>
      <w:r>
        <w:rPr>
          <w:rFonts w:hint="eastAsia" w:ascii="黑体" w:hAnsi="黑体" w:eastAsia="黑体"/>
          <w:bCs/>
          <w:sz w:val="32"/>
          <w:szCs w:val="32"/>
          <w:lang w:eastAsia="zh-CN"/>
        </w:rPr>
        <w:t>陆</w:t>
      </w:r>
      <w:r>
        <w:rPr>
          <w:rFonts w:hint="eastAsia" w:ascii="黑体" w:hAnsi="黑体" w:eastAsia="黑体"/>
          <w:bCs/>
          <w:sz w:val="32"/>
          <w:szCs w:val="32"/>
        </w:rPr>
        <w:t>份，甲方执肆份，乙方执</w:t>
      </w:r>
      <w:r>
        <w:rPr>
          <w:rFonts w:hint="eastAsia" w:ascii="黑体" w:hAnsi="黑体" w:eastAsia="黑体"/>
          <w:bCs/>
          <w:sz w:val="32"/>
          <w:szCs w:val="32"/>
          <w:lang w:eastAsia="zh-CN"/>
        </w:rPr>
        <w:t>贰</w:t>
      </w:r>
      <w:r>
        <w:rPr>
          <w:rFonts w:hint="eastAsia" w:ascii="黑体" w:hAnsi="黑体" w:eastAsia="黑体"/>
          <w:bCs/>
          <w:sz w:val="32"/>
          <w:szCs w:val="32"/>
        </w:rPr>
        <w:t>份，具有同等法律效力。</w:t>
      </w:r>
    </w:p>
    <w:p w14:paraId="4BDBD71A">
      <w:pPr>
        <w:spacing w:line="560" w:lineRule="exact"/>
        <w:ind w:firstLine="640"/>
        <w:rPr>
          <w:rFonts w:hint="eastAsia" w:ascii="黑体" w:hAnsi="黑体" w:eastAsia="黑体"/>
          <w:bCs/>
          <w:sz w:val="32"/>
          <w:szCs w:val="32"/>
        </w:rPr>
      </w:pPr>
      <w:r>
        <w:rPr>
          <w:rFonts w:hint="eastAsia" w:ascii="黑体" w:hAnsi="黑体" w:eastAsia="黑体"/>
          <w:bCs/>
          <w:sz w:val="32"/>
          <w:szCs w:val="32"/>
        </w:rPr>
        <w:t xml:space="preserve">第十二条 </w:t>
      </w:r>
      <w:r>
        <w:rPr>
          <w:rFonts w:ascii="黑体" w:hAnsi="黑体" w:eastAsia="黑体"/>
          <w:bCs/>
          <w:sz w:val="32"/>
          <w:szCs w:val="32"/>
        </w:rPr>
        <w:t xml:space="preserve"> </w:t>
      </w:r>
      <w:r>
        <w:rPr>
          <w:rFonts w:hint="eastAsia" w:ascii="黑体" w:hAnsi="黑体" w:eastAsia="黑体"/>
          <w:bCs/>
          <w:sz w:val="32"/>
          <w:szCs w:val="32"/>
        </w:rPr>
        <w:t>本合同</w:t>
      </w:r>
      <w:r>
        <w:rPr>
          <w:rFonts w:hint="eastAsia" w:ascii="黑体" w:hAnsi="黑体" w:eastAsia="黑体"/>
          <w:bCs/>
          <w:sz w:val="32"/>
          <w:szCs w:val="32"/>
          <w:lang w:val="en-US" w:eastAsia="zh-CN"/>
        </w:rPr>
        <w:t>自</w:t>
      </w:r>
      <w:r>
        <w:rPr>
          <w:rFonts w:hint="eastAsia" w:ascii="黑体" w:hAnsi="黑体" w:eastAsia="黑体"/>
          <w:bCs/>
          <w:sz w:val="32"/>
          <w:szCs w:val="32"/>
        </w:rPr>
        <w:t>双方</w:t>
      </w:r>
      <w:r>
        <w:rPr>
          <w:rFonts w:hint="eastAsia" w:ascii="黑体" w:hAnsi="黑体" w:eastAsia="黑体"/>
          <w:bCs/>
          <w:sz w:val="32"/>
          <w:szCs w:val="32"/>
          <w:lang w:val="en-US" w:eastAsia="zh-CN"/>
        </w:rPr>
        <w:t>法定代表人或授权代表</w:t>
      </w:r>
      <w:r>
        <w:rPr>
          <w:rFonts w:hint="eastAsia" w:ascii="黑体" w:hAnsi="黑体" w:eastAsia="黑体"/>
          <w:bCs/>
          <w:sz w:val="32"/>
          <w:szCs w:val="32"/>
        </w:rPr>
        <w:t>签字</w:t>
      </w:r>
      <w:r>
        <w:rPr>
          <w:rFonts w:hint="eastAsia" w:ascii="黑体" w:hAnsi="黑体" w:eastAsia="黑体"/>
          <w:bCs/>
          <w:sz w:val="32"/>
          <w:szCs w:val="32"/>
          <w:lang w:val="en-US" w:eastAsia="zh-CN"/>
        </w:rPr>
        <w:t>并</w:t>
      </w:r>
      <w:r>
        <w:rPr>
          <w:rFonts w:hint="eastAsia" w:ascii="黑体" w:hAnsi="黑体" w:eastAsia="黑体"/>
          <w:bCs/>
          <w:sz w:val="32"/>
          <w:szCs w:val="32"/>
        </w:rPr>
        <w:t>盖章</w:t>
      </w:r>
      <w:r>
        <w:rPr>
          <w:rFonts w:hint="eastAsia" w:ascii="黑体" w:hAnsi="黑体" w:eastAsia="黑体"/>
          <w:bCs/>
          <w:sz w:val="32"/>
          <w:szCs w:val="32"/>
          <w:lang w:val="en-US" w:eastAsia="zh-CN"/>
        </w:rPr>
        <w:t>之日起</w:t>
      </w:r>
      <w:r>
        <w:rPr>
          <w:rFonts w:hint="eastAsia" w:ascii="黑体" w:hAnsi="黑体" w:eastAsia="黑体"/>
          <w:bCs/>
          <w:sz w:val="32"/>
          <w:szCs w:val="32"/>
        </w:rPr>
        <w:t>生效。</w:t>
      </w:r>
    </w:p>
    <w:p w14:paraId="78B7559E">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甲方：</w:t>
      </w:r>
      <w:r>
        <w:rPr>
          <w:rFonts w:hint="eastAsia" w:ascii="仿宋_GB2312" w:hAnsi="宋体" w:eastAsia="仿宋_GB2312"/>
          <w:sz w:val="32"/>
          <w:szCs w:val="32"/>
          <w:u w:val="single"/>
        </w:rPr>
        <w:t xml:space="preserve">深圳市南山区住房和建设局 </w:t>
      </w:r>
      <w:r>
        <w:rPr>
          <w:rFonts w:hint="eastAsia" w:ascii="仿宋_GB2312" w:hAnsi="宋体" w:eastAsia="仿宋_GB2312"/>
          <w:sz w:val="32"/>
          <w:szCs w:val="32"/>
        </w:rPr>
        <w:t>（签章）</w:t>
      </w:r>
    </w:p>
    <w:p w14:paraId="7ADEC35F">
      <w:pPr>
        <w:spacing w:line="560" w:lineRule="exact"/>
        <w:ind w:firstLine="640"/>
        <w:rPr>
          <w:rFonts w:hint="eastAsia" w:ascii="仿宋_GB2312" w:hAnsi="宋体" w:eastAsia="仿宋_GB2312"/>
          <w:sz w:val="32"/>
          <w:szCs w:val="32"/>
          <w:u w:val="single"/>
        </w:rPr>
      </w:pPr>
      <w:r>
        <w:rPr>
          <w:rFonts w:hint="eastAsia" w:ascii="仿宋_GB2312" w:hAnsi="宋体" w:eastAsia="仿宋_GB2312"/>
          <w:sz w:val="32"/>
          <w:szCs w:val="32"/>
        </w:rPr>
        <w:t>地址：</w:t>
      </w:r>
      <w:r>
        <w:rPr>
          <w:rFonts w:hint="eastAsia" w:ascii="仿宋_GB2312" w:hAnsi="宋体" w:eastAsia="仿宋_GB2312"/>
          <w:sz w:val="32"/>
          <w:szCs w:val="32"/>
          <w:u w:val="single"/>
        </w:rPr>
        <w:t>深圳市南山区桃园路2号区政府大楼</w:t>
      </w:r>
    </w:p>
    <w:p w14:paraId="6F228EF2">
      <w:pPr>
        <w:spacing w:line="560" w:lineRule="exact"/>
        <w:ind w:firstLine="640"/>
        <w:rPr>
          <w:rFonts w:hint="eastAsia" w:ascii="仿宋_GB2312" w:hAnsi="宋体" w:eastAsia="仿宋_GB2312"/>
          <w:sz w:val="32"/>
          <w:szCs w:val="32"/>
          <w:u w:val="single"/>
        </w:rPr>
      </w:pPr>
      <w:r>
        <w:rPr>
          <w:rFonts w:hint="eastAsia" w:ascii="仿宋_GB2312" w:hAnsi="宋体" w:eastAsia="仿宋_GB2312"/>
          <w:sz w:val="32"/>
          <w:szCs w:val="32"/>
        </w:rPr>
        <w:t>法定代表人/委托代理人：</w:t>
      </w:r>
      <w:r>
        <w:rPr>
          <w:rFonts w:hint="eastAsia" w:ascii="仿宋_GB2312" w:hAnsi="宋体" w:eastAsia="仿宋_GB2312"/>
          <w:sz w:val="32"/>
          <w:szCs w:val="32"/>
          <w:u w:val="single"/>
        </w:rPr>
        <w:t xml:space="preserve">               </w:t>
      </w:r>
    </w:p>
    <w:p w14:paraId="7F610C1F">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项目负责人：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电话：</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w:t>
      </w:r>
    </w:p>
    <w:p w14:paraId="282E91B9">
      <w:pPr>
        <w:spacing w:line="560" w:lineRule="exact"/>
        <w:ind w:firstLine="640"/>
        <w:rPr>
          <w:rFonts w:hint="eastAsia" w:ascii="仿宋_GB2312" w:hAnsi="宋体" w:eastAsia="仿宋_GB2312"/>
          <w:sz w:val="32"/>
          <w:szCs w:val="32"/>
          <w:u w:val="single"/>
        </w:rPr>
      </w:pPr>
      <w:r>
        <w:rPr>
          <w:rFonts w:hint="eastAsia" w:ascii="仿宋_GB2312" w:hAnsi="宋体" w:eastAsia="仿宋_GB2312"/>
          <w:sz w:val="32"/>
          <w:szCs w:val="32"/>
        </w:rPr>
        <w:t>日期：</w:t>
      </w:r>
      <w:r>
        <w:rPr>
          <w:rFonts w:hint="eastAsia" w:ascii="仿宋_GB2312" w:hAnsi="宋体" w:eastAsia="仿宋_GB2312"/>
          <w:sz w:val="32"/>
          <w:szCs w:val="32"/>
          <w:u w:val="single"/>
        </w:rPr>
        <w:t xml:space="preserve">                   </w:t>
      </w:r>
    </w:p>
    <w:p w14:paraId="65ABFDD9">
      <w:pPr>
        <w:spacing w:line="560" w:lineRule="exact"/>
        <w:ind w:firstLine="640"/>
        <w:rPr>
          <w:rFonts w:ascii="仿宋_GB2312" w:hAnsi="宋体" w:eastAsia="仿宋_GB2312"/>
          <w:sz w:val="32"/>
          <w:szCs w:val="32"/>
        </w:rPr>
      </w:pPr>
    </w:p>
    <w:p w14:paraId="569B67D3">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乙方：</w:t>
      </w:r>
      <w:r>
        <w:rPr>
          <w:rFonts w:hint="eastAsia" w:ascii="仿宋_GB2312" w:hAnsi="宋体" w:eastAsia="仿宋_GB2312"/>
          <w:sz w:val="32"/>
          <w:szCs w:val="32"/>
          <w:u w:val="single"/>
        </w:rPr>
        <w:t xml:space="preserve">                             </w:t>
      </w:r>
      <w:r>
        <w:rPr>
          <w:rFonts w:hint="eastAsia" w:ascii="仿宋_GB2312" w:hAnsi="宋体" w:eastAsia="仿宋_GB2312"/>
          <w:sz w:val="32"/>
          <w:szCs w:val="32"/>
        </w:rPr>
        <w:t>（签章）</w:t>
      </w:r>
    </w:p>
    <w:p w14:paraId="2B821967">
      <w:pPr>
        <w:spacing w:line="560" w:lineRule="exact"/>
        <w:ind w:firstLine="640"/>
        <w:rPr>
          <w:rFonts w:ascii="仿宋_GB2312" w:hAnsi="宋体" w:eastAsia="仿宋_GB2312"/>
          <w:sz w:val="32"/>
          <w:szCs w:val="32"/>
          <w:u w:val="single"/>
        </w:rPr>
      </w:pPr>
      <w:r>
        <w:rPr>
          <w:rFonts w:hint="eastAsia" w:ascii="仿宋_GB2312" w:hAnsi="宋体" w:eastAsia="仿宋_GB2312"/>
          <w:sz w:val="32"/>
          <w:szCs w:val="32"/>
        </w:rPr>
        <w:t>地址：</w:t>
      </w:r>
      <w:r>
        <w:rPr>
          <w:rFonts w:hint="eastAsia" w:ascii="仿宋_GB2312" w:hAnsi="宋体" w:eastAsia="仿宋_GB2312"/>
          <w:sz w:val="32"/>
          <w:szCs w:val="32"/>
          <w:u w:val="single"/>
        </w:rPr>
        <w:t xml:space="preserve">                                    </w:t>
      </w:r>
    </w:p>
    <w:p w14:paraId="71537362">
      <w:pPr>
        <w:spacing w:line="560" w:lineRule="exact"/>
        <w:ind w:firstLine="640"/>
        <w:rPr>
          <w:rFonts w:hint="eastAsia" w:ascii="仿宋_GB2312" w:hAnsi="宋体" w:eastAsia="仿宋_GB2312"/>
          <w:sz w:val="32"/>
          <w:szCs w:val="32"/>
          <w:u w:val="single"/>
        </w:rPr>
      </w:pPr>
      <w:r>
        <w:rPr>
          <w:rFonts w:hint="eastAsia" w:ascii="仿宋_GB2312" w:hAnsi="宋体" w:eastAsia="仿宋_GB2312"/>
          <w:sz w:val="32"/>
          <w:szCs w:val="32"/>
        </w:rPr>
        <w:t>法定代表人/委托代理人：</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p>
    <w:p w14:paraId="11FEA08E">
      <w:pPr>
        <w:spacing w:line="560" w:lineRule="exact"/>
        <w:ind w:firstLine="640"/>
        <w:rPr>
          <w:rFonts w:ascii="仿宋_GB2312" w:hAnsi="宋体" w:eastAsia="仿宋_GB2312"/>
          <w:sz w:val="32"/>
          <w:szCs w:val="32"/>
          <w:u w:val="single"/>
        </w:rPr>
      </w:pPr>
      <w:r>
        <w:rPr>
          <w:rFonts w:hint="eastAsia" w:ascii="仿宋_GB2312" w:hAnsi="宋体" w:eastAsia="仿宋_GB2312"/>
          <w:sz w:val="32"/>
          <w:szCs w:val="32"/>
        </w:rPr>
        <w:t>项目负责人：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  电话：</w:t>
      </w:r>
      <w:r>
        <w:rPr>
          <w:rFonts w:hint="eastAsia" w:ascii="仿宋_GB2312" w:hAnsi="宋体" w:eastAsia="仿宋_GB2312"/>
          <w:sz w:val="32"/>
          <w:szCs w:val="32"/>
          <w:u w:val="single"/>
        </w:rPr>
        <w:t xml:space="preserve">          </w:t>
      </w:r>
    </w:p>
    <w:p w14:paraId="77ECA571">
      <w:pPr>
        <w:spacing w:line="560" w:lineRule="exact"/>
        <w:ind w:firstLine="640"/>
        <w:rPr>
          <w:rFonts w:hint="eastAsia"/>
        </w:rPr>
      </w:pPr>
      <w:r>
        <w:rPr>
          <w:rFonts w:hint="eastAsia" w:ascii="仿宋_GB2312" w:hAnsi="宋体" w:eastAsia="仿宋_GB2312"/>
          <w:sz w:val="32"/>
          <w:szCs w:val="32"/>
        </w:rPr>
        <w:t>日期：</w:t>
      </w:r>
      <w:r>
        <w:rPr>
          <w:rFonts w:hint="eastAsia" w:ascii="仿宋_GB2312" w:hAnsi="宋体" w:eastAsia="仿宋_GB2312"/>
          <w:sz w:val="32"/>
          <w:szCs w:val="32"/>
          <w:u w:val="single"/>
        </w:rPr>
        <w:t xml:space="preserve">                    </w:t>
      </w:r>
    </w:p>
    <w:p w14:paraId="692B2CCA">
      <w:pPr>
        <w:jc w:val="center"/>
        <w:rPr>
          <w:sz w:val="44"/>
          <w:szCs w:val="44"/>
          <w:highlight w:val="none"/>
        </w:rPr>
      </w:pPr>
      <w:r>
        <w:rPr>
          <w:rFonts w:hint="eastAsia"/>
          <w:sz w:val="44"/>
          <w:szCs w:val="44"/>
          <w:highlight w:val="none"/>
          <w:lang w:eastAsia="zh-CN"/>
        </w:rPr>
        <w:t>第四部分</w:t>
      </w:r>
      <w:r>
        <w:rPr>
          <w:rFonts w:hint="eastAsia"/>
          <w:sz w:val="44"/>
          <w:szCs w:val="44"/>
          <w:highlight w:val="none"/>
          <w:lang w:val="en-US" w:eastAsia="zh-CN"/>
        </w:rPr>
        <w:t xml:space="preserve"> </w:t>
      </w:r>
      <w:r>
        <w:rPr>
          <w:rFonts w:hint="eastAsia"/>
          <w:sz w:val="44"/>
          <w:szCs w:val="44"/>
          <w:highlight w:val="none"/>
        </w:rPr>
        <w:t>评分细则表</w:t>
      </w:r>
    </w:p>
    <w:p w14:paraId="350B5B83">
      <w:pPr>
        <w:rPr>
          <w:rFonts w:hint="eastAsia"/>
          <w:highlight w:val="none"/>
        </w:rPr>
      </w:pPr>
    </w:p>
    <w:p w14:paraId="11565D5E">
      <w:pPr>
        <w:spacing w:line="50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rPr>
        <w:t>评标方法：本项目定标采用综合评分法,评分最高者即为中标单位。</w:t>
      </w:r>
      <w:r>
        <w:rPr>
          <w:rFonts w:ascii="仿宋_GB2312" w:hAnsi="仿宋_GB2312" w:eastAsia="仿宋_GB2312" w:cs="仿宋_GB2312"/>
          <w:sz w:val="32"/>
          <w:szCs w:val="32"/>
        </w:rPr>
        <w:t>评分标准详见</w:t>
      </w:r>
      <w:r>
        <w:rPr>
          <w:rFonts w:hint="eastAsia" w:ascii="仿宋_GB2312" w:hAnsi="仿宋_GB2312" w:eastAsia="仿宋_GB2312" w:cs="仿宋_GB2312"/>
          <w:sz w:val="32"/>
          <w:szCs w:val="32"/>
          <w:lang w:eastAsia="zh-CN"/>
        </w:rPr>
        <w:t>下表：</w:t>
      </w:r>
    </w:p>
    <w:tbl>
      <w:tblPr>
        <w:tblStyle w:val="15"/>
        <w:tblW w:w="93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2"/>
        <w:gridCol w:w="1763"/>
        <w:gridCol w:w="4693"/>
        <w:gridCol w:w="687"/>
        <w:gridCol w:w="1545"/>
      </w:tblGrid>
      <w:tr w14:paraId="403AF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300" w:type="dxa"/>
            <w:gridSpan w:val="5"/>
            <w:tcBorders>
              <w:top w:val="single" w:color="auto" w:sz="6" w:space="0"/>
              <w:left w:val="single" w:color="auto" w:sz="6" w:space="0"/>
              <w:bottom w:val="single" w:color="auto" w:sz="6" w:space="0"/>
              <w:right w:val="single" w:color="auto" w:sz="6" w:space="0"/>
            </w:tcBorders>
            <w:vAlign w:val="center"/>
          </w:tcPr>
          <w:p w14:paraId="66E92E35">
            <w:pPr>
              <w:autoSpaceDE w:val="0"/>
              <w:autoSpaceDN w:val="0"/>
              <w:adjustRightInd w:val="0"/>
              <w:jc w:val="center"/>
              <w:rPr>
                <w:rFonts w:ascii="宋体" w:hAnsi="宋体" w:cs="Times New Roman"/>
                <w:b/>
                <w:color w:val="auto"/>
                <w:szCs w:val="21"/>
                <w:highlight w:val="none"/>
                <w:lang w:val="zh-CN"/>
              </w:rPr>
            </w:pPr>
            <w:r>
              <w:rPr>
                <w:rFonts w:hint="eastAsia" w:ascii="宋体" w:hAnsi="宋体" w:cs="Times New Roman"/>
                <w:b/>
                <w:color w:val="auto"/>
                <w:szCs w:val="21"/>
                <w:highlight w:val="none"/>
                <w:lang w:val="zh-CN"/>
              </w:rPr>
              <w:t>评分项及评分规则（满分</w:t>
            </w:r>
            <w:r>
              <w:rPr>
                <w:rFonts w:hint="eastAsia" w:ascii="宋体" w:hAnsi="宋体" w:cs="Times New Roman"/>
                <w:b/>
                <w:color w:val="auto"/>
                <w:szCs w:val="21"/>
                <w:highlight w:val="none"/>
              </w:rPr>
              <w:t>100分</w:t>
            </w:r>
            <w:r>
              <w:rPr>
                <w:rFonts w:hint="eastAsia" w:ascii="宋体" w:hAnsi="宋体" w:cs="Times New Roman"/>
                <w:b/>
                <w:color w:val="auto"/>
                <w:szCs w:val="21"/>
                <w:highlight w:val="none"/>
                <w:lang w:val="zh-CN"/>
              </w:rPr>
              <w:t>）</w:t>
            </w:r>
          </w:p>
        </w:tc>
      </w:tr>
      <w:tr w14:paraId="79BB4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trPr>
        <w:tc>
          <w:tcPr>
            <w:tcW w:w="7068" w:type="dxa"/>
            <w:gridSpan w:val="3"/>
            <w:tcBorders>
              <w:top w:val="single" w:color="auto" w:sz="6" w:space="0"/>
              <w:left w:val="single" w:color="auto" w:sz="6" w:space="0"/>
              <w:bottom w:val="single" w:color="auto" w:sz="6" w:space="0"/>
              <w:right w:val="single" w:color="auto" w:sz="6" w:space="0"/>
            </w:tcBorders>
            <w:vAlign w:val="center"/>
          </w:tcPr>
          <w:p w14:paraId="453BCBB5">
            <w:pPr>
              <w:autoSpaceDE w:val="0"/>
              <w:autoSpaceDN w:val="0"/>
              <w:adjustRightInd w:val="0"/>
              <w:jc w:val="center"/>
              <w:rPr>
                <w:rFonts w:ascii="宋体" w:hAnsi="宋体" w:cs="Times New Roman"/>
                <w:b/>
                <w:color w:val="auto"/>
                <w:szCs w:val="21"/>
                <w:highlight w:val="none"/>
                <w:lang w:val="zh-CN"/>
              </w:rPr>
            </w:pPr>
            <w:r>
              <w:rPr>
                <w:rFonts w:hint="eastAsia" w:ascii="宋体" w:hAnsi="宋体" w:cs="Times New Roman"/>
                <w:b/>
                <w:color w:val="auto"/>
                <w:szCs w:val="21"/>
                <w:highlight w:val="none"/>
                <w:lang w:val="zh-CN"/>
              </w:rPr>
              <w:t>一、价格部分</w:t>
            </w:r>
          </w:p>
        </w:tc>
        <w:tc>
          <w:tcPr>
            <w:tcW w:w="2232" w:type="dxa"/>
            <w:gridSpan w:val="2"/>
            <w:tcBorders>
              <w:top w:val="single" w:color="auto" w:sz="6" w:space="0"/>
              <w:left w:val="single" w:color="auto" w:sz="6" w:space="0"/>
              <w:bottom w:val="single" w:color="auto" w:sz="6" w:space="0"/>
              <w:right w:val="single" w:color="auto" w:sz="6" w:space="0"/>
            </w:tcBorders>
            <w:vAlign w:val="center"/>
          </w:tcPr>
          <w:p w14:paraId="023DC1E9">
            <w:pPr>
              <w:autoSpaceDE w:val="0"/>
              <w:autoSpaceDN w:val="0"/>
              <w:adjustRightInd w:val="0"/>
              <w:jc w:val="center"/>
              <w:rPr>
                <w:rFonts w:ascii="宋体" w:hAnsi="宋体" w:cs="Times New Roman"/>
                <w:color w:val="auto"/>
                <w:szCs w:val="21"/>
                <w:highlight w:val="none"/>
              </w:rPr>
            </w:pPr>
            <w:r>
              <w:rPr>
                <w:rFonts w:hint="eastAsia" w:ascii="宋体" w:hAnsi="宋体" w:cs="Times New Roman"/>
                <w:b/>
                <w:bCs/>
                <w:color w:val="auto"/>
                <w:szCs w:val="21"/>
                <w:highlight w:val="none"/>
                <w:lang w:val="en-US" w:eastAsia="zh-CN"/>
              </w:rPr>
              <w:t>20</w:t>
            </w:r>
            <w:r>
              <w:rPr>
                <w:rFonts w:hint="eastAsia" w:ascii="宋体" w:hAnsi="宋体" w:cs="Times New Roman"/>
                <w:b/>
                <w:bCs/>
                <w:color w:val="auto"/>
                <w:szCs w:val="21"/>
                <w:highlight w:val="none"/>
              </w:rPr>
              <w:t>分</w:t>
            </w:r>
          </w:p>
        </w:tc>
      </w:tr>
      <w:tr w14:paraId="1AED2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612" w:type="dxa"/>
            <w:tcBorders>
              <w:top w:val="single" w:color="auto" w:sz="6" w:space="0"/>
              <w:left w:val="single" w:color="auto" w:sz="4" w:space="0"/>
              <w:bottom w:val="single" w:color="auto" w:sz="6" w:space="0"/>
              <w:right w:val="single" w:color="auto" w:sz="4" w:space="0"/>
            </w:tcBorders>
            <w:vAlign w:val="center"/>
          </w:tcPr>
          <w:p w14:paraId="59FB8B0C">
            <w:pPr>
              <w:autoSpaceDE w:val="0"/>
              <w:autoSpaceDN w:val="0"/>
              <w:adjustRightInd w:val="0"/>
              <w:jc w:val="center"/>
              <w:rPr>
                <w:rFonts w:ascii="宋体" w:hAnsi="宋体" w:cs="Times New Roman"/>
                <w:b/>
                <w:color w:val="auto"/>
                <w:szCs w:val="21"/>
                <w:highlight w:val="none"/>
                <w:lang w:val="zh-CN"/>
              </w:rPr>
            </w:pPr>
            <w:r>
              <w:rPr>
                <w:rFonts w:hint="eastAsia" w:ascii="宋体" w:hAnsi="宋体" w:cs="Times New Roman"/>
                <w:bCs/>
                <w:color w:val="auto"/>
                <w:szCs w:val="21"/>
                <w:highlight w:val="none"/>
                <w:lang w:val="zh-CN"/>
              </w:rPr>
              <w:t>序号</w:t>
            </w:r>
          </w:p>
        </w:tc>
        <w:tc>
          <w:tcPr>
            <w:tcW w:w="6456" w:type="dxa"/>
            <w:gridSpan w:val="2"/>
            <w:tcBorders>
              <w:top w:val="single" w:color="auto" w:sz="6" w:space="0"/>
              <w:left w:val="single" w:color="auto" w:sz="4" w:space="0"/>
              <w:bottom w:val="single" w:color="auto" w:sz="6" w:space="0"/>
              <w:right w:val="single" w:color="auto" w:sz="6" w:space="0"/>
            </w:tcBorders>
            <w:vAlign w:val="center"/>
          </w:tcPr>
          <w:p w14:paraId="6DF71915">
            <w:pPr>
              <w:autoSpaceDE w:val="0"/>
              <w:autoSpaceDN w:val="0"/>
              <w:adjustRightInd w:val="0"/>
              <w:jc w:val="center"/>
              <w:rPr>
                <w:rFonts w:ascii="宋体" w:hAnsi="宋体" w:cs="Times New Roman"/>
                <w:b/>
                <w:color w:val="auto"/>
                <w:szCs w:val="21"/>
                <w:highlight w:val="none"/>
                <w:lang w:val="zh-CN"/>
              </w:rPr>
            </w:pPr>
            <w:r>
              <w:rPr>
                <w:rFonts w:hint="eastAsia" w:ascii="宋体" w:hAnsi="宋体" w:cs="Times New Roman"/>
                <w:color w:val="auto"/>
                <w:szCs w:val="21"/>
                <w:highlight w:val="none"/>
                <w:lang w:val="zh-CN"/>
              </w:rPr>
              <w:t>评分规则</w:t>
            </w:r>
          </w:p>
        </w:tc>
        <w:tc>
          <w:tcPr>
            <w:tcW w:w="687" w:type="dxa"/>
            <w:tcBorders>
              <w:top w:val="single" w:color="auto" w:sz="6" w:space="0"/>
              <w:left w:val="single" w:color="auto" w:sz="6" w:space="0"/>
              <w:bottom w:val="single" w:color="auto" w:sz="6" w:space="0"/>
              <w:right w:val="single" w:color="auto" w:sz="4" w:space="0"/>
            </w:tcBorders>
            <w:vAlign w:val="center"/>
          </w:tcPr>
          <w:p w14:paraId="4AA92963">
            <w:pPr>
              <w:autoSpaceDE w:val="0"/>
              <w:autoSpaceDN w:val="0"/>
              <w:adjustRightInd w:val="0"/>
              <w:jc w:val="center"/>
              <w:rPr>
                <w:rFonts w:ascii="宋体" w:hAnsi="宋体" w:cs="Times New Roman"/>
                <w:color w:val="auto"/>
                <w:szCs w:val="21"/>
                <w:highlight w:val="none"/>
              </w:rPr>
            </w:pPr>
            <w:r>
              <w:rPr>
                <w:rFonts w:hint="eastAsia" w:ascii="宋体" w:hAnsi="宋体" w:cs="Times New Roman"/>
                <w:color w:val="auto"/>
                <w:szCs w:val="21"/>
                <w:highlight w:val="none"/>
              </w:rPr>
              <w:t>权重</w:t>
            </w:r>
          </w:p>
        </w:tc>
        <w:tc>
          <w:tcPr>
            <w:tcW w:w="1545" w:type="dxa"/>
            <w:tcBorders>
              <w:top w:val="single" w:color="auto" w:sz="6" w:space="0"/>
              <w:left w:val="single" w:color="auto" w:sz="4" w:space="0"/>
              <w:bottom w:val="single" w:color="auto" w:sz="6" w:space="0"/>
              <w:right w:val="single" w:color="auto" w:sz="6" w:space="0"/>
            </w:tcBorders>
            <w:vAlign w:val="center"/>
          </w:tcPr>
          <w:p w14:paraId="69873C13">
            <w:pPr>
              <w:autoSpaceDE w:val="0"/>
              <w:autoSpaceDN w:val="0"/>
              <w:adjustRightInd w:val="0"/>
              <w:jc w:val="center"/>
              <w:rPr>
                <w:rFonts w:ascii="宋体" w:hAnsi="宋体" w:cs="Times New Roman"/>
                <w:color w:val="auto"/>
                <w:szCs w:val="21"/>
                <w:highlight w:val="none"/>
              </w:rPr>
            </w:pPr>
            <w:r>
              <w:rPr>
                <w:rFonts w:hint="eastAsia" w:ascii="宋体" w:hAnsi="宋体" w:cs="Times New Roman"/>
                <w:color w:val="auto"/>
                <w:szCs w:val="21"/>
                <w:highlight w:val="none"/>
                <w:lang w:val="zh-CN"/>
              </w:rPr>
              <w:t>评分方式</w:t>
            </w:r>
          </w:p>
        </w:tc>
      </w:tr>
      <w:tr w14:paraId="7134F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612" w:type="dxa"/>
            <w:tcBorders>
              <w:top w:val="single" w:color="auto" w:sz="6" w:space="0"/>
              <w:left w:val="single" w:color="auto" w:sz="4" w:space="0"/>
              <w:bottom w:val="single" w:color="auto" w:sz="6" w:space="0"/>
              <w:right w:val="single" w:color="auto" w:sz="4" w:space="0"/>
            </w:tcBorders>
            <w:vAlign w:val="center"/>
          </w:tcPr>
          <w:p w14:paraId="741AF045">
            <w:pPr>
              <w:jc w:val="center"/>
              <w:rPr>
                <w:rFonts w:ascii="宋体" w:hAnsi="宋体" w:cs="Times New Roman"/>
                <w:color w:val="auto"/>
                <w:szCs w:val="21"/>
                <w:highlight w:val="none"/>
                <w:lang w:val="zh-CN"/>
              </w:rPr>
            </w:pPr>
            <w:r>
              <w:rPr>
                <w:rFonts w:hint="eastAsia" w:ascii="宋体" w:hAnsi="宋体" w:cs="Times New Roman"/>
                <w:color w:val="auto"/>
                <w:szCs w:val="21"/>
                <w:highlight w:val="none"/>
                <w:lang w:val="zh-CN"/>
              </w:rPr>
              <w:t>1</w:t>
            </w:r>
          </w:p>
        </w:tc>
        <w:tc>
          <w:tcPr>
            <w:tcW w:w="6456" w:type="dxa"/>
            <w:gridSpan w:val="2"/>
            <w:tcBorders>
              <w:top w:val="single" w:color="auto" w:sz="6" w:space="0"/>
              <w:left w:val="single" w:color="auto" w:sz="4" w:space="0"/>
              <w:bottom w:val="single" w:color="auto" w:sz="6" w:space="0"/>
              <w:right w:val="single" w:color="auto" w:sz="6" w:space="0"/>
            </w:tcBorders>
            <w:vAlign w:val="center"/>
          </w:tcPr>
          <w:p w14:paraId="3F030475">
            <w:pPr>
              <w:autoSpaceDE w:val="0"/>
              <w:autoSpaceDN w:val="0"/>
              <w:adjustRightInd w:val="0"/>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rPr>
              <w:t>综合评分法中的价格分统一采用低价优先法计算,即满足招标文件要求且投标价格最低的投标报价为评标基准价,其价格分为满分。其他投标人的价格分统一按照下列公式计算：投标报价得分=(评标基准价/投标报价)×权重</w:t>
            </w:r>
            <w:r>
              <w:rPr>
                <w:rFonts w:hint="eastAsia" w:cs="Times New Roman"/>
                <w:color w:val="auto"/>
                <w:szCs w:val="21"/>
                <w:highlight w:val="none"/>
              </w:rPr>
              <w:t>。</w:t>
            </w:r>
          </w:p>
        </w:tc>
        <w:tc>
          <w:tcPr>
            <w:tcW w:w="687" w:type="dxa"/>
            <w:tcBorders>
              <w:top w:val="single" w:color="auto" w:sz="6" w:space="0"/>
              <w:left w:val="single" w:color="auto" w:sz="6" w:space="0"/>
              <w:bottom w:val="single" w:color="auto" w:sz="6" w:space="0"/>
              <w:right w:val="single" w:color="auto" w:sz="4" w:space="0"/>
            </w:tcBorders>
            <w:vAlign w:val="center"/>
          </w:tcPr>
          <w:p w14:paraId="642CB496">
            <w:pPr>
              <w:autoSpaceDE w:val="0"/>
              <w:autoSpaceDN w:val="0"/>
              <w:adjustRightInd w:val="0"/>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20</w:t>
            </w:r>
          </w:p>
        </w:tc>
        <w:tc>
          <w:tcPr>
            <w:tcW w:w="1545" w:type="dxa"/>
            <w:tcBorders>
              <w:top w:val="single" w:color="auto" w:sz="6" w:space="0"/>
              <w:left w:val="single" w:color="auto" w:sz="4" w:space="0"/>
              <w:bottom w:val="single" w:color="auto" w:sz="6" w:space="0"/>
              <w:right w:val="single" w:color="auto" w:sz="6" w:space="0"/>
            </w:tcBorders>
            <w:vAlign w:val="center"/>
          </w:tcPr>
          <w:p w14:paraId="65814E71">
            <w:pPr>
              <w:autoSpaceDE w:val="0"/>
              <w:autoSpaceDN w:val="0"/>
              <w:adjustRightInd w:val="0"/>
              <w:jc w:val="center"/>
              <w:rPr>
                <w:rFonts w:ascii="宋体" w:hAnsi="宋体" w:cs="Times New Roman"/>
                <w:color w:val="auto"/>
                <w:szCs w:val="21"/>
                <w:highlight w:val="none"/>
              </w:rPr>
            </w:pPr>
            <w:r>
              <w:rPr>
                <w:rFonts w:hint="eastAsia" w:ascii="宋体" w:hAnsi="宋体" w:cs="Times New Roman"/>
                <w:color w:val="auto"/>
                <w:szCs w:val="21"/>
                <w:highlight w:val="none"/>
                <w:lang w:val="zh-CN"/>
              </w:rPr>
              <w:t>按公式计算</w:t>
            </w:r>
          </w:p>
        </w:tc>
      </w:tr>
      <w:tr w14:paraId="27BC8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7068" w:type="dxa"/>
            <w:gridSpan w:val="3"/>
            <w:tcBorders>
              <w:top w:val="single" w:color="auto" w:sz="6" w:space="0"/>
              <w:left w:val="single" w:color="auto" w:sz="6" w:space="0"/>
              <w:bottom w:val="single" w:color="auto" w:sz="6" w:space="0"/>
              <w:right w:val="single" w:color="auto" w:sz="6" w:space="0"/>
            </w:tcBorders>
            <w:vAlign w:val="center"/>
          </w:tcPr>
          <w:p w14:paraId="40412FDC">
            <w:pPr>
              <w:autoSpaceDE w:val="0"/>
              <w:autoSpaceDN w:val="0"/>
              <w:adjustRightInd w:val="0"/>
              <w:jc w:val="center"/>
              <w:rPr>
                <w:rFonts w:ascii="宋体" w:hAnsi="宋体" w:cs="Times New Roman"/>
                <w:b/>
                <w:color w:val="auto"/>
                <w:szCs w:val="21"/>
                <w:highlight w:val="none"/>
              </w:rPr>
            </w:pPr>
            <w:r>
              <w:rPr>
                <w:rFonts w:hint="eastAsia" w:ascii="宋体" w:hAnsi="宋体" w:cs="Times New Roman"/>
                <w:b/>
                <w:color w:val="auto"/>
                <w:szCs w:val="21"/>
                <w:highlight w:val="none"/>
                <w:lang w:val="zh-CN"/>
              </w:rPr>
              <w:t>二、业绩部分</w:t>
            </w:r>
          </w:p>
        </w:tc>
        <w:tc>
          <w:tcPr>
            <w:tcW w:w="2232" w:type="dxa"/>
            <w:gridSpan w:val="2"/>
            <w:tcBorders>
              <w:top w:val="single" w:color="auto" w:sz="6" w:space="0"/>
              <w:left w:val="single" w:color="auto" w:sz="6" w:space="0"/>
              <w:bottom w:val="single" w:color="auto" w:sz="6" w:space="0"/>
              <w:right w:val="single" w:color="auto" w:sz="6" w:space="0"/>
            </w:tcBorders>
            <w:vAlign w:val="center"/>
          </w:tcPr>
          <w:p w14:paraId="140EC498">
            <w:pPr>
              <w:autoSpaceDE w:val="0"/>
              <w:autoSpaceDN w:val="0"/>
              <w:adjustRightInd w:val="0"/>
              <w:jc w:val="center"/>
              <w:rPr>
                <w:rFonts w:ascii="宋体" w:hAnsi="宋体" w:cs="Times New Roman"/>
                <w:color w:val="auto"/>
                <w:szCs w:val="21"/>
                <w:highlight w:val="none"/>
              </w:rPr>
            </w:pPr>
            <w:r>
              <w:rPr>
                <w:rFonts w:hint="eastAsia" w:ascii="宋体" w:hAnsi="宋体" w:cs="Times New Roman"/>
                <w:b/>
                <w:bCs/>
                <w:color w:val="auto"/>
                <w:szCs w:val="21"/>
                <w:highlight w:val="none"/>
                <w:lang w:val="en-US" w:eastAsia="zh-CN"/>
              </w:rPr>
              <w:t>40</w:t>
            </w:r>
            <w:r>
              <w:rPr>
                <w:rFonts w:hint="eastAsia" w:ascii="宋体" w:hAnsi="宋体" w:cs="Times New Roman"/>
                <w:b/>
                <w:bCs/>
                <w:color w:val="auto"/>
                <w:szCs w:val="21"/>
                <w:highlight w:val="none"/>
              </w:rPr>
              <w:t>分</w:t>
            </w:r>
          </w:p>
        </w:tc>
      </w:tr>
      <w:tr w14:paraId="763A4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612" w:type="dxa"/>
            <w:tcBorders>
              <w:top w:val="single" w:color="auto" w:sz="6" w:space="0"/>
              <w:left w:val="single" w:color="auto" w:sz="6" w:space="0"/>
              <w:bottom w:val="single" w:color="auto" w:sz="6" w:space="0"/>
              <w:right w:val="single" w:color="auto" w:sz="6" w:space="0"/>
            </w:tcBorders>
            <w:vAlign w:val="center"/>
          </w:tcPr>
          <w:p w14:paraId="2B66EED0">
            <w:pPr>
              <w:autoSpaceDE w:val="0"/>
              <w:autoSpaceDN w:val="0"/>
              <w:adjustRightInd w:val="0"/>
              <w:jc w:val="center"/>
              <w:rPr>
                <w:rFonts w:ascii="宋体" w:hAnsi="宋体" w:cs="Times New Roman"/>
                <w:color w:val="auto"/>
                <w:szCs w:val="21"/>
                <w:highlight w:val="none"/>
              </w:rPr>
            </w:pPr>
            <w:r>
              <w:rPr>
                <w:rFonts w:hint="eastAsia" w:ascii="宋体" w:hAnsi="宋体" w:cs="Times New Roman"/>
                <w:color w:val="auto"/>
                <w:szCs w:val="21"/>
                <w:highlight w:val="none"/>
                <w:lang w:val="zh-CN"/>
              </w:rPr>
              <w:t>序号</w:t>
            </w:r>
          </w:p>
        </w:tc>
        <w:tc>
          <w:tcPr>
            <w:tcW w:w="1763" w:type="dxa"/>
            <w:tcBorders>
              <w:top w:val="single" w:color="auto" w:sz="6" w:space="0"/>
              <w:left w:val="single" w:color="auto" w:sz="6" w:space="0"/>
              <w:bottom w:val="single" w:color="auto" w:sz="6" w:space="0"/>
              <w:right w:val="single" w:color="auto" w:sz="6" w:space="0"/>
            </w:tcBorders>
            <w:vAlign w:val="center"/>
          </w:tcPr>
          <w:p w14:paraId="34FC4C9F">
            <w:pPr>
              <w:autoSpaceDE w:val="0"/>
              <w:autoSpaceDN w:val="0"/>
              <w:adjustRightInd w:val="0"/>
              <w:jc w:val="center"/>
              <w:rPr>
                <w:rFonts w:ascii="宋体" w:hAnsi="宋体" w:cs="Times New Roman"/>
                <w:color w:val="auto"/>
                <w:szCs w:val="21"/>
                <w:highlight w:val="none"/>
              </w:rPr>
            </w:pPr>
            <w:r>
              <w:rPr>
                <w:rFonts w:hint="eastAsia" w:ascii="宋体" w:hAnsi="宋体" w:cs="Times New Roman"/>
                <w:color w:val="auto"/>
                <w:szCs w:val="21"/>
                <w:highlight w:val="none"/>
                <w:lang w:val="zh-CN"/>
              </w:rPr>
              <w:t>内容</w:t>
            </w:r>
          </w:p>
        </w:tc>
        <w:tc>
          <w:tcPr>
            <w:tcW w:w="4693" w:type="dxa"/>
            <w:tcBorders>
              <w:top w:val="single" w:color="auto" w:sz="6" w:space="0"/>
              <w:left w:val="single" w:color="auto" w:sz="6" w:space="0"/>
              <w:bottom w:val="single" w:color="auto" w:sz="6" w:space="0"/>
              <w:right w:val="single" w:color="auto" w:sz="6" w:space="0"/>
            </w:tcBorders>
            <w:vAlign w:val="center"/>
          </w:tcPr>
          <w:p w14:paraId="3DA6986C">
            <w:pPr>
              <w:autoSpaceDE w:val="0"/>
              <w:autoSpaceDN w:val="0"/>
              <w:adjustRightInd w:val="0"/>
              <w:jc w:val="center"/>
              <w:rPr>
                <w:rFonts w:ascii="宋体" w:hAnsi="宋体" w:cs="Times New Roman"/>
                <w:color w:val="auto"/>
                <w:szCs w:val="21"/>
                <w:highlight w:val="none"/>
              </w:rPr>
            </w:pPr>
            <w:r>
              <w:rPr>
                <w:rFonts w:hint="eastAsia" w:ascii="宋体" w:hAnsi="宋体" w:cs="Times New Roman"/>
                <w:color w:val="auto"/>
                <w:szCs w:val="21"/>
                <w:highlight w:val="none"/>
                <w:lang w:val="zh-CN"/>
              </w:rPr>
              <w:t>评分规则</w:t>
            </w:r>
          </w:p>
        </w:tc>
        <w:tc>
          <w:tcPr>
            <w:tcW w:w="687" w:type="dxa"/>
            <w:tcBorders>
              <w:top w:val="single" w:color="auto" w:sz="6" w:space="0"/>
              <w:left w:val="single" w:color="auto" w:sz="6" w:space="0"/>
              <w:bottom w:val="single" w:color="auto" w:sz="6" w:space="0"/>
              <w:right w:val="single" w:color="auto" w:sz="4" w:space="0"/>
            </w:tcBorders>
            <w:vAlign w:val="center"/>
          </w:tcPr>
          <w:p w14:paraId="1913E82B">
            <w:pPr>
              <w:autoSpaceDE w:val="0"/>
              <w:autoSpaceDN w:val="0"/>
              <w:adjustRightInd w:val="0"/>
              <w:jc w:val="center"/>
              <w:rPr>
                <w:rFonts w:ascii="宋体" w:hAnsi="宋体" w:cs="Times New Roman"/>
                <w:color w:val="auto"/>
                <w:szCs w:val="21"/>
                <w:highlight w:val="none"/>
              </w:rPr>
            </w:pPr>
            <w:r>
              <w:rPr>
                <w:rFonts w:hint="eastAsia" w:ascii="宋体" w:hAnsi="宋体" w:cs="Times New Roman"/>
                <w:color w:val="auto"/>
                <w:szCs w:val="21"/>
                <w:highlight w:val="none"/>
                <w:lang w:val="zh-CN"/>
              </w:rPr>
              <w:t>权重</w:t>
            </w:r>
          </w:p>
        </w:tc>
        <w:tc>
          <w:tcPr>
            <w:tcW w:w="1545" w:type="dxa"/>
            <w:tcBorders>
              <w:top w:val="single" w:color="auto" w:sz="6" w:space="0"/>
              <w:left w:val="single" w:color="auto" w:sz="4" w:space="0"/>
              <w:bottom w:val="single" w:color="auto" w:sz="6" w:space="0"/>
              <w:right w:val="single" w:color="auto" w:sz="6" w:space="0"/>
            </w:tcBorders>
            <w:vAlign w:val="center"/>
          </w:tcPr>
          <w:p w14:paraId="75E04332">
            <w:pPr>
              <w:autoSpaceDE w:val="0"/>
              <w:autoSpaceDN w:val="0"/>
              <w:adjustRightInd w:val="0"/>
              <w:jc w:val="center"/>
              <w:rPr>
                <w:rFonts w:ascii="宋体" w:hAnsi="宋体" w:cs="Times New Roman"/>
                <w:color w:val="auto"/>
                <w:szCs w:val="21"/>
                <w:highlight w:val="none"/>
              </w:rPr>
            </w:pPr>
            <w:r>
              <w:rPr>
                <w:rFonts w:hint="eastAsia" w:ascii="宋体" w:hAnsi="宋体" w:cs="Times New Roman"/>
                <w:color w:val="auto"/>
                <w:szCs w:val="21"/>
                <w:highlight w:val="none"/>
                <w:lang w:val="zh-CN"/>
              </w:rPr>
              <w:t>评分方式</w:t>
            </w:r>
          </w:p>
        </w:tc>
      </w:tr>
      <w:tr w14:paraId="3DCF0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612" w:type="dxa"/>
            <w:tcBorders>
              <w:top w:val="single" w:color="auto" w:sz="6" w:space="0"/>
              <w:left w:val="single" w:color="auto" w:sz="6" w:space="0"/>
              <w:bottom w:val="single" w:color="auto" w:sz="4" w:space="0"/>
              <w:right w:val="single" w:color="auto" w:sz="6" w:space="0"/>
            </w:tcBorders>
            <w:vAlign w:val="center"/>
          </w:tcPr>
          <w:p w14:paraId="48B1DE38">
            <w:pPr>
              <w:autoSpaceDE w:val="0"/>
              <w:autoSpaceDN w:val="0"/>
              <w:adjustRightInd w:val="0"/>
              <w:jc w:val="center"/>
              <w:rPr>
                <w:rFonts w:ascii="宋体" w:hAnsi="宋体" w:cs="Times New Roman"/>
                <w:color w:val="auto"/>
                <w:szCs w:val="21"/>
                <w:highlight w:val="none"/>
                <w:lang w:val="zh-CN"/>
              </w:rPr>
            </w:pPr>
            <w:r>
              <w:rPr>
                <w:rFonts w:hint="eastAsia" w:ascii="宋体" w:hAnsi="宋体" w:cs="Times New Roman"/>
                <w:color w:val="auto"/>
                <w:szCs w:val="21"/>
                <w:highlight w:val="none"/>
                <w:lang w:val="zh-CN"/>
              </w:rPr>
              <w:t>1</w:t>
            </w:r>
          </w:p>
        </w:tc>
        <w:tc>
          <w:tcPr>
            <w:tcW w:w="1763" w:type="dxa"/>
            <w:tcBorders>
              <w:top w:val="single" w:color="auto" w:sz="6" w:space="0"/>
              <w:left w:val="single" w:color="auto" w:sz="6" w:space="0"/>
              <w:bottom w:val="single" w:color="auto" w:sz="6" w:space="0"/>
              <w:right w:val="single" w:color="auto" w:sz="6" w:space="0"/>
            </w:tcBorders>
            <w:vAlign w:val="center"/>
          </w:tcPr>
          <w:p w14:paraId="6378366E">
            <w:pPr>
              <w:autoSpaceDE w:val="0"/>
              <w:autoSpaceDN w:val="0"/>
              <w:adjustRightInd w:val="0"/>
              <w:jc w:val="center"/>
              <w:rPr>
                <w:rFonts w:ascii="宋体" w:hAnsi="宋体" w:cs="Times New Roman"/>
                <w:color w:val="auto"/>
                <w:szCs w:val="21"/>
                <w:highlight w:val="none"/>
                <w:lang w:val="zh-CN"/>
              </w:rPr>
            </w:pPr>
            <w:r>
              <w:rPr>
                <w:rFonts w:hint="eastAsia" w:ascii="宋体" w:hAnsi="宋体" w:cs="Times New Roman"/>
                <w:color w:val="auto"/>
                <w:szCs w:val="21"/>
                <w:highlight w:val="none"/>
                <w:lang w:val="zh-CN"/>
              </w:rPr>
              <w:t>企业资质情况</w:t>
            </w:r>
          </w:p>
        </w:tc>
        <w:tc>
          <w:tcPr>
            <w:tcW w:w="4693" w:type="dxa"/>
            <w:tcBorders>
              <w:top w:val="single" w:color="auto" w:sz="6" w:space="0"/>
              <w:left w:val="single" w:color="auto" w:sz="6" w:space="0"/>
              <w:bottom w:val="single" w:color="auto" w:sz="6" w:space="0"/>
              <w:right w:val="single" w:color="auto" w:sz="6" w:space="0"/>
            </w:tcBorders>
            <w:vAlign w:val="center"/>
          </w:tcPr>
          <w:p w14:paraId="2ABE2072">
            <w:pPr>
              <w:autoSpaceDE w:val="0"/>
              <w:autoSpaceDN w:val="0"/>
              <w:adjustRightInd w:val="0"/>
              <w:ind w:firstLine="420" w:firstLineChars="200"/>
              <w:jc w:val="left"/>
              <w:rPr>
                <w:rFonts w:hint="eastAsia" w:ascii="宋体" w:hAnsi="宋体" w:cs="Times New Roman"/>
                <w:color w:val="auto"/>
                <w:szCs w:val="21"/>
                <w:highlight w:val="none"/>
                <w:lang w:val="zh-CN"/>
              </w:rPr>
            </w:pPr>
            <w:r>
              <w:rPr>
                <w:rFonts w:hint="eastAsia" w:ascii="宋体" w:hAnsi="宋体" w:cs="Times New Roman"/>
                <w:color w:val="auto"/>
                <w:szCs w:val="21"/>
                <w:highlight w:val="none"/>
              </w:rPr>
              <w:t>投标人营业或业务范围内包含</w:t>
            </w:r>
            <w:r>
              <w:rPr>
                <w:rFonts w:hint="eastAsia" w:ascii="宋体" w:hAnsi="宋体" w:cs="Times New Roman"/>
                <w:color w:val="auto"/>
                <w:szCs w:val="21"/>
                <w:highlight w:val="none"/>
                <w:lang w:eastAsia="zh-CN"/>
              </w:rPr>
              <w:t>培训</w:t>
            </w:r>
            <w:r>
              <w:rPr>
                <w:rFonts w:hint="eastAsia" w:ascii="宋体" w:hAnsi="宋体" w:cs="Times New Roman"/>
                <w:color w:val="auto"/>
                <w:szCs w:val="21"/>
                <w:highlight w:val="none"/>
              </w:rPr>
              <w:t>、</w:t>
            </w:r>
            <w:r>
              <w:rPr>
                <w:rFonts w:hint="eastAsia" w:ascii="宋体" w:hAnsi="宋体" w:cs="Times New Roman"/>
                <w:color w:val="auto"/>
                <w:szCs w:val="21"/>
                <w:highlight w:val="none"/>
                <w:lang w:eastAsia="zh-CN"/>
              </w:rPr>
              <w:t>安全管理、安全评价、安全评估</w:t>
            </w:r>
            <w:r>
              <w:rPr>
                <w:rFonts w:hint="eastAsia" w:ascii="宋体" w:hAnsi="宋体" w:cs="Times New Roman"/>
                <w:color w:val="auto"/>
                <w:szCs w:val="21"/>
                <w:highlight w:val="none"/>
              </w:rPr>
              <w:t>等相关工作的，得</w:t>
            </w:r>
            <w:r>
              <w:rPr>
                <w:rFonts w:hint="eastAsia" w:ascii="宋体" w:hAnsi="宋体" w:cs="Times New Roman"/>
                <w:color w:val="auto"/>
                <w:szCs w:val="21"/>
                <w:highlight w:val="none"/>
                <w:lang w:val="en-US" w:eastAsia="zh-CN"/>
              </w:rPr>
              <w:t>5</w:t>
            </w:r>
            <w:r>
              <w:rPr>
                <w:rFonts w:hint="eastAsia" w:ascii="宋体" w:hAnsi="宋体" w:cs="Times New Roman"/>
                <w:color w:val="auto"/>
                <w:szCs w:val="21"/>
                <w:highlight w:val="none"/>
              </w:rPr>
              <w:t>分（提供相关纸质证书或机构代码证书扫描件为证，否则不得分）。</w:t>
            </w:r>
          </w:p>
        </w:tc>
        <w:tc>
          <w:tcPr>
            <w:tcW w:w="687" w:type="dxa"/>
            <w:tcBorders>
              <w:top w:val="single" w:color="auto" w:sz="6" w:space="0"/>
              <w:left w:val="single" w:color="auto" w:sz="6" w:space="0"/>
              <w:bottom w:val="single" w:color="auto" w:sz="6" w:space="0"/>
              <w:right w:val="single" w:color="auto" w:sz="4" w:space="0"/>
            </w:tcBorders>
            <w:vAlign w:val="center"/>
          </w:tcPr>
          <w:p w14:paraId="25C780EA">
            <w:pPr>
              <w:autoSpaceDE w:val="0"/>
              <w:autoSpaceDN w:val="0"/>
              <w:adjustRightInd w:val="0"/>
              <w:jc w:val="center"/>
              <w:rPr>
                <w:rFonts w:ascii="宋体" w:hAnsi="宋体" w:cs="Times New Roman"/>
                <w:color w:val="auto"/>
                <w:szCs w:val="21"/>
                <w:highlight w:val="none"/>
              </w:rPr>
            </w:pPr>
            <w:r>
              <w:rPr>
                <w:rFonts w:hint="eastAsia" w:ascii="宋体" w:hAnsi="宋体" w:cs="Times New Roman"/>
                <w:color w:val="auto"/>
                <w:szCs w:val="21"/>
                <w:highlight w:val="none"/>
              </w:rPr>
              <w:t>5</w:t>
            </w:r>
          </w:p>
        </w:tc>
        <w:tc>
          <w:tcPr>
            <w:tcW w:w="1545" w:type="dxa"/>
            <w:tcBorders>
              <w:top w:val="single" w:color="auto" w:sz="6" w:space="0"/>
              <w:left w:val="single" w:color="auto" w:sz="4" w:space="0"/>
              <w:bottom w:val="single" w:color="auto" w:sz="6" w:space="0"/>
              <w:right w:val="single" w:color="auto" w:sz="6" w:space="0"/>
            </w:tcBorders>
            <w:vAlign w:val="center"/>
          </w:tcPr>
          <w:p w14:paraId="5302E383">
            <w:pPr>
              <w:autoSpaceDE w:val="0"/>
              <w:autoSpaceDN w:val="0"/>
              <w:adjustRightInd w:val="0"/>
              <w:jc w:val="center"/>
              <w:rPr>
                <w:rFonts w:ascii="宋体" w:hAnsi="宋体" w:cs="Times New Roman"/>
                <w:color w:val="auto"/>
                <w:szCs w:val="21"/>
                <w:highlight w:val="none"/>
                <w:lang w:val="zh-CN"/>
              </w:rPr>
            </w:pPr>
            <w:r>
              <w:rPr>
                <w:rFonts w:hint="eastAsia" w:ascii="宋体" w:hAnsi="宋体" w:cs="Times New Roman"/>
                <w:color w:val="auto"/>
                <w:szCs w:val="21"/>
                <w:highlight w:val="none"/>
                <w:lang w:val="zh-CN"/>
              </w:rPr>
              <w:t>专家打分</w:t>
            </w:r>
          </w:p>
        </w:tc>
      </w:tr>
      <w:tr w14:paraId="10026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612" w:type="dxa"/>
            <w:vMerge w:val="restart"/>
            <w:tcBorders>
              <w:top w:val="single" w:color="auto" w:sz="6" w:space="0"/>
              <w:left w:val="single" w:color="auto" w:sz="6" w:space="0"/>
              <w:right w:val="single" w:color="auto" w:sz="6" w:space="0"/>
            </w:tcBorders>
            <w:vAlign w:val="center"/>
          </w:tcPr>
          <w:p w14:paraId="5BFC365A">
            <w:pPr>
              <w:autoSpaceDE w:val="0"/>
              <w:autoSpaceDN w:val="0"/>
              <w:adjustRightInd w:val="0"/>
              <w:jc w:val="center"/>
              <w:rPr>
                <w:rFonts w:ascii="宋体" w:hAnsi="宋体" w:cs="Times New Roman"/>
                <w:color w:val="auto"/>
                <w:szCs w:val="21"/>
                <w:highlight w:val="none"/>
                <w:lang w:val="zh-CN"/>
              </w:rPr>
            </w:pPr>
            <w:r>
              <w:rPr>
                <w:rFonts w:hint="eastAsia" w:ascii="宋体" w:hAnsi="宋体" w:cs="Times New Roman"/>
                <w:color w:val="auto"/>
                <w:szCs w:val="21"/>
                <w:highlight w:val="none"/>
                <w:lang w:val="zh-CN"/>
              </w:rPr>
              <w:t>2</w:t>
            </w:r>
          </w:p>
        </w:tc>
        <w:tc>
          <w:tcPr>
            <w:tcW w:w="1763" w:type="dxa"/>
            <w:vMerge w:val="restart"/>
            <w:tcBorders>
              <w:top w:val="single" w:color="auto" w:sz="6" w:space="0"/>
              <w:left w:val="single" w:color="auto" w:sz="6" w:space="0"/>
              <w:right w:val="single" w:color="auto" w:sz="6" w:space="0"/>
            </w:tcBorders>
            <w:vAlign w:val="center"/>
          </w:tcPr>
          <w:p w14:paraId="1DD20A5A">
            <w:pPr>
              <w:autoSpaceDE w:val="0"/>
              <w:autoSpaceDN w:val="0"/>
              <w:adjustRightInd w:val="0"/>
              <w:jc w:val="center"/>
              <w:rPr>
                <w:rFonts w:ascii="宋体" w:hAnsi="宋体" w:cs="Times New Roman"/>
                <w:color w:val="auto"/>
                <w:szCs w:val="21"/>
                <w:highlight w:val="none"/>
                <w:lang w:val="zh-CN"/>
              </w:rPr>
            </w:pPr>
            <w:r>
              <w:rPr>
                <w:rFonts w:hint="eastAsia" w:ascii="宋体" w:hAnsi="宋体" w:cs="Times New Roman"/>
                <w:color w:val="auto"/>
                <w:szCs w:val="21"/>
                <w:highlight w:val="none"/>
                <w:lang w:val="zh-CN"/>
              </w:rPr>
              <w:t>企业近三年以来有关业绩情况</w:t>
            </w:r>
          </w:p>
        </w:tc>
        <w:tc>
          <w:tcPr>
            <w:tcW w:w="4693" w:type="dxa"/>
            <w:tcBorders>
              <w:top w:val="single" w:color="auto" w:sz="6" w:space="0"/>
              <w:left w:val="single" w:color="auto" w:sz="6" w:space="0"/>
              <w:bottom w:val="single" w:color="auto" w:sz="6" w:space="0"/>
              <w:right w:val="single" w:color="auto" w:sz="6" w:space="0"/>
            </w:tcBorders>
            <w:vAlign w:val="center"/>
          </w:tcPr>
          <w:p w14:paraId="69DB9C9D">
            <w:pPr>
              <w:autoSpaceDE w:val="0"/>
              <w:autoSpaceDN w:val="0"/>
              <w:adjustRightInd w:val="0"/>
              <w:ind w:firstLine="420" w:firstLineChars="200"/>
              <w:jc w:val="left"/>
              <w:rPr>
                <w:rFonts w:hint="eastAsia" w:ascii="宋体" w:hAnsi="宋体" w:cs="Times New Roman"/>
                <w:color w:val="auto"/>
                <w:szCs w:val="21"/>
                <w:highlight w:val="none"/>
                <w:lang w:val="zh-CN"/>
              </w:rPr>
            </w:pPr>
            <w:r>
              <w:rPr>
                <w:rFonts w:hint="eastAsia" w:ascii="宋体" w:hAnsi="宋体" w:cs="Times New Roman"/>
                <w:color w:val="auto"/>
                <w:szCs w:val="21"/>
                <w:highlight w:val="none"/>
                <w:lang w:eastAsia="zh-CN"/>
              </w:rPr>
              <w:t>20</w:t>
            </w:r>
            <w:r>
              <w:rPr>
                <w:rFonts w:hint="eastAsia" w:ascii="宋体" w:hAnsi="宋体" w:cs="Times New Roman"/>
                <w:color w:val="auto"/>
                <w:szCs w:val="21"/>
                <w:highlight w:val="none"/>
                <w:lang w:val="en-US" w:eastAsia="zh-CN"/>
              </w:rPr>
              <w:t>21</w:t>
            </w:r>
            <w:r>
              <w:rPr>
                <w:rFonts w:hint="eastAsia" w:ascii="宋体" w:hAnsi="宋体" w:cs="Times New Roman"/>
                <w:color w:val="auto"/>
                <w:szCs w:val="21"/>
                <w:highlight w:val="none"/>
                <w:lang w:eastAsia="zh-CN"/>
              </w:rPr>
              <w:t>年1月1日至今期间，投标人受政府部门委托开展涉及安全管理相关培训的，一次得</w:t>
            </w:r>
            <w:r>
              <w:rPr>
                <w:rFonts w:hint="eastAsia" w:ascii="宋体" w:hAnsi="宋体" w:cs="Times New Roman"/>
                <w:color w:val="auto"/>
                <w:szCs w:val="21"/>
                <w:highlight w:val="none"/>
                <w:lang w:val="en-US" w:eastAsia="zh-CN"/>
              </w:rPr>
              <w:t>2</w:t>
            </w:r>
            <w:r>
              <w:rPr>
                <w:rFonts w:hint="eastAsia" w:ascii="宋体" w:hAnsi="宋体" w:cs="Times New Roman"/>
                <w:color w:val="auto"/>
                <w:szCs w:val="21"/>
                <w:highlight w:val="none"/>
                <w:lang w:eastAsia="zh-CN"/>
              </w:rPr>
              <w:t>分，累计上限最高为</w:t>
            </w:r>
            <w:r>
              <w:rPr>
                <w:rFonts w:hint="eastAsia" w:ascii="宋体" w:hAnsi="宋体" w:cs="Times New Roman"/>
                <w:color w:val="auto"/>
                <w:szCs w:val="21"/>
                <w:highlight w:val="none"/>
                <w:lang w:val="en-US" w:eastAsia="zh-CN"/>
              </w:rPr>
              <w:t>10</w:t>
            </w:r>
            <w:r>
              <w:rPr>
                <w:rFonts w:hint="eastAsia" w:ascii="宋体" w:hAnsi="宋体" w:cs="Times New Roman"/>
                <w:color w:val="auto"/>
                <w:szCs w:val="21"/>
                <w:highlight w:val="none"/>
                <w:lang w:eastAsia="zh-CN"/>
              </w:rPr>
              <w:t>分（提供合同扫描件为证，否则不得分）；</w:t>
            </w:r>
          </w:p>
        </w:tc>
        <w:tc>
          <w:tcPr>
            <w:tcW w:w="687" w:type="dxa"/>
            <w:tcBorders>
              <w:top w:val="single" w:color="auto" w:sz="6" w:space="0"/>
              <w:left w:val="single" w:color="auto" w:sz="6" w:space="0"/>
              <w:bottom w:val="single" w:color="auto" w:sz="6" w:space="0"/>
              <w:right w:val="single" w:color="auto" w:sz="4" w:space="0"/>
            </w:tcBorders>
            <w:vAlign w:val="center"/>
          </w:tcPr>
          <w:p w14:paraId="1C5EDE22">
            <w:pPr>
              <w:autoSpaceDE w:val="0"/>
              <w:autoSpaceDN w:val="0"/>
              <w:adjustRightInd w:val="0"/>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10</w:t>
            </w:r>
          </w:p>
        </w:tc>
        <w:tc>
          <w:tcPr>
            <w:tcW w:w="1545" w:type="dxa"/>
            <w:tcBorders>
              <w:top w:val="single" w:color="auto" w:sz="6" w:space="0"/>
              <w:left w:val="single" w:color="auto" w:sz="4" w:space="0"/>
              <w:bottom w:val="single" w:color="auto" w:sz="6" w:space="0"/>
              <w:right w:val="single" w:color="auto" w:sz="6" w:space="0"/>
            </w:tcBorders>
            <w:vAlign w:val="center"/>
          </w:tcPr>
          <w:p w14:paraId="5EF7F098">
            <w:pPr>
              <w:jc w:val="center"/>
              <w:rPr>
                <w:rFonts w:ascii="宋体" w:hAnsi="宋体" w:cs="Times New Roman"/>
                <w:color w:val="auto"/>
                <w:szCs w:val="21"/>
                <w:highlight w:val="none"/>
                <w:lang w:val="zh-CN"/>
              </w:rPr>
            </w:pPr>
            <w:r>
              <w:rPr>
                <w:rFonts w:hint="eastAsia" w:ascii="宋体" w:hAnsi="宋体" w:cs="Times New Roman"/>
                <w:color w:val="auto"/>
                <w:szCs w:val="21"/>
                <w:highlight w:val="none"/>
                <w:lang w:val="zh-CN"/>
              </w:rPr>
              <w:t>专家打分</w:t>
            </w:r>
          </w:p>
        </w:tc>
      </w:tr>
      <w:tr w14:paraId="37495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612" w:type="dxa"/>
            <w:vMerge w:val="continue"/>
            <w:tcBorders>
              <w:left w:val="single" w:color="auto" w:sz="6" w:space="0"/>
              <w:right w:val="single" w:color="auto" w:sz="6" w:space="0"/>
            </w:tcBorders>
            <w:vAlign w:val="center"/>
          </w:tcPr>
          <w:p w14:paraId="3261F94E">
            <w:pPr>
              <w:widowControl/>
              <w:jc w:val="left"/>
              <w:rPr>
                <w:rFonts w:ascii="宋体" w:hAnsi="宋体" w:cs="Times New Roman"/>
                <w:color w:val="auto"/>
                <w:szCs w:val="21"/>
                <w:highlight w:val="none"/>
                <w:lang w:val="zh-CN"/>
              </w:rPr>
            </w:pPr>
          </w:p>
        </w:tc>
        <w:tc>
          <w:tcPr>
            <w:tcW w:w="1763" w:type="dxa"/>
            <w:vMerge w:val="continue"/>
            <w:tcBorders>
              <w:left w:val="single" w:color="auto" w:sz="6" w:space="0"/>
              <w:right w:val="single" w:color="auto" w:sz="6" w:space="0"/>
            </w:tcBorders>
            <w:vAlign w:val="center"/>
          </w:tcPr>
          <w:p w14:paraId="7E8980C7">
            <w:pPr>
              <w:widowControl/>
              <w:jc w:val="left"/>
              <w:rPr>
                <w:rFonts w:ascii="宋体" w:hAnsi="宋体" w:cs="Times New Roman"/>
                <w:color w:val="auto"/>
                <w:szCs w:val="21"/>
                <w:highlight w:val="none"/>
                <w:lang w:val="zh-CN"/>
              </w:rPr>
            </w:pPr>
          </w:p>
        </w:tc>
        <w:tc>
          <w:tcPr>
            <w:tcW w:w="4693" w:type="dxa"/>
            <w:tcBorders>
              <w:top w:val="single" w:color="auto" w:sz="6" w:space="0"/>
              <w:left w:val="single" w:color="auto" w:sz="6" w:space="0"/>
              <w:bottom w:val="single" w:color="auto" w:sz="6" w:space="0"/>
              <w:right w:val="single" w:color="auto" w:sz="6" w:space="0"/>
            </w:tcBorders>
            <w:vAlign w:val="center"/>
          </w:tcPr>
          <w:p w14:paraId="25D14F75">
            <w:pPr>
              <w:autoSpaceDE w:val="0"/>
              <w:autoSpaceDN w:val="0"/>
              <w:adjustRightInd w:val="0"/>
              <w:ind w:firstLine="420" w:firstLineChars="200"/>
              <w:jc w:val="left"/>
              <w:rPr>
                <w:rFonts w:hint="eastAsia" w:ascii="宋体" w:hAnsi="宋体" w:cs="Times New Roman"/>
                <w:color w:val="auto"/>
                <w:szCs w:val="21"/>
                <w:highlight w:val="none"/>
                <w:lang w:eastAsia="zh-CN"/>
              </w:rPr>
            </w:pPr>
            <w:r>
              <w:rPr>
                <w:rFonts w:hint="eastAsia" w:ascii="宋体" w:hAnsi="宋体" w:cs="Times New Roman"/>
                <w:color w:val="auto"/>
                <w:szCs w:val="21"/>
                <w:highlight w:val="none"/>
              </w:rPr>
              <w:t>20</w:t>
            </w:r>
            <w:r>
              <w:rPr>
                <w:rFonts w:hint="eastAsia" w:ascii="宋体" w:hAnsi="宋体" w:cs="Times New Roman"/>
                <w:color w:val="auto"/>
                <w:szCs w:val="21"/>
                <w:highlight w:val="none"/>
                <w:lang w:val="en-US" w:eastAsia="zh-CN"/>
              </w:rPr>
              <w:t>21</w:t>
            </w:r>
            <w:r>
              <w:rPr>
                <w:rFonts w:hint="eastAsia" w:ascii="宋体" w:hAnsi="宋体" w:cs="Times New Roman"/>
                <w:color w:val="auto"/>
                <w:szCs w:val="21"/>
                <w:highlight w:val="none"/>
              </w:rPr>
              <w:t>年1月1日至今期间</w:t>
            </w:r>
            <w:r>
              <w:rPr>
                <w:rFonts w:hint="eastAsia" w:ascii="宋体" w:hAnsi="宋体" w:cs="Times New Roman"/>
                <w:color w:val="auto"/>
                <w:szCs w:val="21"/>
                <w:highlight w:val="none"/>
                <w:lang w:eastAsia="zh-CN"/>
              </w:rPr>
              <w:t>，投标人</w:t>
            </w:r>
            <w:r>
              <w:rPr>
                <w:rFonts w:hint="eastAsia" w:ascii="宋体" w:hAnsi="宋体" w:cs="Times New Roman"/>
                <w:color w:val="auto"/>
                <w:szCs w:val="21"/>
                <w:highlight w:val="none"/>
              </w:rPr>
              <w:t>受政府</w:t>
            </w:r>
            <w:r>
              <w:rPr>
                <w:rFonts w:hint="eastAsia" w:ascii="宋体" w:hAnsi="宋体" w:cs="Times New Roman"/>
                <w:color w:val="auto"/>
                <w:szCs w:val="21"/>
                <w:highlight w:val="none"/>
                <w:lang w:eastAsia="zh-CN"/>
              </w:rPr>
              <w:t>部门</w:t>
            </w:r>
            <w:r>
              <w:rPr>
                <w:rFonts w:hint="eastAsia" w:ascii="宋体" w:hAnsi="宋体" w:cs="Times New Roman"/>
                <w:color w:val="auto"/>
                <w:szCs w:val="21"/>
                <w:highlight w:val="none"/>
              </w:rPr>
              <w:t>委托开展</w:t>
            </w:r>
            <w:r>
              <w:rPr>
                <w:rFonts w:hint="eastAsia" w:ascii="宋体" w:hAnsi="宋体" w:cs="Times New Roman"/>
                <w:color w:val="auto"/>
                <w:szCs w:val="21"/>
                <w:highlight w:val="none"/>
                <w:lang w:eastAsia="zh-CN"/>
              </w:rPr>
              <w:t>涉及建筑行业（含小散工程）</w:t>
            </w:r>
            <w:r>
              <w:rPr>
                <w:rFonts w:hint="eastAsia" w:ascii="宋体" w:hAnsi="宋体" w:cs="Times New Roman"/>
                <w:color w:val="auto"/>
                <w:szCs w:val="21"/>
                <w:highlight w:val="none"/>
              </w:rPr>
              <w:t>相关</w:t>
            </w:r>
            <w:r>
              <w:rPr>
                <w:rFonts w:hint="eastAsia" w:ascii="宋体" w:hAnsi="宋体" w:cs="Times New Roman"/>
                <w:color w:val="auto"/>
                <w:szCs w:val="21"/>
                <w:highlight w:val="none"/>
                <w:lang w:eastAsia="zh-CN"/>
              </w:rPr>
              <w:t>培训</w:t>
            </w:r>
            <w:r>
              <w:rPr>
                <w:rFonts w:hint="eastAsia" w:ascii="宋体" w:hAnsi="宋体" w:cs="Times New Roman"/>
                <w:color w:val="auto"/>
                <w:szCs w:val="21"/>
                <w:highlight w:val="none"/>
              </w:rPr>
              <w:t>的</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一</w:t>
            </w:r>
            <w:r>
              <w:rPr>
                <w:rFonts w:hint="eastAsia" w:ascii="宋体" w:hAnsi="宋体" w:cs="Times New Roman"/>
                <w:color w:val="auto"/>
                <w:szCs w:val="21"/>
                <w:highlight w:val="none"/>
                <w:lang w:eastAsia="zh-CN"/>
              </w:rPr>
              <w:t>次</w:t>
            </w:r>
            <w:r>
              <w:rPr>
                <w:rFonts w:hint="eastAsia" w:ascii="宋体" w:hAnsi="宋体" w:cs="Times New Roman"/>
                <w:color w:val="auto"/>
                <w:szCs w:val="21"/>
                <w:highlight w:val="none"/>
              </w:rPr>
              <w:t>得</w:t>
            </w:r>
            <w:r>
              <w:rPr>
                <w:rFonts w:hint="eastAsia" w:ascii="宋体" w:hAnsi="宋体" w:cs="Times New Roman"/>
                <w:color w:val="auto"/>
                <w:szCs w:val="21"/>
                <w:highlight w:val="none"/>
                <w:lang w:val="en-US" w:eastAsia="zh-CN"/>
              </w:rPr>
              <w:t>2</w:t>
            </w:r>
            <w:r>
              <w:rPr>
                <w:rFonts w:hint="eastAsia" w:ascii="宋体" w:hAnsi="宋体" w:cs="Times New Roman"/>
                <w:color w:val="auto"/>
                <w:szCs w:val="21"/>
                <w:highlight w:val="none"/>
              </w:rPr>
              <w:t>分，最高得</w:t>
            </w:r>
            <w:r>
              <w:rPr>
                <w:rFonts w:hint="eastAsia" w:ascii="宋体" w:hAnsi="宋体" w:cs="Times New Roman"/>
                <w:color w:val="auto"/>
                <w:szCs w:val="21"/>
                <w:highlight w:val="none"/>
                <w:lang w:val="en-US" w:eastAsia="zh-CN"/>
              </w:rPr>
              <w:t>10</w:t>
            </w:r>
            <w:r>
              <w:rPr>
                <w:rFonts w:hint="eastAsia" w:ascii="宋体" w:hAnsi="宋体" w:cs="Times New Roman"/>
                <w:color w:val="auto"/>
                <w:szCs w:val="21"/>
                <w:highlight w:val="none"/>
              </w:rPr>
              <w:t>分（提供合同扫描件为证，否则不得分）</w:t>
            </w:r>
            <w:r>
              <w:rPr>
                <w:rFonts w:hint="eastAsia" w:ascii="宋体" w:hAnsi="宋体" w:cs="Times New Roman"/>
                <w:color w:val="auto"/>
                <w:szCs w:val="21"/>
                <w:highlight w:val="none"/>
                <w:lang w:eastAsia="zh-CN"/>
              </w:rPr>
              <w:t>；</w:t>
            </w:r>
          </w:p>
        </w:tc>
        <w:tc>
          <w:tcPr>
            <w:tcW w:w="687" w:type="dxa"/>
            <w:tcBorders>
              <w:top w:val="single" w:color="auto" w:sz="6" w:space="0"/>
              <w:left w:val="single" w:color="auto" w:sz="6" w:space="0"/>
              <w:bottom w:val="single" w:color="auto" w:sz="6" w:space="0"/>
              <w:right w:val="single" w:color="auto" w:sz="4" w:space="0"/>
            </w:tcBorders>
            <w:vAlign w:val="center"/>
          </w:tcPr>
          <w:p w14:paraId="2340D4D3">
            <w:pPr>
              <w:autoSpaceDE w:val="0"/>
              <w:autoSpaceDN w:val="0"/>
              <w:adjustRightInd w:val="0"/>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10</w:t>
            </w:r>
          </w:p>
        </w:tc>
        <w:tc>
          <w:tcPr>
            <w:tcW w:w="1545" w:type="dxa"/>
            <w:tcBorders>
              <w:top w:val="single" w:color="auto" w:sz="6" w:space="0"/>
              <w:left w:val="single" w:color="auto" w:sz="4" w:space="0"/>
              <w:bottom w:val="single" w:color="auto" w:sz="6" w:space="0"/>
              <w:right w:val="single" w:color="auto" w:sz="6" w:space="0"/>
            </w:tcBorders>
            <w:vAlign w:val="center"/>
          </w:tcPr>
          <w:p w14:paraId="5B8CD0E7">
            <w:pPr>
              <w:jc w:val="center"/>
              <w:rPr>
                <w:rFonts w:ascii="宋体" w:hAnsi="宋体" w:cs="Times New Roman"/>
                <w:color w:val="auto"/>
                <w:szCs w:val="21"/>
                <w:highlight w:val="none"/>
                <w:lang w:val="zh-CN"/>
              </w:rPr>
            </w:pPr>
            <w:r>
              <w:rPr>
                <w:rFonts w:hint="eastAsia" w:ascii="宋体" w:hAnsi="宋体" w:cs="Times New Roman"/>
                <w:color w:val="auto"/>
                <w:szCs w:val="21"/>
                <w:highlight w:val="none"/>
                <w:lang w:val="zh-CN"/>
              </w:rPr>
              <w:t>专家打分</w:t>
            </w:r>
          </w:p>
        </w:tc>
      </w:tr>
      <w:tr w14:paraId="69E96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612" w:type="dxa"/>
            <w:vMerge w:val="continue"/>
            <w:tcBorders>
              <w:left w:val="single" w:color="auto" w:sz="6" w:space="0"/>
              <w:right w:val="single" w:color="auto" w:sz="6" w:space="0"/>
            </w:tcBorders>
            <w:vAlign w:val="center"/>
          </w:tcPr>
          <w:p w14:paraId="1F50BE68">
            <w:pPr>
              <w:widowControl/>
              <w:jc w:val="left"/>
              <w:rPr>
                <w:rFonts w:ascii="宋体" w:hAnsi="宋体" w:cs="Times New Roman"/>
                <w:color w:val="auto"/>
                <w:szCs w:val="21"/>
                <w:highlight w:val="none"/>
                <w:lang w:val="zh-CN"/>
              </w:rPr>
            </w:pPr>
          </w:p>
        </w:tc>
        <w:tc>
          <w:tcPr>
            <w:tcW w:w="1763" w:type="dxa"/>
            <w:vMerge w:val="continue"/>
            <w:tcBorders>
              <w:left w:val="single" w:color="auto" w:sz="6" w:space="0"/>
              <w:right w:val="single" w:color="auto" w:sz="6" w:space="0"/>
            </w:tcBorders>
            <w:vAlign w:val="center"/>
          </w:tcPr>
          <w:p w14:paraId="60E9E14A">
            <w:pPr>
              <w:widowControl/>
              <w:jc w:val="left"/>
              <w:rPr>
                <w:rFonts w:ascii="宋体" w:hAnsi="宋体" w:cs="Times New Roman"/>
                <w:color w:val="auto"/>
                <w:szCs w:val="21"/>
                <w:highlight w:val="none"/>
                <w:lang w:val="zh-CN"/>
              </w:rPr>
            </w:pPr>
          </w:p>
        </w:tc>
        <w:tc>
          <w:tcPr>
            <w:tcW w:w="4693" w:type="dxa"/>
            <w:tcBorders>
              <w:top w:val="single" w:color="auto" w:sz="6" w:space="0"/>
              <w:left w:val="single" w:color="auto" w:sz="6" w:space="0"/>
              <w:bottom w:val="single" w:color="auto" w:sz="6" w:space="0"/>
              <w:right w:val="single" w:color="auto" w:sz="6" w:space="0"/>
            </w:tcBorders>
            <w:vAlign w:val="center"/>
          </w:tcPr>
          <w:p w14:paraId="113626DF">
            <w:pPr>
              <w:autoSpaceDE w:val="0"/>
              <w:autoSpaceDN w:val="0"/>
              <w:adjustRightInd w:val="0"/>
              <w:ind w:firstLine="420" w:firstLineChars="200"/>
              <w:jc w:val="left"/>
              <w:rPr>
                <w:rFonts w:hint="eastAsia" w:ascii="宋体" w:hAnsi="宋体" w:cs="Times New Roman"/>
                <w:color w:val="auto"/>
                <w:szCs w:val="21"/>
                <w:highlight w:val="none"/>
                <w:lang w:eastAsia="zh-CN"/>
              </w:rPr>
            </w:pPr>
            <w:r>
              <w:rPr>
                <w:rFonts w:hint="eastAsia" w:ascii="宋体" w:hAnsi="宋体" w:cs="Times New Roman"/>
                <w:color w:val="auto"/>
                <w:szCs w:val="21"/>
                <w:highlight w:val="none"/>
              </w:rPr>
              <w:t>20</w:t>
            </w:r>
            <w:r>
              <w:rPr>
                <w:rFonts w:hint="eastAsia" w:ascii="宋体" w:hAnsi="宋体" w:cs="Times New Roman"/>
                <w:color w:val="auto"/>
                <w:szCs w:val="21"/>
                <w:highlight w:val="none"/>
                <w:lang w:val="en-US" w:eastAsia="zh-CN"/>
              </w:rPr>
              <w:t>21</w:t>
            </w:r>
            <w:r>
              <w:rPr>
                <w:rFonts w:hint="eastAsia" w:ascii="宋体" w:hAnsi="宋体" w:cs="Times New Roman"/>
                <w:color w:val="auto"/>
                <w:szCs w:val="21"/>
                <w:highlight w:val="none"/>
              </w:rPr>
              <w:t>年1月1日至今期间，投标人受政府</w:t>
            </w:r>
            <w:r>
              <w:rPr>
                <w:rFonts w:hint="eastAsia" w:ascii="宋体" w:hAnsi="宋体" w:cs="Times New Roman"/>
                <w:color w:val="auto"/>
                <w:szCs w:val="21"/>
                <w:highlight w:val="none"/>
                <w:lang w:eastAsia="zh-CN"/>
              </w:rPr>
              <w:t>部门</w:t>
            </w:r>
            <w:r>
              <w:rPr>
                <w:rFonts w:hint="eastAsia" w:ascii="宋体" w:hAnsi="宋体" w:cs="Times New Roman"/>
                <w:color w:val="auto"/>
                <w:szCs w:val="21"/>
                <w:highlight w:val="none"/>
              </w:rPr>
              <w:t>委托开展涉及</w:t>
            </w:r>
            <w:r>
              <w:rPr>
                <w:rFonts w:hint="eastAsia" w:ascii="宋体" w:hAnsi="宋体" w:cs="Times New Roman"/>
                <w:color w:val="auto"/>
                <w:szCs w:val="21"/>
                <w:highlight w:val="none"/>
                <w:lang w:eastAsia="zh-CN"/>
              </w:rPr>
              <w:t>建筑行业（含小散工程）</w:t>
            </w:r>
            <w:r>
              <w:rPr>
                <w:rFonts w:hint="eastAsia" w:ascii="宋体" w:hAnsi="宋体" w:cs="Times New Roman"/>
                <w:color w:val="auto"/>
                <w:szCs w:val="21"/>
                <w:highlight w:val="none"/>
              </w:rPr>
              <w:t>相关</w:t>
            </w:r>
            <w:r>
              <w:rPr>
                <w:rFonts w:hint="eastAsia" w:ascii="宋体" w:hAnsi="宋体" w:cs="Times New Roman"/>
                <w:color w:val="auto"/>
                <w:szCs w:val="21"/>
                <w:highlight w:val="none"/>
                <w:lang w:eastAsia="zh-CN"/>
              </w:rPr>
              <w:t>培训的</w:t>
            </w:r>
            <w:r>
              <w:rPr>
                <w:rFonts w:hint="eastAsia" w:ascii="宋体" w:hAnsi="宋体" w:cs="Times New Roman"/>
                <w:color w:val="auto"/>
                <w:szCs w:val="21"/>
                <w:highlight w:val="none"/>
              </w:rPr>
              <w:t>，</w:t>
            </w:r>
            <w:r>
              <w:rPr>
                <w:rFonts w:hint="eastAsia" w:ascii="宋体" w:hAnsi="宋体" w:cs="Times New Roman"/>
                <w:color w:val="auto"/>
                <w:szCs w:val="21"/>
                <w:highlight w:val="none"/>
                <w:lang w:eastAsia="zh-CN"/>
              </w:rPr>
              <w:t>且</w:t>
            </w:r>
            <w:r>
              <w:rPr>
                <w:rFonts w:hint="eastAsia" w:ascii="宋体" w:hAnsi="宋体" w:cs="Times New Roman"/>
                <w:color w:val="auto"/>
                <w:szCs w:val="21"/>
                <w:highlight w:val="none"/>
              </w:rPr>
              <w:t>履约评价为优的，一次得</w:t>
            </w:r>
            <w:r>
              <w:rPr>
                <w:rFonts w:hint="eastAsia" w:ascii="宋体" w:hAnsi="宋体" w:cs="Times New Roman"/>
                <w:color w:val="auto"/>
                <w:szCs w:val="21"/>
                <w:highlight w:val="none"/>
                <w:lang w:val="en-US" w:eastAsia="zh-CN"/>
              </w:rPr>
              <w:t>3</w:t>
            </w:r>
            <w:r>
              <w:rPr>
                <w:rFonts w:hint="eastAsia" w:ascii="宋体" w:hAnsi="宋体" w:cs="Times New Roman"/>
                <w:color w:val="auto"/>
                <w:szCs w:val="21"/>
                <w:highlight w:val="none"/>
              </w:rPr>
              <w:t>分，累计上限最高为1</w:t>
            </w:r>
            <w:r>
              <w:rPr>
                <w:rFonts w:hint="eastAsia" w:ascii="宋体" w:hAnsi="宋体" w:cs="Times New Roman"/>
                <w:color w:val="auto"/>
                <w:szCs w:val="21"/>
                <w:highlight w:val="none"/>
                <w:lang w:val="en-US" w:eastAsia="zh-CN"/>
              </w:rPr>
              <w:t>5</w:t>
            </w:r>
            <w:r>
              <w:rPr>
                <w:rFonts w:hint="eastAsia" w:ascii="宋体" w:hAnsi="宋体" w:cs="Times New Roman"/>
                <w:color w:val="auto"/>
                <w:szCs w:val="21"/>
                <w:highlight w:val="none"/>
              </w:rPr>
              <w:t>分（提供相关页扫描件为证，否则不得分）</w:t>
            </w:r>
            <w:r>
              <w:rPr>
                <w:rFonts w:hint="eastAsia" w:ascii="宋体" w:hAnsi="宋体" w:cs="Times New Roman"/>
                <w:color w:val="auto"/>
                <w:szCs w:val="21"/>
                <w:highlight w:val="none"/>
                <w:lang w:eastAsia="zh-CN"/>
              </w:rPr>
              <w:t>；</w:t>
            </w:r>
          </w:p>
        </w:tc>
        <w:tc>
          <w:tcPr>
            <w:tcW w:w="687" w:type="dxa"/>
            <w:tcBorders>
              <w:top w:val="single" w:color="auto" w:sz="6" w:space="0"/>
              <w:left w:val="single" w:color="auto" w:sz="6" w:space="0"/>
              <w:bottom w:val="single" w:color="auto" w:sz="6" w:space="0"/>
              <w:right w:val="single" w:color="auto" w:sz="4" w:space="0"/>
            </w:tcBorders>
            <w:vAlign w:val="center"/>
          </w:tcPr>
          <w:p w14:paraId="256CF31F">
            <w:pPr>
              <w:autoSpaceDE w:val="0"/>
              <w:autoSpaceDN w:val="0"/>
              <w:adjustRightInd w:val="0"/>
              <w:jc w:val="center"/>
              <w:rPr>
                <w:rFonts w:hint="eastAsia" w:ascii="宋体" w:hAnsi="宋体" w:eastAsia="宋体" w:cs="Times New Roman"/>
                <w:color w:val="auto"/>
                <w:szCs w:val="21"/>
                <w:highlight w:val="none"/>
                <w:lang w:val="zh-CN" w:eastAsia="zh-CN"/>
              </w:rPr>
            </w:pPr>
            <w:r>
              <w:rPr>
                <w:rFonts w:hint="eastAsia" w:ascii="宋体" w:hAnsi="宋体" w:cs="Times New Roman"/>
                <w:color w:val="auto"/>
                <w:szCs w:val="21"/>
                <w:highlight w:val="none"/>
                <w:lang w:val="zh-CN"/>
              </w:rPr>
              <w:t>1</w:t>
            </w:r>
            <w:r>
              <w:rPr>
                <w:rFonts w:hint="eastAsia" w:ascii="宋体" w:hAnsi="宋体" w:cs="Times New Roman"/>
                <w:color w:val="auto"/>
                <w:szCs w:val="21"/>
                <w:highlight w:val="none"/>
                <w:lang w:val="en-US" w:eastAsia="zh-CN"/>
              </w:rPr>
              <w:t>5</w:t>
            </w:r>
          </w:p>
        </w:tc>
        <w:tc>
          <w:tcPr>
            <w:tcW w:w="1545" w:type="dxa"/>
            <w:tcBorders>
              <w:top w:val="single" w:color="auto" w:sz="6" w:space="0"/>
              <w:left w:val="single" w:color="auto" w:sz="4" w:space="0"/>
              <w:bottom w:val="single" w:color="auto" w:sz="6" w:space="0"/>
              <w:right w:val="single" w:color="auto" w:sz="6" w:space="0"/>
            </w:tcBorders>
            <w:vAlign w:val="center"/>
          </w:tcPr>
          <w:p w14:paraId="6CB967EB">
            <w:pPr>
              <w:jc w:val="center"/>
              <w:rPr>
                <w:rFonts w:ascii="宋体" w:hAnsi="宋体" w:cs="Times New Roman"/>
                <w:color w:val="auto"/>
                <w:szCs w:val="21"/>
                <w:highlight w:val="none"/>
                <w:lang w:val="zh-CN"/>
              </w:rPr>
            </w:pPr>
            <w:r>
              <w:rPr>
                <w:rFonts w:hint="eastAsia" w:ascii="宋体" w:hAnsi="宋体" w:cs="Times New Roman"/>
                <w:color w:val="auto"/>
                <w:szCs w:val="21"/>
                <w:highlight w:val="none"/>
                <w:lang w:val="zh-CN"/>
              </w:rPr>
              <w:t>专家打分</w:t>
            </w:r>
          </w:p>
        </w:tc>
      </w:tr>
      <w:tr w14:paraId="2D233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7068" w:type="dxa"/>
            <w:gridSpan w:val="3"/>
            <w:tcBorders>
              <w:top w:val="single" w:color="auto" w:sz="6" w:space="0"/>
              <w:left w:val="single" w:color="auto" w:sz="6" w:space="0"/>
              <w:bottom w:val="single" w:color="auto" w:sz="6" w:space="0"/>
              <w:right w:val="single" w:color="auto" w:sz="6" w:space="0"/>
            </w:tcBorders>
            <w:vAlign w:val="center"/>
          </w:tcPr>
          <w:p w14:paraId="56FAE276">
            <w:pPr>
              <w:autoSpaceDE w:val="0"/>
              <w:autoSpaceDN w:val="0"/>
              <w:adjustRightInd w:val="0"/>
              <w:jc w:val="center"/>
              <w:rPr>
                <w:rFonts w:ascii="宋体" w:hAnsi="宋体" w:cs="Times New Roman"/>
                <w:b/>
                <w:color w:val="auto"/>
                <w:szCs w:val="21"/>
                <w:highlight w:val="none"/>
                <w:lang w:val="zh-CN"/>
              </w:rPr>
            </w:pPr>
            <w:r>
              <w:rPr>
                <w:rFonts w:hint="eastAsia" w:ascii="宋体" w:hAnsi="宋体" w:cs="Times New Roman"/>
                <w:b/>
                <w:color w:val="auto"/>
                <w:szCs w:val="21"/>
                <w:highlight w:val="none"/>
                <w:lang w:val="zh-CN"/>
              </w:rPr>
              <w:t>三、技术部分</w:t>
            </w:r>
          </w:p>
        </w:tc>
        <w:tc>
          <w:tcPr>
            <w:tcW w:w="2232" w:type="dxa"/>
            <w:gridSpan w:val="2"/>
            <w:tcBorders>
              <w:top w:val="single" w:color="auto" w:sz="6" w:space="0"/>
              <w:left w:val="single" w:color="auto" w:sz="6" w:space="0"/>
              <w:bottom w:val="single" w:color="auto" w:sz="6" w:space="0"/>
              <w:right w:val="single" w:color="auto" w:sz="6" w:space="0"/>
            </w:tcBorders>
            <w:vAlign w:val="center"/>
          </w:tcPr>
          <w:p w14:paraId="496528AA">
            <w:pPr>
              <w:autoSpaceDE w:val="0"/>
              <w:autoSpaceDN w:val="0"/>
              <w:adjustRightInd w:val="0"/>
              <w:jc w:val="center"/>
              <w:rPr>
                <w:rFonts w:ascii="宋体" w:hAnsi="宋体" w:cs="Times New Roman"/>
                <w:color w:val="auto"/>
                <w:szCs w:val="21"/>
                <w:highlight w:val="none"/>
              </w:rPr>
            </w:pPr>
            <w:r>
              <w:rPr>
                <w:rFonts w:hint="eastAsia" w:ascii="宋体" w:hAnsi="宋体" w:cs="Times New Roman"/>
                <w:b/>
                <w:bCs/>
                <w:color w:val="auto"/>
                <w:szCs w:val="21"/>
                <w:highlight w:val="none"/>
                <w:lang w:val="en-US" w:eastAsia="zh-CN"/>
              </w:rPr>
              <w:t>40</w:t>
            </w:r>
            <w:r>
              <w:rPr>
                <w:rFonts w:hint="eastAsia" w:ascii="宋体" w:hAnsi="宋体" w:cs="Times New Roman"/>
                <w:b/>
                <w:bCs/>
                <w:color w:val="auto"/>
                <w:szCs w:val="21"/>
                <w:highlight w:val="none"/>
              </w:rPr>
              <w:t>分</w:t>
            </w:r>
          </w:p>
        </w:tc>
      </w:tr>
      <w:tr w14:paraId="25DD8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trPr>
        <w:tc>
          <w:tcPr>
            <w:tcW w:w="612" w:type="dxa"/>
            <w:tcBorders>
              <w:top w:val="single" w:color="auto" w:sz="6" w:space="0"/>
              <w:left w:val="single" w:color="auto" w:sz="6" w:space="0"/>
              <w:bottom w:val="single" w:color="auto" w:sz="6" w:space="0"/>
              <w:right w:val="single" w:color="auto" w:sz="6" w:space="0"/>
            </w:tcBorders>
            <w:vAlign w:val="center"/>
          </w:tcPr>
          <w:p w14:paraId="4BB307F0">
            <w:pPr>
              <w:autoSpaceDE w:val="0"/>
              <w:autoSpaceDN w:val="0"/>
              <w:adjustRightInd w:val="0"/>
              <w:jc w:val="center"/>
              <w:rPr>
                <w:rFonts w:ascii="宋体" w:hAnsi="宋体" w:cs="Times New Roman"/>
                <w:color w:val="auto"/>
                <w:szCs w:val="21"/>
                <w:highlight w:val="none"/>
              </w:rPr>
            </w:pPr>
            <w:r>
              <w:rPr>
                <w:rFonts w:hint="eastAsia" w:ascii="宋体" w:hAnsi="宋体" w:cs="Times New Roman"/>
                <w:color w:val="auto"/>
                <w:szCs w:val="21"/>
                <w:highlight w:val="none"/>
                <w:lang w:val="zh-CN"/>
              </w:rPr>
              <w:t>序号</w:t>
            </w:r>
          </w:p>
        </w:tc>
        <w:tc>
          <w:tcPr>
            <w:tcW w:w="1763" w:type="dxa"/>
            <w:tcBorders>
              <w:top w:val="single" w:color="auto" w:sz="6" w:space="0"/>
              <w:left w:val="single" w:color="auto" w:sz="6" w:space="0"/>
              <w:bottom w:val="single" w:color="auto" w:sz="6" w:space="0"/>
              <w:right w:val="single" w:color="auto" w:sz="6" w:space="0"/>
            </w:tcBorders>
            <w:vAlign w:val="center"/>
          </w:tcPr>
          <w:p w14:paraId="2FF6651F">
            <w:pPr>
              <w:autoSpaceDE w:val="0"/>
              <w:autoSpaceDN w:val="0"/>
              <w:adjustRightInd w:val="0"/>
              <w:jc w:val="center"/>
              <w:rPr>
                <w:rFonts w:ascii="宋体" w:hAnsi="宋体" w:cs="Times New Roman"/>
                <w:color w:val="auto"/>
                <w:szCs w:val="21"/>
                <w:highlight w:val="none"/>
              </w:rPr>
            </w:pPr>
            <w:r>
              <w:rPr>
                <w:rFonts w:hint="eastAsia" w:ascii="宋体" w:hAnsi="宋体" w:cs="Times New Roman"/>
                <w:color w:val="auto"/>
                <w:szCs w:val="21"/>
                <w:highlight w:val="none"/>
                <w:lang w:val="zh-CN"/>
              </w:rPr>
              <w:t>内容</w:t>
            </w:r>
          </w:p>
        </w:tc>
        <w:tc>
          <w:tcPr>
            <w:tcW w:w="4693" w:type="dxa"/>
            <w:tcBorders>
              <w:top w:val="single" w:color="auto" w:sz="6" w:space="0"/>
              <w:left w:val="single" w:color="auto" w:sz="6" w:space="0"/>
              <w:bottom w:val="single" w:color="auto" w:sz="6" w:space="0"/>
              <w:right w:val="single" w:color="auto" w:sz="6" w:space="0"/>
            </w:tcBorders>
            <w:vAlign w:val="center"/>
          </w:tcPr>
          <w:p w14:paraId="1877986A">
            <w:pPr>
              <w:autoSpaceDE w:val="0"/>
              <w:autoSpaceDN w:val="0"/>
              <w:adjustRightInd w:val="0"/>
              <w:jc w:val="center"/>
              <w:rPr>
                <w:rFonts w:ascii="宋体" w:hAnsi="宋体" w:cs="Times New Roman"/>
                <w:color w:val="auto"/>
                <w:szCs w:val="21"/>
                <w:highlight w:val="none"/>
                <w:lang w:val="zh-CN"/>
              </w:rPr>
            </w:pPr>
            <w:r>
              <w:rPr>
                <w:rFonts w:hint="eastAsia" w:ascii="宋体" w:hAnsi="宋体" w:cs="Times New Roman"/>
                <w:color w:val="auto"/>
                <w:szCs w:val="21"/>
                <w:highlight w:val="none"/>
                <w:lang w:val="zh-CN"/>
              </w:rPr>
              <w:t>评分规则</w:t>
            </w:r>
          </w:p>
        </w:tc>
        <w:tc>
          <w:tcPr>
            <w:tcW w:w="687" w:type="dxa"/>
            <w:tcBorders>
              <w:top w:val="single" w:color="auto" w:sz="6" w:space="0"/>
              <w:left w:val="single" w:color="auto" w:sz="6" w:space="0"/>
              <w:bottom w:val="single" w:color="auto" w:sz="6" w:space="0"/>
              <w:right w:val="single" w:color="auto" w:sz="4" w:space="0"/>
            </w:tcBorders>
            <w:vAlign w:val="center"/>
          </w:tcPr>
          <w:p w14:paraId="2A6F903D">
            <w:pPr>
              <w:autoSpaceDE w:val="0"/>
              <w:autoSpaceDN w:val="0"/>
              <w:adjustRightInd w:val="0"/>
              <w:jc w:val="center"/>
              <w:rPr>
                <w:rFonts w:ascii="宋体" w:hAnsi="宋体" w:cs="Times New Roman"/>
                <w:color w:val="auto"/>
                <w:szCs w:val="21"/>
                <w:highlight w:val="none"/>
                <w:lang w:val="zh-CN"/>
              </w:rPr>
            </w:pPr>
            <w:r>
              <w:rPr>
                <w:rFonts w:hint="eastAsia" w:ascii="宋体" w:hAnsi="宋体" w:cs="Times New Roman"/>
                <w:color w:val="auto"/>
                <w:szCs w:val="21"/>
                <w:highlight w:val="none"/>
                <w:lang w:val="zh-CN"/>
              </w:rPr>
              <w:t>权重</w:t>
            </w:r>
          </w:p>
        </w:tc>
        <w:tc>
          <w:tcPr>
            <w:tcW w:w="1545" w:type="dxa"/>
            <w:tcBorders>
              <w:top w:val="single" w:color="auto" w:sz="6" w:space="0"/>
              <w:left w:val="single" w:color="auto" w:sz="4" w:space="0"/>
              <w:bottom w:val="single" w:color="auto" w:sz="6" w:space="0"/>
              <w:right w:val="single" w:color="auto" w:sz="6" w:space="0"/>
            </w:tcBorders>
            <w:vAlign w:val="center"/>
          </w:tcPr>
          <w:p w14:paraId="05665429">
            <w:pPr>
              <w:autoSpaceDE w:val="0"/>
              <w:autoSpaceDN w:val="0"/>
              <w:adjustRightInd w:val="0"/>
              <w:jc w:val="center"/>
              <w:rPr>
                <w:rFonts w:ascii="宋体" w:hAnsi="宋体" w:cs="Times New Roman"/>
                <w:color w:val="auto"/>
                <w:szCs w:val="21"/>
                <w:highlight w:val="none"/>
                <w:lang w:val="zh-CN"/>
              </w:rPr>
            </w:pPr>
            <w:r>
              <w:rPr>
                <w:rFonts w:hint="eastAsia" w:ascii="宋体" w:hAnsi="宋体" w:cs="Times New Roman"/>
                <w:color w:val="auto"/>
                <w:szCs w:val="21"/>
                <w:highlight w:val="none"/>
                <w:lang w:val="zh-CN"/>
              </w:rPr>
              <w:t>评分方式</w:t>
            </w:r>
          </w:p>
        </w:tc>
      </w:tr>
      <w:tr w14:paraId="29D69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5" w:hRule="atLeast"/>
        </w:trPr>
        <w:tc>
          <w:tcPr>
            <w:tcW w:w="612" w:type="dxa"/>
            <w:vMerge w:val="restart"/>
            <w:tcBorders>
              <w:top w:val="single" w:color="auto" w:sz="6" w:space="0"/>
              <w:left w:val="single" w:color="auto" w:sz="6" w:space="0"/>
              <w:right w:val="single" w:color="auto" w:sz="6" w:space="0"/>
            </w:tcBorders>
            <w:vAlign w:val="center"/>
          </w:tcPr>
          <w:p w14:paraId="617359FA">
            <w:pPr>
              <w:autoSpaceDE w:val="0"/>
              <w:autoSpaceDN w:val="0"/>
              <w:adjustRightInd w:val="0"/>
              <w:jc w:val="center"/>
              <w:rPr>
                <w:rFonts w:ascii="宋体" w:hAnsi="宋体" w:cs="Times New Roman"/>
                <w:color w:val="auto"/>
                <w:szCs w:val="21"/>
                <w:highlight w:val="none"/>
                <w:lang w:val="zh-CN"/>
              </w:rPr>
            </w:pPr>
            <w:r>
              <w:rPr>
                <w:rFonts w:hint="eastAsia" w:ascii="宋体" w:hAnsi="宋体" w:cs="Times New Roman"/>
                <w:color w:val="auto"/>
                <w:szCs w:val="21"/>
                <w:highlight w:val="none"/>
                <w:lang w:val="zh-CN"/>
              </w:rPr>
              <w:t>1</w:t>
            </w:r>
          </w:p>
        </w:tc>
        <w:tc>
          <w:tcPr>
            <w:tcW w:w="1763" w:type="dxa"/>
            <w:vMerge w:val="restart"/>
            <w:tcBorders>
              <w:top w:val="single" w:color="auto" w:sz="6" w:space="0"/>
              <w:left w:val="single" w:color="auto" w:sz="6" w:space="0"/>
              <w:right w:val="single" w:color="auto" w:sz="6" w:space="0"/>
            </w:tcBorders>
            <w:vAlign w:val="center"/>
          </w:tcPr>
          <w:p w14:paraId="052164C4">
            <w:pPr>
              <w:autoSpaceDE w:val="0"/>
              <w:autoSpaceDN w:val="0"/>
              <w:adjustRightInd w:val="0"/>
              <w:snapToGrid w:val="0"/>
              <w:jc w:val="center"/>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zh-CN"/>
              </w:rPr>
              <w:t>项目负责人资历</w:t>
            </w:r>
          </w:p>
        </w:tc>
        <w:tc>
          <w:tcPr>
            <w:tcW w:w="4693" w:type="dxa"/>
            <w:tcBorders>
              <w:top w:val="single" w:color="auto" w:sz="6" w:space="0"/>
              <w:left w:val="single" w:color="auto" w:sz="6" w:space="0"/>
              <w:bottom w:val="single" w:color="auto" w:sz="4" w:space="0"/>
              <w:right w:val="single" w:color="auto" w:sz="6" w:space="0"/>
            </w:tcBorders>
            <w:vAlign w:val="center"/>
          </w:tcPr>
          <w:p w14:paraId="7DA28603">
            <w:pPr>
              <w:autoSpaceDE w:val="0"/>
              <w:autoSpaceDN w:val="0"/>
              <w:adjustRightInd w:val="0"/>
              <w:jc w:val="left"/>
              <w:rPr>
                <w:rFonts w:ascii="宋体" w:hAnsi="宋体" w:cs="Times New Roman"/>
                <w:color w:val="auto"/>
                <w:szCs w:val="21"/>
                <w:highlight w:val="none"/>
                <w:lang w:val="zh-CN"/>
              </w:rPr>
            </w:pPr>
            <w:r>
              <w:rPr>
                <w:rFonts w:hint="eastAsia" w:ascii="宋体" w:hAnsi="宋体" w:cs="Times New Roman"/>
                <w:color w:val="auto"/>
                <w:szCs w:val="21"/>
                <w:highlight w:val="none"/>
                <w:lang w:val="zh-CN"/>
              </w:rPr>
              <w:t>项目负责人必须是投标人正式任职的人员（提供近6个月的社保证明），具</w:t>
            </w:r>
            <w:r>
              <w:rPr>
                <w:rFonts w:hint="eastAsia" w:ascii="宋体" w:hAnsi="宋体" w:cs="Times New Roman"/>
                <w:color w:val="auto"/>
                <w:szCs w:val="21"/>
                <w:highlight w:val="none"/>
                <w:lang w:val="zh-CN" w:eastAsia="zh-CN"/>
              </w:rPr>
              <w:t>备建筑工程相关专业高级工程师证或一级建造师或注册监理工程师或注册安全工程师证，得</w:t>
            </w:r>
            <w:r>
              <w:rPr>
                <w:rFonts w:hint="eastAsia" w:ascii="宋体" w:hAnsi="宋体" w:cs="Times New Roman"/>
                <w:color w:val="auto"/>
                <w:szCs w:val="21"/>
                <w:highlight w:val="none"/>
                <w:lang w:val="en-US" w:eastAsia="zh-CN"/>
              </w:rPr>
              <w:t>5分；具备广东省安全生产培训教员证，得5分</w:t>
            </w:r>
            <w:r>
              <w:rPr>
                <w:rFonts w:hint="eastAsia" w:ascii="宋体" w:hAnsi="宋体" w:cs="Times New Roman"/>
                <w:color w:val="auto"/>
                <w:szCs w:val="21"/>
                <w:highlight w:val="none"/>
                <w:lang w:val="zh-CN"/>
              </w:rPr>
              <w:t>。</w:t>
            </w:r>
          </w:p>
        </w:tc>
        <w:tc>
          <w:tcPr>
            <w:tcW w:w="687" w:type="dxa"/>
            <w:tcBorders>
              <w:top w:val="single" w:color="auto" w:sz="6" w:space="0"/>
              <w:left w:val="single" w:color="auto" w:sz="6" w:space="0"/>
              <w:bottom w:val="single" w:color="auto" w:sz="4" w:space="0"/>
              <w:right w:val="single" w:color="auto" w:sz="4" w:space="0"/>
            </w:tcBorders>
            <w:vAlign w:val="center"/>
          </w:tcPr>
          <w:p w14:paraId="355B6984">
            <w:pPr>
              <w:autoSpaceDE w:val="0"/>
              <w:autoSpaceDN w:val="0"/>
              <w:adjustRightInd w:val="0"/>
              <w:snapToGrid w:val="0"/>
              <w:jc w:val="center"/>
              <w:rPr>
                <w:rFonts w:ascii="宋体" w:hAnsi="宋体" w:cs="Times New Roman"/>
                <w:color w:val="auto"/>
                <w:szCs w:val="21"/>
                <w:highlight w:val="none"/>
              </w:rPr>
            </w:pPr>
            <w:r>
              <w:rPr>
                <w:rFonts w:hint="eastAsia" w:ascii="宋体" w:hAnsi="宋体" w:cs="Times New Roman"/>
                <w:color w:val="auto"/>
                <w:szCs w:val="21"/>
                <w:highlight w:val="none"/>
              </w:rPr>
              <w:t>10</w:t>
            </w:r>
          </w:p>
        </w:tc>
        <w:tc>
          <w:tcPr>
            <w:tcW w:w="1545" w:type="dxa"/>
            <w:vMerge w:val="restart"/>
            <w:tcBorders>
              <w:top w:val="single" w:color="auto" w:sz="6" w:space="0"/>
              <w:left w:val="single" w:color="auto" w:sz="4" w:space="0"/>
              <w:right w:val="single" w:color="auto" w:sz="6" w:space="0"/>
            </w:tcBorders>
            <w:vAlign w:val="center"/>
          </w:tcPr>
          <w:p w14:paraId="1264FF68">
            <w:pPr>
              <w:autoSpaceDE w:val="0"/>
              <w:autoSpaceDN w:val="0"/>
              <w:adjustRightInd w:val="0"/>
              <w:jc w:val="center"/>
              <w:rPr>
                <w:rFonts w:ascii="宋体" w:hAnsi="宋体" w:cs="Times New Roman"/>
                <w:color w:val="auto"/>
                <w:szCs w:val="21"/>
                <w:highlight w:val="none"/>
                <w:lang w:val="zh-CN"/>
              </w:rPr>
            </w:pPr>
            <w:r>
              <w:rPr>
                <w:rFonts w:hint="eastAsia" w:ascii="宋体" w:hAnsi="宋体" w:cs="Times New Roman"/>
                <w:color w:val="auto"/>
                <w:szCs w:val="21"/>
                <w:highlight w:val="none"/>
                <w:lang w:val="zh-CN"/>
              </w:rPr>
              <w:t>专家打分</w:t>
            </w:r>
          </w:p>
        </w:tc>
      </w:tr>
      <w:tr w14:paraId="064B5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1" w:hRule="atLeast"/>
        </w:trPr>
        <w:tc>
          <w:tcPr>
            <w:tcW w:w="612" w:type="dxa"/>
            <w:vMerge w:val="continue"/>
            <w:tcBorders>
              <w:left w:val="single" w:color="auto" w:sz="6" w:space="0"/>
              <w:bottom w:val="single" w:color="auto" w:sz="6" w:space="0"/>
              <w:right w:val="single" w:color="auto" w:sz="6" w:space="0"/>
            </w:tcBorders>
            <w:vAlign w:val="center"/>
          </w:tcPr>
          <w:p w14:paraId="5D6D251C">
            <w:pPr>
              <w:autoSpaceDE w:val="0"/>
              <w:autoSpaceDN w:val="0"/>
              <w:adjustRightInd w:val="0"/>
              <w:jc w:val="center"/>
              <w:rPr>
                <w:rFonts w:hint="eastAsia" w:ascii="宋体" w:hAnsi="宋体" w:cs="Times New Roman"/>
                <w:color w:val="auto"/>
                <w:szCs w:val="21"/>
                <w:highlight w:val="none"/>
                <w:lang w:val="zh-CN"/>
              </w:rPr>
            </w:pPr>
          </w:p>
        </w:tc>
        <w:tc>
          <w:tcPr>
            <w:tcW w:w="1763" w:type="dxa"/>
            <w:vMerge w:val="continue"/>
            <w:tcBorders>
              <w:left w:val="single" w:color="auto" w:sz="6" w:space="0"/>
              <w:bottom w:val="single" w:color="auto" w:sz="6" w:space="0"/>
              <w:right w:val="single" w:color="auto" w:sz="6" w:space="0"/>
            </w:tcBorders>
            <w:vAlign w:val="center"/>
          </w:tcPr>
          <w:p w14:paraId="66F76397">
            <w:pPr>
              <w:autoSpaceDE w:val="0"/>
              <w:autoSpaceDN w:val="0"/>
              <w:adjustRightInd w:val="0"/>
              <w:snapToGrid w:val="0"/>
              <w:jc w:val="center"/>
              <w:rPr>
                <w:rFonts w:hint="eastAsia" w:ascii="宋体" w:hAnsi="宋体" w:cs="Times New Roman"/>
                <w:color w:val="auto"/>
                <w:szCs w:val="21"/>
                <w:highlight w:val="none"/>
                <w:lang w:val="zh-CN"/>
              </w:rPr>
            </w:pPr>
          </w:p>
        </w:tc>
        <w:tc>
          <w:tcPr>
            <w:tcW w:w="4693" w:type="dxa"/>
            <w:tcBorders>
              <w:top w:val="single" w:color="auto" w:sz="4" w:space="0"/>
              <w:left w:val="single" w:color="auto" w:sz="6" w:space="0"/>
              <w:bottom w:val="single" w:color="auto" w:sz="6" w:space="0"/>
              <w:right w:val="single" w:color="auto" w:sz="6" w:space="0"/>
            </w:tcBorders>
            <w:vAlign w:val="center"/>
          </w:tcPr>
          <w:p w14:paraId="45B94E54">
            <w:pPr>
              <w:autoSpaceDE w:val="0"/>
              <w:autoSpaceDN w:val="0"/>
              <w:adjustRightInd w:val="0"/>
              <w:jc w:val="left"/>
              <w:rPr>
                <w:rFonts w:hint="eastAsia" w:ascii="宋体" w:hAnsi="宋体" w:cs="Times New Roman"/>
                <w:color w:val="auto"/>
                <w:szCs w:val="21"/>
                <w:highlight w:val="none"/>
                <w:lang w:val="zh-CN"/>
              </w:rPr>
            </w:pPr>
            <w:r>
              <w:rPr>
                <w:rFonts w:hint="eastAsia" w:ascii="宋体" w:hAnsi="宋体" w:cs="Times New Roman"/>
                <w:color w:val="auto"/>
                <w:szCs w:val="21"/>
                <w:highlight w:val="none"/>
              </w:rPr>
              <w:t>近</w:t>
            </w:r>
            <w:r>
              <w:rPr>
                <w:rFonts w:hint="eastAsia" w:ascii="宋体" w:hAnsi="宋体" w:cs="Times New Roman"/>
                <w:color w:val="auto"/>
                <w:szCs w:val="21"/>
                <w:highlight w:val="none"/>
                <w:lang w:val="en-US" w:eastAsia="zh-CN"/>
              </w:rPr>
              <w:t>5</w:t>
            </w:r>
            <w:r>
              <w:rPr>
                <w:rFonts w:hint="eastAsia" w:ascii="宋体" w:hAnsi="宋体" w:cs="Times New Roman"/>
                <w:color w:val="auto"/>
                <w:szCs w:val="21"/>
                <w:highlight w:val="none"/>
              </w:rPr>
              <w:t>年内有</w:t>
            </w:r>
            <w:r>
              <w:rPr>
                <w:rFonts w:hint="eastAsia" w:ascii="宋体" w:hAnsi="宋体" w:cs="Times New Roman"/>
                <w:color w:val="auto"/>
                <w:szCs w:val="21"/>
                <w:highlight w:val="none"/>
                <w:lang w:eastAsia="zh-CN"/>
              </w:rPr>
              <w:t>建设工程</w:t>
            </w:r>
            <w:r>
              <w:rPr>
                <w:rFonts w:hint="eastAsia" w:ascii="宋体" w:hAnsi="宋体" w:cs="Times New Roman"/>
                <w:color w:val="auto"/>
                <w:szCs w:val="21"/>
                <w:highlight w:val="none"/>
                <w:lang w:val="en-US" w:eastAsia="zh-CN"/>
              </w:rPr>
              <w:t>安全教育</w:t>
            </w:r>
            <w:r>
              <w:rPr>
                <w:rFonts w:hint="eastAsia" w:ascii="宋体" w:hAnsi="宋体" w:cs="Times New Roman"/>
                <w:color w:val="auto"/>
                <w:szCs w:val="21"/>
                <w:highlight w:val="none"/>
                <w:lang w:eastAsia="zh-CN"/>
              </w:rPr>
              <w:t>培训项目负责人</w:t>
            </w:r>
            <w:r>
              <w:rPr>
                <w:rFonts w:hint="eastAsia" w:ascii="宋体" w:hAnsi="宋体" w:cs="Times New Roman"/>
                <w:color w:val="auto"/>
                <w:szCs w:val="21"/>
                <w:highlight w:val="none"/>
              </w:rPr>
              <w:t>经验</w:t>
            </w:r>
            <w:r>
              <w:rPr>
                <w:rFonts w:hint="eastAsia" w:ascii="宋体" w:hAnsi="宋体" w:cs="Times New Roman"/>
                <w:color w:val="auto"/>
                <w:szCs w:val="21"/>
                <w:highlight w:val="none"/>
                <w:lang w:eastAsia="zh-CN"/>
              </w:rPr>
              <w:t>，每个项目得</w:t>
            </w:r>
            <w:r>
              <w:rPr>
                <w:rFonts w:hint="eastAsia" w:ascii="宋体" w:hAnsi="宋体" w:cs="Times New Roman"/>
                <w:color w:val="auto"/>
                <w:szCs w:val="21"/>
                <w:highlight w:val="none"/>
                <w:lang w:val="en-US" w:eastAsia="zh-CN"/>
              </w:rPr>
              <w:t>2分，最高得10分。</w:t>
            </w:r>
          </w:p>
        </w:tc>
        <w:tc>
          <w:tcPr>
            <w:tcW w:w="687" w:type="dxa"/>
            <w:tcBorders>
              <w:top w:val="single" w:color="auto" w:sz="4" w:space="0"/>
              <w:left w:val="single" w:color="auto" w:sz="6" w:space="0"/>
              <w:bottom w:val="single" w:color="auto" w:sz="6" w:space="0"/>
              <w:right w:val="single" w:color="auto" w:sz="4" w:space="0"/>
            </w:tcBorders>
            <w:vAlign w:val="center"/>
          </w:tcPr>
          <w:p w14:paraId="7C20307F">
            <w:pPr>
              <w:autoSpaceDE w:val="0"/>
              <w:autoSpaceDN w:val="0"/>
              <w:adjustRightInd w:val="0"/>
              <w:snapToGrid w:val="0"/>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10</w:t>
            </w:r>
          </w:p>
        </w:tc>
        <w:tc>
          <w:tcPr>
            <w:tcW w:w="1545" w:type="dxa"/>
            <w:vMerge w:val="continue"/>
            <w:tcBorders>
              <w:left w:val="single" w:color="auto" w:sz="4" w:space="0"/>
              <w:bottom w:val="single" w:color="auto" w:sz="6" w:space="0"/>
              <w:right w:val="single" w:color="auto" w:sz="6" w:space="0"/>
            </w:tcBorders>
            <w:vAlign w:val="center"/>
          </w:tcPr>
          <w:p w14:paraId="3BEA8357">
            <w:pPr>
              <w:autoSpaceDE w:val="0"/>
              <w:autoSpaceDN w:val="0"/>
              <w:adjustRightInd w:val="0"/>
              <w:jc w:val="center"/>
              <w:rPr>
                <w:rFonts w:hint="eastAsia" w:ascii="宋体" w:hAnsi="宋体" w:cs="Times New Roman"/>
                <w:color w:val="auto"/>
                <w:szCs w:val="21"/>
                <w:highlight w:val="none"/>
                <w:lang w:val="zh-CN"/>
              </w:rPr>
            </w:pPr>
          </w:p>
        </w:tc>
      </w:tr>
      <w:tr w14:paraId="36F47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trPr>
        <w:tc>
          <w:tcPr>
            <w:tcW w:w="612" w:type="dxa"/>
            <w:vMerge w:val="restart"/>
            <w:tcBorders>
              <w:top w:val="single" w:color="auto" w:sz="6" w:space="0"/>
              <w:left w:val="single" w:color="auto" w:sz="6" w:space="0"/>
              <w:right w:val="single" w:color="auto" w:sz="6" w:space="0"/>
            </w:tcBorders>
            <w:vAlign w:val="center"/>
          </w:tcPr>
          <w:p w14:paraId="5C192F34">
            <w:pPr>
              <w:autoSpaceDE w:val="0"/>
              <w:autoSpaceDN w:val="0"/>
              <w:adjustRightInd w:val="0"/>
              <w:jc w:val="center"/>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w:t>
            </w:r>
          </w:p>
        </w:tc>
        <w:tc>
          <w:tcPr>
            <w:tcW w:w="1763" w:type="dxa"/>
            <w:vMerge w:val="restart"/>
            <w:tcBorders>
              <w:top w:val="single" w:color="auto" w:sz="6" w:space="0"/>
              <w:left w:val="single" w:color="auto" w:sz="6" w:space="0"/>
              <w:right w:val="single" w:color="auto" w:sz="6" w:space="0"/>
            </w:tcBorders>
            <w:vAlign w:val="center"/>
          </w:tcPr>
          <w:p w14:paraId="78806030">
            <w:pPr>
              <w:autoSpaceDE w:val="0"/>
              <w:autoSpaceDN w:val="0"/>
              <w:adjustRightInd w:val="0"/>
              <w:snapToGrid w:val="0"/>
              <w:jc w:val="center"/>
              <w:rPr>
                <w:rFonts w:hint="eastAsia" w:ascii="宋体" w:hAnsi="宋体" w:cs="Times New Roman"/>
                <w:color w:val="auto"/>
                <w:szCs w:val="21"/>
                <w:highlight w:val="none"/>
                <w:lang w:val="zh-CN"/>
              </w:rPr>
            </w:pPr>
            <w:r>
              <w:rPr>
                <w:rFonts w:hint="eastAsia" w:ascii="宋体" w:hAnsi="宋体" w:cs="Times New Roman"/>
                <w:color w:val="auto"/>
                <w:szCs w:val="21"/>
                <w:highlight w:val="none"/>
                <w:lang w:val="zh-CN"/>
              </w:rPr>
              <w:t>讲师资历</w:t>
            </w:r>
          </w:p>
        </w:tc>
        <w:tc>
          <w:tcPr>
            <w:tcW w:w="4693" w:type="dxa"/>
            <w:tcBorders>
              <w:top w:val="single" w:color="auto" w:sz="6" w:space="0"/>
              <w:left w:val="single" w:color="auto" w:sz="6" w:space="0"/>
              <w:bottom w:val="single" w:color="auto" w:sz="4" w:space="0"/>
              <w:right w:val="single" w:color="auto" w:sz="6" w:space="0"/>
            </w:tcBorders>
            <w:vAlign w:val="center"/>
          </w:tcPr>
          <w:p w14:paraId="0EB4FEC3">
            <w:pPr>
              <w:autoSpaceDE w:val="0"/>
              <w:autoSpaceDN w:val="0"/>
              <w:adjustRightInd w:val="0"/>
              <w:ind w:firstLine="420" w:firstLineChars="200"/>
              <w:jc w:val="lef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讲师应具备建筑工程相关专业副高级工程师证，得10分</w:t>
            </w:r>
            <w:r>
              <w:rPr>
                <w:rFonts w:hint="eastAsia" w:ascii="宋体" w:hAnsi="宋体" w:cs="Times New Roman"/>
                <w:color w:val="auto"/>
                <w:szCs w:val="21"/>
                <w:highlight w:val="none"/>
                <w:lang w:val="zh-CN"/>
              </w:rPr>
              <w:t>（必须是投标人正式任职的人员，提供近</w:t>
            </w:r>
            <w:r>
              <w:rPr>
                <w:rFonts w:hint="eastAsia" w:ascii="宋体" w:hAnsi="宋体" w:cs="Times New Roman"/>
                <w:color w:val="auto"/>
                <w:szCs w:val="21"/>
                <w:highlight w:val="none"/>
              </w:rPr>
              <w:t>6个月的社保证明</w:t>
            </w:r>
            <w:r>
              <w:rPr>
                <w:rFonts w:hint="eastAsia" w:ascii="宋体" w:hAnsi="宋体" w:cs="Times New Roman"/>
                <w:color w:val="auto"/>
                <w:szCs w:val="21"/>
                <w:highlight w:val="none"/>
                <w:lang w:val="zh-CN"/>
              </w:rPr>
              <w:t>）</w:t>
            </w:r>
            <w:r>
              <w:rPr>
                <w:rFonts w:hint="eastAsia" w:ascii="宋体" w:hAnsi="宋体" w:cs="Times New Roman"/>
                <w:color w:val="auto"/>
                <w:szCs w:val="21"/>
                <w:highlight w:val="none"/>
                <w:lang w:eastAsia="zh-CN"/>
              </w:rPr>
              <w:t>；</w:t>
            </w:r>
          </w:p>
        </w:tc>
        <w:tc>
          <w:tcPr>
            <w:tcW w:w="687" w:type="dxa"/>
            <w:tcBorders>
              <w:top w:val="single" w:color="auto" w:sz="6" w:space="0"/>
              <w:left w:val="single" w:color="auto" w:sz="6" w:space="0"/>
              <w:bottom w:val="single" w:color="auto" w:sz="4" w:space="0"/>
              <w:right w:val="single" w:color="auto" w:sz="4" w:space="0"/>
            </w:tcBorders>
            <w:vAlign w:val="center"/>
          </w:tcPr>
          <w:p w14:paraId="10CC085D">
            <w:pPr>
              <w:autoSpaceDE w:val="0"/>
              <w:autoSpaceDN w:val="0"/>
              <w:adjustRightInd w:val="0"/>
              <w:snapToGrid w:val="0"/>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10</w:t>
            </w:r>
          </w:p>
        </w:tc>
        <w:tc>
          <w:tcPr>
            <w:tcW w:w="1545" w:type="dxa"/>
            <w:vMerge w:val="restart"/>
            <w:tcBorders>
              <w:top w:val="single" w:color="auto" w:sz="6" w:space="0"/>
              <w:left w:val="single" w:color="auto" w:sz="4" w:space="0"/>
              <w:right w:val="single" w:color="auto" w:sz="6" w:space="0"/>
            </w:tcBorders>
            <w:vAlign w:val="center"/>
          </w:tcPr>
          <w:p w14:paraId="52E62CAA">
            <w:pPr>
              <w:autoSpaceDE w:val="0"/>
              <w:autoSpaceDN w:val="0"/>
              <w:adjustRightInd w:val="0"/>
              <w:jc w:val="center"/>
              <w:rPr>
                <w:rFonts w:hint="eastAsia" w:ascii="宋体" w:hAnsi="宋体" w:cs="Times New Roman"/>
                <w:color w:val="auto"/>
                <w:szCs w:val="21"/>
                <w:highlight w:val="none"/>
                <w:lang w:val="zh-CN"/>
              </w:rPr>
            </w:pPr>
            <w:r>
              <w:rPr>
                <w:rFonts w:hint="eastAsia" w:ascii="宋体" w:hAnsi="宋体" w:cs="Times New Roman"/>
                <w:color w:val="auto"/>
                <w:szCs w:val="21"/>
                <w:highlight w:val="none"/>
                <w:lang w:val="zh-CN"/>
              </w:rPr>
              <w:t>专家打分</w:t>
            </w:r>
          </w:p>
        </w:tc>
      </w:tr>
      <w:tr w14:paraId="7156F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7" w:hRule="atLeast"/>
        </w:trPr>
        <w:tc>
          <w:tcPr>
            <w:tcW w:w="612" w:type="dxa"/>
            <w:vMerge w:val="continue"/>
            <w:tcBorders>
              <w:left w:val="single" w:color="auto" w:sz="6" w:space="0"/>
              <w:bottom w:val="single" w:color="auto" w:sz="6" w:space="0"/>
              <w:right w:val="single" w:color="auto" w:sz="6" w:space="0"/>
            </w:tcBorders>
            <w:vAlign w:val="center"/>
          </w:tcPr>
          <w:p w14:paraId="004BBF2D">
            <w:pPr>
              <w:autoSpaceDE w:val="0"/>
              <w:autoSpaceDN w:val="0"/>
              <w:adjustRightInd w:val="0"/>
              <w:jc w:val="center"/>
              <w:rPr>
                <w:rFonts w:hint="eastAsia" w:ascii="宋体" w:hAnsi="宋体" w:cs="Times New Roman"/>
                <w:color w:val="auto"/>
                <w:szCs w:val="21"/>
                <w:highlight w:val="none"/>
                <w:lang w:val="en-US" w:eastAsia="zh-CN"/>
              </w:rPr>
            </w:pPr>
          </w:p>
        </w:tc>
        <w:tc>
          <w:tcPr>
            <w:tcW w:w="1763" w:type="dxa"/>
            <w:vMerge w:val="continue"/>
            <w:tcBorders>
              <w:left w:val="single" w:color="auto" w:sz="6" w:space="0"/>
              <w:bottom w:val="single" w:color="auto" w:sz="6" w:space="0"/>
              <w:right w:val="single" w:color="auto" w:sz="6" w:space="0"/>
            </w:tcBorders>
            <w:vAlign w:val="center"/>
          </w:tcPr>
          <w:p w14:paraId="018E6893">
            <w:pPr>
              <w:autoSpaceDE w:val="0"/>
              <w:autoSpaceDN w:val="0"/>
              <w:adjustRightInd w:val="0"/>
              <w:snapToGrid w:val="0"/>
              <w:jc w:val="center"/>
              <w:rPr>
                <w:rFonts w:hint="eastAsia" w:ascii="宋体" w:hAnsi="宋体" w:cs="Times New Roman"/>
                <w:color w:val="auto"/>
                <w:szCs w:val="21"/>
                <w:highlight w:val="none"/>
                <w:lang w:val="zh-CN"/>
              </w:rPr>
            </w:pPr>
          </w:p>
        </w:tc>
        <w:tc>
          <w:tcPr>
            <w:tcW w:w="4693" w:type="dxa"/>
            <w:tcBorders>
              <w:top w:val="single" w:color="auto" w:sz="4" w:space="0"/>
              <w:left w:val="single" w:color="auto" w:sz="6" w:space="0"/>
              <w:bottom w:val="single" w:color="auto" w:sz="6" w:space="0"/>
              <w:right w:val="single" w:color="auto" w:sz="6" w:space="0"/>
            </w:tcBorders>
            <w:vAlign w:val="center"/>
          </w:tcPr>
          <w:p w14:paraId="00F99E73">
            <w:pPr>
              <w:autoSpaceDE w:val="0"/>
              <w:autoSpaceDN w:val="0"/>
              <w:adjustRightInd w:val="0"/>
              <w:ind w:firstLine="420" w:firstLineChars="200"/>
              <w:jc w:val="lef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eastAsia="zh-CN"/>
              </w:rPr>
              <w:t>讲师</w:t>
            </w:r>
            <w:r>
              <w:rPr>
                <w:rFonts w:hint="eastAsia" w:ascii="宋体" w:hAnsi="宋体" w:cs="Times New Roman"/>
                <w:color w:val="auto"/>
                <w:szCs w:val="21"/>
                <w:highlight w:val="none"/>
              </w:rPr>
              <w:t>近</w:t>
            </w:r>
            <w:r>
              <w:rPr>
                <w:rFonts w:hint="eastAsia" w:ascii="宋体" w:hAnsi="宋体" w:cs="Times New Roman"/>
                <w:color w:val="auto"/>
                <w:szCs w:val="21"/>
                <w:highlight w:val="none"/>
                <w:lang w:val="en-US" w:eastAsia="zh-CN"/>
              </w:rPr>
              <w:t>5</w:t>
            </w:r>
            <w:r>
              <w:rPr>
                <w:rFonts w:hint="eastAsia" w:ascii="宋体" w:hAnsi="宋体" w:cs="Times New Roman"/>
                <w:color w:val="auto"/>
                <w:szCs w:val="21"/>
                <w:highlight w:val="none"/>
              </w:rPr>
              <w:t>年内有</w:t>
            </w:r>
            <w:r>
              <w:rPr>
                <w:rFonts w:hint="eastAsia" w:ascii="宋体" w:hAnsi="宋体" w:cs="Times New Roman"/>
                <w:color w:val="auto"/>
                <w:szCs w:val="21"/>
                <w:highlight w:val="none"/>
                <w:lang w:eastAsia="zh-CN"/>
              </w:rPr>
              <w:t>建设工程</w:t>
            </w:r>
            <w:r>
              <w:rPr>
                <w:rFonts w:hint="eastAsia" w:ascii="宋体" w:hAnsi="宋体" w:cs="Times New Roman"/>
                <w:color w:val="auto"/>
                <w:szCs w:val="21"/>
                <w:highlight w:val="none"/>
                <w:lang w:val="en-US" w:eastAsia="zh-CN"/>
              </w:rPr>
              <w:t>安全教育</w:t>
            </w:r>
            <w:r>
              <w:rPr>
                <w:rFonts w:hint="eastAsia" w:ascii="宋体" w:hAnsi="宋体" w:cs="Times New Roman"/>
                <w:color w:val="auto"/>
                <w:szCs w:val="21"/>
                <w:highlight w:val="none"/>
                <w:lang w:eastAsia="zh-CN"/>
              </w:rPr>
              <w:t>培训项目</w:t>
            </w:r>
            <w:r>
              <w:rPr>
                <w:rFonts w:hint="eastAsia" w:ascii="宋体" w:hAnsi="宋体" w:cs="Times New Roman"/>
                <w:color w:val="auto"/>
                <w:szCs w:val="21"/>
                <w:highlight w:val="none"/>
              </w:rPr>
              <w:t>相关经验</w:t>
            </w:r>
            <w:r>
              <w:rPr>
                <w:rFonts w:hint="eastAsia" w:ascii="宋体" w:hAnsi="宋体" w:cs="Times New Roman"/>
                <w:color w:val="auto"/>
                <w:szCs w:val="21"/>
                <w:highlight w:val="none"/>
                <w:lang w:eastAsia="zh-CN"/>
              </w:rPr>
              <w:t>，每个项目得</w:t>
            </w:r>
            <w:r>
              <w:rPr>
                <w:rFonts w:hint="eastAsia" w:ascii="宋体" w:hAnsi="宋体" w:cs="Times New Roman"/>
                <w:color w:val="auto"/>
                <w:szCs w:val="21"/>
                <w:highlight w:val="none"/>
                <w:lang w:val="en-US" w:eastAsia="zh-CN"/>
              </w:rPr>
              <w:t>2分，最高得10分。</w:t>
            </w:r>
          </w:p>
        </w:tc>
        <w:tc>
          <w:tcPr>
            <w:tcW w:w="687" w:type="dxa"/>
            <w:tcBorders>
              <w:top w:val="single" w:color="auto" w:sz="4" w:space="0"/>
              <w:left w:val="single" w:color="auto" w:sz="6" w:space="0"/>
              <w:bottom w:val="single" w:color="auto" w:sz="6" w:space="0"/>
              <w:right w:val="single" w:color="auto" w:sz="4" w:space="0"/>
            </w:tcBorders>
            <w:vAlign w:val="center"/>
          </w:tcPr>
          <w:p w14:paraId="34B93C9A">
            <w:pPr>
              <w:autoSpaceDE w:val="0"/>
              <w:autoSpaceDN w:val="0"/>
              <w:adjustRightInd w:val="0"/>
              <w:snapToGrid w:val="0"/>
              <w:jc w:val="center"/>
              <w:rPr>
                <w:rFonts w:hint="default"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10</w:t>
            </w:r>
          </w:p>
        </w:tc>
        <w:tc>
          <w:tcPr>
            <w:tcW w:w="1545" w:type="dxa"/>
            <w:vMerge w:val="continue"/>
            <w:tcBorders>
              <w:left w:val="single" w:color="auto" w:sz="4" w:space="0"/>
              <w:bottom w:val="single" w:color="auto" w:sz="6" w:space="0"/>
              <w:right w:val="single" w:color="auto" w:sz="6" w:space="0"/>
            </w:tcBorders>
            <w:vAlign w:val="center"/>
          </w:tcPr>
          <w:p w14:paraId="24B9ACB9">
            <w:pPr>
              <w:autoSpaceDE w:val="0"/>
              <w:autoSpaceDN w:val="0"/>
              <w:adjustRightInd w:val="0"/>
              <w:jc w:val="center"/>
              <w:rPr>
                <w:rFonts w:hint="eastAsia" w:ascii="宋体" w:hAnsi="宋体" w:cs="Times New Roman"/>
                <w:color w:val="auto"/>
                <w:szCs w:val="21"/>
                <w:highlight w:val="none"/>
                <w:lang w:val="zh-CN"/>
              </w:rPr>
            </w:pPr>
          </w:p>
        </w:tc>
      </w:tr>
    </w:tbl>
    <w:p w14:paraId="7BBD3B08">
      <w:pPr>
        <w:rPr>
          <w:highlight w:val="none"/>
        </w:rPr>
      </w:pPr>
    </w:p>
    <w:p w14:paraId="1152BAD5">
      <w:pPr>
        <w:rPr>
          <w:rFonts w:hint="eastAsia"/>
          <w:highlight w:val="none"/>
        </w:rPr>
      </w:pPr>
      <w:r>
        <w:rPr>
          <w:rFonts w:hint="eastAsia"/>
          <w:highlight w:val="none"/>
        </w:rPr>
        <w:t>备注：有取值范围的，含上限值不含下限值。每一项的得分均不能超过该项最高分值；缺项则该项为0分或不合格为0分。</w:t>
      </w:r>
    </w:p>
    <w:p w14:paraId="073CBAE3"/>
    <w:sectPr>
      <w:headerReference r:id="rId5"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AB036">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03167">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43F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DB25EA"/>
    <w:multiLevelType w:val="singleLevel"/>
    <w:tmpl w:val="B9DB25EA"/>
    <w:lvl w:ilvl="0" w:tentative="0">
      <w:start w:val="2"/>
      <w:numFmt w:val="chineseCounting"/>
      <w:suff w:val="nothing"/>
      <w:lvlText w:val="%1、"/>
      <w:lvlJc w:val="left"/>
      <w:rPr>
        <w:rFonts w:hint="eastAsia"/>
      </w:rPr>
    </w:lvl>
  </w:abstractNum>
  <w:abstractNum w:abstractNumId="1">
    <w:nsid w:val="38C10E5F"/>
    <w:multiLevelType w:val="multilevel"/>
    <w:tmpl w:val="38C10E5F"/>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7F7E50D4"/>
    <w:multiLevelType w:val="singleLevel"/>
    <w:tmpl w:val="7F7E50D4"/>
    <w:lvl w:ilvl="0" w:tentative="0">
      <w:start w:val="1"/>
      <w:numFmt w:val="chineseCounting"/>
      <w:pStyle w:val="19"/>
      <w:suff w:val="nothing"/>
      <w:lvlText w:val="%1、"/>
      <w:lvlJc w:val="left"/>
      <w:rPr>
        <w:rFonts w:hint="eastAsia"/>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4D2E6E"/>
    <w:rsid w:val="00901A81"/>
    <w:rsid w:val="00B32F31"/>
    <w:rsid w:val="00B43886"/>
    <w:rsid w:val="00CA135B"/>
    <w:rsid w:val="011D39A8"/>
    <w:rsid w:val="021D2F14"/>
    <w:rsid w:val="02276C4A"/>
    <w:rsid w:val="0256735F"/>
    <w:rsid w:val="02C860F0"/>
    <w:rsid w:val="03A86282"/>
    <w:rsid w:val="05084D8F"/>
    <w:rsid w:val="05410B0F"/>
    <w:rsid w:val="062A7F5E"/>
    <w:rsid w:val="06FB750B"/>
    <w:rsid w:val="07F800AB"/>
    <w:rsid w:val="08F56282"/>
    <w:rsid w:val="0AAA77CB"/>
    <w:rsid w:val="0AC842FF"/>
    <w:rsid w:val="0AF348D5"/>
    <w:rsid w:val="0AF56EDB"/>
    <w:rsid w:val="0B1B7439"/>
    <w:rsid w:val="0C0F2F61"/>
    <w:rsid w:val="0C2E02DE"/>
    <w:rsid w:val="0C771BAF"/>
    <w:rsid w:val="0CEA30E4"/>
    <w:rsid w:val="0D657EB5"/>
    <w:rsid w:val="0DB15155"/>
    <w:rsid w:val="0DB3293E"/>
    <w:rsid w:val="0E230CC5"/>
    <w:rsid w:val="0E807DED"/>
    <w:rsid w:val="0EFF7A5B"/>
    <w:rsid w:val="102513DC"/>
    <w:rsid w:val="10551BDA"/>
    <w:rsid w:val="111F502F"/>
    <w:rsid w:val="113D52BC"/>
    <w:rsid w:val="11445087"/>
    <w:rsid w:val="12956A61"/>
    <w:rsid w:val="12A51E03"/>
    <w:rsid w:val="14572BAF"/>
    <w:rsid w:val="153A0183"/>
    <w:rsid w:val="15B73296"/>
    <w:rsid w:val="16321AD6"/>
    <w:rsid w:val="167816D6"/>
    <w:rsid w:val="16813B44"/>
    <w:rsid w:val="175D162F"/>
    <w:rsid w:val="186F7D3C"/>
    <w:rsid w:val="19C92D41"/>
    <w:rsid w:val="19F71892"/>
    <w:rsid w:val="1AE747FE"/>
    <w:rsid w:val="1BE16C0B"/>
    <w:rsid w:val="1C033B7C"/>
    <w:rsid w:val="1C426008"/>
    <w:rsid w:val="1CC54F5C"/>
    <w:rsid w:val="1D6D18DF"/>
    <w:rsid w:val="1EB10CF4"/>
    <w:rsid w:val="1FA4396C"/>
    <w:rsid w:val="211D352D"/>
    <w:rsid w:val="21820531"/>
    <w:rsid w:val="235617C1"/>
    <w:rsid w:val="23677DFB"/>
    <w:rsid w:val="238B034B"/>
    <w:rsid w:val="23981A28"/>
    <w:rsid w:val="24AA0FE5"/>
    <w:rsid w:val="257F60D4"/>
    <w:rsid w:val="26B508AB"/>
    <w:rsid w:val="26D20D7F"/>
    <w:rsid w:val="27FA6A57"/>
    <w:rsid w:val="284C7F0C"/>
    <w:rsid w:val="28CE47F1"/>
    <w:rsid w:val="29A32625"/>
    <w:rsid w:val="2AB720A2"/>
    <w:rsid w:val="2AEF6572"/>
    <w:rsid w:val="2BFB1009"/>
    <w:rsid w:val="2D4345E1"/>
    <w:rsid w:val="2D496E21"/>
    <w:rsid w:val="2EB60318"/>
    <w:rsid w:val="3008253F"/>
    <w:rsid w:val="31350845"/>
    <w:rsid w:val="315F1634"/>
    <w:rsid w:val="323018E8"/>
    <w:rsid w:val="33587E53"/>
    <w:rsid w:val="335E6C7C"/>
    <w:rsid w:val="3427011B"/>
    <w:rsid w:val="34626177"/>
    <w:rsid w:val="3463549B"/>
    <w:rsid w:val="347436ED"/>
    <w:rsid w:val="35D2111A"/>
    <w:rsid w:val="36116FF2"/>
    <w:rsid w:val="36854CC3"/>
    <w:rsid w:val="390A0991"/>
    <w:rsid w:val="3AB11154"/>
    <w:rsid w:val="3B075089"/>
    <w:rsid w:val="3C0D5708"/>
    <w:rsid w:val="3C4230F3"/>
    <w:rsid w:val="3CF15FC8"/>
    <w:rsid w:val="3D0125F3"/>
    <w:rsid w:val="3D38657A"/>
    <w:rsid w:val="3D8800F5"/>
    <w:rsid w:val="3DC8240C"/>
    <w:rsid w:val="3E80335B"/>
    <w:rsid w:val="3EBC66DC"/>
    <w:rsid w:val="3FFC6C0C"/>
    <w:rsid w:val="403768E5"/>
    <w:rsid w:val="40B12396"/>
    <w:rsid w:val="40B438DB"/>
    <w:rsid w:val="419200DA"/>
    <w:rsid w:val="419D0AEB"/>
    <w:rsid w:val="42CD3B89"/>
    <w:rsid w:val="43455469"/>
    <w:rsid w:val="43B67897"/>
    <w:rsid w:val="43E419BB"/>
    <w:rsid w:val="44FD31A7"/>
    <w:rsid w:val="45AB6797"/>
    <w:rsid w:val="464A6521"/>
    <w:rsid w:val="46C75626"/>
    <w:rsid w:val="472E1929"/>
    <w:rsid w:val="474A4E16"/>
    <w:rsid w:val="476762C9"/>
    <w:rsid w:val="477F6BBB"/>
    <w:rsid w:val="47AA54DE"/>
    <w:rsid w:val="47C64586"/>
    <w:rsid w:val="48126D28"/>
    <w:rsid w:val="48187FF1"/>
    <w:rsid w:val="488F42C2"/>
    <w:rsid w:val="48BF52CA"/>
    <w:rsid w:val="4AD5036E"/>
    <w:rsid w:val="4CAE52EA"/>
    <w:rsid w:val="4D2F6E72"/>
    <w:rsid w:val="4D7E0232"/>
    <w:rsid w:val="4E2242F4"/>
    <w:rsid w:val="4F3872D7"/>
    <w:rsid w:val="505F3C21"/>
    <w:rsid w:val="50831875"/>
    <w:rsid w:val="50E52560"/>
    <w:rsid w:val="512E5025"/>
    <w:rsid w:val="51700199"/>
    <w:rsid w:val="52A95472"/>
    <w:rsid w:val="53EA0C39"/>
    <w:rsid w:val="5481071B"/>
    <w:rsid w:val="549D1853"/>
    <w:rsid w:val="552D39FA"/>
    <w:rsid w:val="5564366F"/>
    <w:rsid w:val="55CA7F31"/>
    <w:rsid w:val="55FA5171"/>
    <w:rsid w:val="568424E9"/>
    <w:rsid w:val="56C4546A"/>
    <w:rsid w:val="56DB5D94"/>
    <w:rsid w:val="59DE7D3B"/>
    <w:rsid w:val="5A4872CB"/>
    <w:rsid w:val="5A603752"/>
    <w:rsid w:val="5A6650BA"/>
    <w:rsid w:val="5AE44300"/>
    <w:rsid w:val="5AFD6CE9"/>
    <w:rsid w:val="5C497605"/>
    <w:rsid w:val="5C520CA1"/>
    <w:rsid w:val="5D245E55"/>
    <w:rsid w:val="5D2A2697"/>
    <w:rsid w:val="5D7D1AB7"/>
    <w:rsid w:val="5D87222A"/>
    <w:rsid w:val="5DB5306F"/>
    <w:rsid w:val="5E954433"/>
    <w:rsid w:val="608E4865"/>
    <w:rsid w:val="61F84885"/>
    <w:rsid w:val="63131E3D"/>
    <w:rsid w:val="63603C0E"/>
    <w:rsid w:val="63CD146D"/>
    <w:rsid w:val="65065C5B"/>
    <w:rsid w:val="66866D67"/>
    <w:rsid w:val="66903E9E"/>
    <w:rsid w:val="67397CED"/>
    <w:rsid w:val="67E31CAB"/>
    <w:rsid w:val="67E60158"/>
    <w:rsid w:val="68F449C6"/>
    <w:rsid w:val="6AE7307C"/>
    <w:rsid w:val="6B1469ED"/>
    <w:rsid w:val="6B2654AB"/>
    <w:rsid w:val="6D05691B"/>
    <w:rsid w:val="6EBB6FB1"/>
    <w:rsid w:val="6EF22C6F"/>
    <w:rsid w:val="6F4A6C9C"/>
    <w:rsid w:val="6FD215A1"/>
    <w:rsid w:val="70115BAF"/>
    <w:rsid w:val="705C3541"/>
    <w:rsid w:val="720206ED"/>
    <w:rsid w:val="721021E1"/>
    <w:rsid w:val="726D5D94"/>
    <w:rsid w:val="73F3185A"/>
    <w:rsid w:val="745F394F"/>
    <w:rsid w:val="75554A67"/>
    <w:rsid w:val="767309FE"/>
    <w:rsid w:val="76CC03F0"/>
    <w:rsid w:val="775105EC"/>
    <w:rsid w:val="78EB5F7C"/>
    <w:rsid w:val="79860A18"/>
    <w:rsid w:val="7A076467"/>
    <w:rsid w:val="7A504988"/>
    <w:rsid w:val="7A7D2278"/>
    <w:rsid w:val="7B3A704B"/>
    <w:rsid w:val="7BBD0AC9"/>
    <w:rsid w:val="7BC736D0"/>
    <w:rsid w:val="7C5F60A7"/>
    <w:rsid w:val="7ED11C70"/>
    <w:rsid w:val="7EEE542A"/>
    <w:rsid w:val="7F6F4642"/>
    <w:rsid w:val="AF579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4"/>
    <w:next w:val="1"/>
    <w:qFormat/>
    <w:uiPriority w:val="0"/>
    <w:pPr>
      <w:keepNext/>
      <w:keepLines/>
    </w:pPr>
    <w:rPr>
      <w:rFonts w:ascii="黑体" w:hAnsi="黑体"/>
      <w:b w:val="0"/>
      <w:kern w:val="44"/>
      <w:sz w:val="44"/>
    </w:rPr>
  </w:style>
  <w:style w:type="paragraph" w:styleId="6">
    <w:name w:val="heading 2"/>
    <w:basedOn w:val="1"/>
    <w:next w:val="1"/>
    <w:semiHidden/>
    <w:unhideWhenUsed/>
    <w:qFormat/>
    <w:uiPriority w:val="0"/>
    <w:pPr>
      <w:keepNext/>
      <w:keepLines/>
      <w:ind w:firstLine="880" w:firstLineChars="200"/>
      <w:outlineLvl w:val="1"/>
    </w:pPr>
    <w:rPr>
      <w:rFonts w:eastAsia="黑体"/>
      <w:sz w:val="32"/>
    </w:rPr>
  </w:style>
  <w:style w:type="paragraph" w:styleId="7">
    <w:name w:val="heading 3"/>
    <w:basedOn w:val="6"/>
    <w:next w:val="1"/>
    <w:semiHidden/>
    <w:unhideWhenUsed/>
    <w:qFormat/>
    <w:uiPriority w:val="0"/>
    <w:pPr>
      <w:outlineLvl w:val="2"/>
    </w:pPr>
    <w:rPr>
      <w:rFonts w:ascii="楷体" w:hAnsi="楷体" w:eastAsia="楷体"/>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Body Text"/>
    <w:basedOn w:val="1"/>
    <w:next w:val="4"/>
    <w:qFormat/>
    <w:uiPriority w:val="0"/>
    <w:pPr>
      <w:spacing w:after="120"/>
    </w:pPr>
  </w:style>
  <w:style w:type="paragraph" w:styleId="4">
    <w:name w:val="Title"/>
    <w:basedOn w:val="1"/>
    <w:next w:val="1"/>
    <w:qFormat/>
    <w:uiPriority w:val="0"/>
    <w:pPr>
      <w:spacing w:before="240" w:after="60"/>
      <w:jc w:val="center"/>
      <w:outlineLvl w:val="0"/>
    </w:pPr>
    <w:rPr>
      <w:rFonts w:ascii="Arial" w:hAnsi="Arial"/>
      <w:b/>
      <w:sz w:val="32"/>
    </w:rPr>
  </w:style>
  <w:style w:type="paragraph" w:styleId="8">
    <w:name w:val="annotation text"/>
    <w:basedOn w:val="1"/>
    <w:unhideWhenUsed/>
    <w:qFormat/>
    <w:uiPriority w:val="99"/>
    <w:pPr>
      <w:jc w:val="left"/>
    </w:pPr>
  </w:style>
  <w:style w:type="paragraph" w:styleId="9">
    <w:name w:val="Body Text Indent 2"/>
    <w:basedOn w:val="1"/>
    <w:qFormat/>
    <w:uiPriority w:val="0"/>
    <w:pPr>
      <w:spacing w:line="360" w:lineRule="auto"/>
      <w:ind w:firstLine="480" w:firstLineChars="200"/>
    </w:pPr>
    <w:rPr>
      <w:rFonts w:ascii="宋体"/>
      <w:sz w:val="24"/>
    </w:rPr>
  </w:style>
  <w:style w:type="paragraph" w:styleId="10">
    <w:name w:val="Balloon Text"/>
    <w:basedOn w:val="1"/>
    <w:link w:val="23"/>
    <w:qFormat/>
    <w:uiPriority w:val="0"/>
    <w:rPr>
      <w:sz w:val="18"/>
      <w:szCs w:val="18"/>
    </w:rPr>
  </w:style>
  <w:style w:type="paragraph" w:styleId="11">
    <w:name w:val="footer"/>
    <w:basedOn w:val="1"/>
    <w:link w:val="22"/>
    <w:qFormat/>
    <w:uiPriority w:val="0"/>
    <w:pPr>
      <w:tabs>
        <w:tab w:val="center" w:pos="4153"/>
        <w:tab w:val="right" w:pos="8306"/>
      </w:tabs>
      <w:snapToGrid w:val="0"/>
      <w:jc w:val="left"/>
    </w:pPr>
    <w:rPr>
      <w:sz w:val="18"/>
      <w:szCs w:val="18"/>
    </w:rPr>
  </w:style>
  <w:style w:type="paragraph" w:styleId="12">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spacing w:beforeAutospacing="1" w:afterAutospacing="1"/>
    </w:pPr>
    <w:rPr>
      <w:rFonts w:cs="Times New Roman"/>
    </w:rPr>
  </w:style>
  <w:style w:type="paragraph" w:styleId="14">
    <w:name w:val="Body Text First Indent 2"/>
    <w:basedOn w:val="1"/>
    <w:qFormat/>
    <w:uiPriority w:val="0"/>
    <w:pPr>
      <w:ind w:firstLine="420" w:firstLineChars="200"/>
    </w:pPr>
    <w:rPr>
      <w:rFonts w:ascii="Calibri" w:hAnsi="Calibri" w:eastAsia="宋体" w:cs="Times New Roman"/>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unhideWhenUsed/>
    <w:qFormat/>
    <w:uiPriority w:val="99"/>
    <w:rPr>
      <w:sz w:val="21"/>
      <w:szCs w:val="21"/>
    </w:rPr>
  </w:style>
  <w:style w:type="paragraph" w:customStyle="1" w:styleId="19">
    <w:name w:val="大标题"/>
    <w:basedOn w:val="4"/>
    <w:next w:val="1"/>
    <w:qFormat/>
    <w:uiPriority w:val="0"/>
    <w:pPr>
      <w:numPr>
        <w:ilvl w:val="0"/>
        <w:numId w:val="1"/>
      </w:numPr>
    </w:pPr>
    <w:rPr>
      <w:rFonts w:hint="eastAsia" w:ascii="黑体" w:hAnsi="黑体"/>
      <w:sz w:val="44"/>
      <w:szCs w:val="32"/>
    </w:rPr>
  </w:style>
  <w:style w:type="character" w:customStyle="1" w:styleId="20">
    <w:name w:val="15"/>
    <w:basedOn w:val="17"/>
    <w:qFormat/>
    <w:uiPriority w:val="0"/>
    <w:rPr>
      <w:rFonts w:hint="default" w:ascii="Calibri" w:hAnsi="Calibri" w:cs="Calibri"/>
      <w:sz w:val="22"/>
      <w:szCs w:val="22"/>
    </w:rPr>
  </w:style>
  <w:style w:type="character" w:customStyle="1" w:styleId="21">
    <w:name w:val="页眉 Char"/>
    <w:basedOn w:val="17"/>
    <w:link w:val="12"/>
    <w:qFormat/>
    <w:uiPriority w:val="0"/>
    <w:rPr>
      <w:kern w:val="2"/>
      <w:sz w:val="18"/>
      <w:szCs w:val="18"/>
    </w:rPr>
  </w:style>
  <w:style w:type="character" w:customStyle="1" w:styleId="22">
    <w:name w:val="页脚 Char"/>
    <w:basedOn w:val="17"/>
    <w:link w:val="11"/>
    <w:qFormat/>
    <w:uiPriority w:val="0"/>
    <w:rPr>
      <w:kern w:val="2"/>
      <w:sz w:val="18"/>
      <w:szCs w:val="18"/>
    </w:rPr>
  </w:style>
  <w:style w:type="character" w:customStyle="1" w:styleId="23">
    <w:name w:val="批注框文本 Char"/>
    <w:basedOn w:val="17"/>
    <w:link w:val="10"/>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Kingsoft</Company>
  <Pages>25</Pages>
  <Words>51</Words>
  <Characters>57</Characters>
  <Lines>62</Lines>
  <Paragraphs>17</Paragraphs>
  <TotalTime>8</TotalTime>
  <ScaleCrop>false</ScaleCrop>
  <LinksUpToDate>false</LinksUpToDate>
  <CharactersWithSpaces>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魏维</dc:creator>
  <cp:lastModifiedBy>God T</cp:lastModifiedBy>
  <cp:lastPrinted>2025-03-03T06:29:00Z</cp:lastPrinted>
  <dcterms:modified xsi:type="dcterms:W3CDTF">2025-03-10T01:56:54Z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AF76DE47A98A4F4388179DE4C7917BDE_12</vt:lpwstr>
  </property>
  <property fmtid="{D5CDD505-2E9C-101B-9397-08002B2CF9AE}" pid="4" name="KSOTemplateDocerSaveRecord">
    <vt:lpwstr>eyJoZGlkIjoiZTQ4Y2E4NTc4OTIzZmE3ZWZjNjMwYzlhNDI4NDc3NGEiLCJ1c2VySWQiOiIyMTc4ODY0MTIifQ==</vt:lpwstr>
  </property>
</Properties>
</file>