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21"/>
          <w:szCs w:val="21"/>
        </w:rPr>
      </w:pPr>
    </w:p>
    <w:p>
      <w:pPr>
        <w:jc w:val="center"/>
        <w:rPr>
          <w:b/>
          <w:sz w:val="48"/>
          <w:szCs w:val="48"/>
        </w:rPr>
      </w:pPr>
    </w:p>
    <w:p>
      <w:pPr>
        <w:jc w:val="center"/>
        <w:rPr>
          <w:b/>
          <w:sz w:val="48"/>
          <w:szCs w:val="48"/>
        </w:rPr>
      </w:pPr>
      <w:r>
        <w:rPr>
          <w:rFonts w:hint="eastAsia"/>
          <w:b/>
          <w:sz w:val="48"/>
          <w:szCs w:val="48"/>
        </w:rPr>
        <w:t>南山区住房和建设局采购</w:t>
      </w:r>
    </w:p>
    <w:p>
      <w:pPr>
        <w:jc w:val="center"/>
        <w:rPr>
          <w:rFonts w:hint="eastAsia"/>
          <w:b/>
          <w:sz w:val="48"/>
          <w:szCs w:val="48"/>
          <w:highlight w:val="none"/>
        </w:rPr>
      </w:pPr>
      <w:r>
        <w:rPr>
          <w:rFonts w:hint="default"/>
          <w:b/>
          <w:sz w:val="48"/>
          <w:szCs w:val="48"/>
        </w:rPr>
        <w:t>南山区</w:t>
      </w:r>
      <w:r>
        <w:rPr>
          <w:rFonts w:hint="default"/>
          <w:b/>
          <w:sz w:val="48"/>
          <w:szCs w:val="48"/>
          <w:highlight w:val="none"/>
        </w:rPr>
        <w:t>2024年保障性</w:t>
      </w:r>
      <w:r>
        <w:rPr>
          <w:rFonts w:hint="eastAsia"/>
          <w:b/>
          <w:sz w:val="48"/>
          <w:szCs w:val="48"/>
          <w:highlight w:val="none"/>
          <w:lang w:eastAsia="zh-CN"/>
        </w:rPr>
        <w:t>租赁</w:t>
      </w:r>
      <w:r>
        <w:rPr>
          <w:rFonts w:hint="default"/>
          <w:b/>
          <w:sz w:val="48"/>
          <w:szCs w:val="48"/>
          <w:highlight w:val="none"/>
        </w:rPr>
        <w:t>住房</w:t>
      </w:r>
      <w:r>
        <w:rPr>
          <w:rFonts w:hint="eastAsia"/>
          <w:b/>
          <w:sz w:val="48"/>
          <w:szCs w:val="48"/>
          <w:highlight w:val="none"/>
          <w:lang w:eastAsia="zh-CN"/>
        </w:rPr>
        <w:t>（社会主体出租类）</w:t>
      </w:r>
      <w:r>
        <w:rPr>
          <w:rFonts w:hint="default"/>
          <w:b/>
          <w:sz w:val="48"/>
          <w:szCs w:val="48"/>
          <w:highlight w:val="none"/>
        </w:rPr>
        <w:t>项目常态化监督服务</w:t>
      </w:r>
      <w:r>
        <w:rPr>
          <w:rFonts w:hint="eastAsia"/>
          <w:b/>
          <w:sz w:val="48"/>
          <w:szCs w:val="48"/>
          <w:highlight w:val="none"/>
        </w:rPr>
        <w:t>项目</w:t>
      </w:r>
    </w:p>
    <w:p>
      <w:pPr>
        <w:jc w:val="center"/>
        <w:rPr>
          <w:b/>
          <w:sz w:val="48"/>
          <w:szCs w:val="48"/>
          <w:highlight w:val="none"/>
        </w:rPr>
      </w:pPr>
      <w:r>
        <w:rPr>
          <w:rFonts w:hint="eastAsia"/>
          <w:b/>
          <w:sz w:val="48"/>
          <w:szCs w:val="48"/>
          <w:highlight w:val="none"/>
        </w:rPr>
        <w:t>招标文件</w:t>
      </w:r>
    </w:p>
    <w:p>
      <w:pPr>
        <w:pStyle w:val="14"/>
        <w:jc w:val="center"/>
        <w:outlineLvl w:val="1"/>
        <w:rPr>
          <w:rFonts w:ascii="黑体" w:hAnsi="黑体" w:eastAsia="黑体"/>
          <w:sz w:val="40"/>
          <w:szCs w:val="40"/>
        </w:rPr>
      </w:pPr>
    </w:p>
    <w:p>
      <w:pPr>
        <w:pStyle w:val="14"/>
        <w:jc w:val="center"/>
        <w:outlineLvl w:val="1"/>
        <w:rPr>
          <w:rFonts w:ascii="黑体" w:hAnsi="黑体" w:eastAsia="黑体"/>
          <w:sz w:val="40"/>
          <w:szCs w:val="40"/>
        </w:rPr>
      </w:pPr>
    </w:p>
    <w:p>
      <w:pPr>
        <w:pStyle w:val="14"/>
        <w:jc w:val="center"/>
        <w:outlineLvl w:val="1"/>
        <w:rPr>
          <w:rFonts w:ascii="黑体" w:hAnsi="黑体" w:eastAsia="黑体"/>
          <w:sz w:val="40"/>
          <w:szCs w:val="40"/>
        </w:rPr>
      </w:pPr>
    </w:p>
    <w:tbl>
      <w:tblPr>
        <w:tblStyle w:val="18"/>
        <w:tblW w:w="8322" w:type="dxa"/>
        <w:jc w:val="center"/>
        <w:tblCellSpacing w:w="0" w:type="dxa"/>
        <w:tblLayout w:type="fixed"/>
        <w:tblCellMar>
          <w:top w:w="36" w:type="dxa"/>
          <w:left w:w="36" w:type="dxa"/>
          <w:bottom w:w="36" w:type="dxa"/>
          <w:right w:w="36" w:type="dxa"/>
        </w:tblCellMar>
      </w:tblPr>
      <w:tblGrid>
        <w:gridCol w:w="1682"/>
        <w:gridCol w:w="6640"/>
      </w:tblGrid>
      <w:tr>
        <w:trPr>
          <w:trHeight w:val="737" w:hRule="atLeast"/>
          <w:tblCellSpacing w:w="0" w:type="dxa"/>
          <w:jc w:val="center"/>
        </w:trPr>
        <w:tc>
          <w:tcPr>
            <w:tcW w:w="1682" w:type="dxa"/>
            <w:vAlign w:val="center"/>
          </w:tcPr>
          <w:p>
            <w:pPr>
              <w:jc w:val="right"/>
              <w:rPr>
                <w:sz w:val="30"/>
                <w:szCs w:val="30"/>
              </w:rPr>
            </w:pPr>
            <w:r>
              <w:rPr>
                <w:sz w:val="30"/>
                <w:szCs w:val="30"/>
              </w:rPr>
              <w:t>项目名称：</w:t>
            </w:r>
          </w:p>
        </w:tc>
        <w:tc>
          <w:tcPr>
            <w:tcW w:w="6640" w:type="dxa"/>
            <w:vAlign w:val="center"/>
          </w:tcPr>
          <w:p>
            <w:pPr>
              <w:rPr>
                <w:sz w:val="30"/>
                <w:szCs w:val="30"/>
                <w:u w:val="single"/>
              </w:rPr>
            </w:pPr>
            <w:r>
              <w:rPr>
                <w:rFonts w:hint="default"/>
                <w:sz w:val="30"/>
                <w:szCs w:val="30"/>
                <w:u w:val="single"/>
              </w:rPr>
              <w:t>南山区2024年</w:t>
            </w:r>
            <w:r>
              <w:rPr>
                <w:rFonts w:hint="eastAsia"/>
                <w:sz w:val="30"/>
                <w:szCs w:val="30"/>
                <w:u w:val="single"/>
              </w:rPr>
              <w:t>保障性</w:t>
            </w:r>
            <w:r>
              <w:rPr>
                <w:rFonts w:hint="eastAsia"/>
                <w:sz w:val="30"/>
                <w:szCs w:val="30"/>
                <w:u w:val="single"/>
                <w:lang w:eastAsia="zh-CN"/>
              </w:rPr>
              <w:t>租赁</w:t>
            </w:r>
            <w:r>
              <w:rPr>
                <w:rFonts w:hint="eastAsia"/>
                <w:sz w:val="30"/>
                <w:szCs w:val="30"/>
                <w:u w:val="single"/>
              </w:rPr>
              <w:t>住房</w:t>
            </w:r>
            <w:r>
              <w:rPr>
                <w:rFonts w:hint="eastAsia"/>
                <w:sz w:val="30"/>
                <w:szCs w:val="30"/>
                <w:u w:val="single"/>
                <w:lang w:eastAsia="zh-CN"/>
              </w:rPr>
              <w:t>（社会主体出租类）</w:t>
            </w:r>
            <w:r>
              <w:rPr>
                <w:rFonts w:hint="eastAsia"/>
                <w:sz w:val="30"/>
                <w:szCs w:val="30"/>
                <w:u w:val="single"/>
              </w:rPr>
              <w:t>项目常态化监督服务项目</w:t>
            </w:r>
          </w:p>
        </w:tc>
      </w:tr>
      <w:tr>
        <w:tblPrEx>
          <w:tblCellMar>
            <w:top w:w="36" w:type="dxa"/>
            <w:left w:w="36" w:type="dxa"/>
            <w:bottom w:w="36" w:type="dxa"/>
            <w:right w:w="36" w:type="dxa"/>
          </w:tblCellMar>
        </w:tblPrEx>
        <w:trPr>
          <w:trHeight w:val="737" w:hRule="atLeast"/>
          <w:tblCellSpacing w:w="0" w:type="dxa"/>
          <w:jc w:val="center"/>
        </w:trPr>
        <w:tc>
          <w:tcPr>
            <w:tcW w:w="1682" w:type="dxa"/>
            <w:vAlign w:val="center"/>
          </w:tcPr>
          <w:p>
            <w:pPr>
              <w:jc w:val="right"/>
              <w:rPr>
                <w:sz w:val="30"/>
                <w:szCs w:val="30"/>
              </w:rPr>
            </w:pPr>
            <w:r>
              <w:rPr>
                <w:sz w:val="30"/>
                <w:szCs w:val="30"/>
              </w:rPr>
              <w:t>项目类型：</w:t>
            </w:r>
          </w:p>
        </w:tc>
        <w:tc>
          <w:tcPr>
            <w:tcW w:w="6640" w:type="dxa"/>
            <w:vAlign w:val="center"/>
          </w:tcPr>
          <w:p>
            <w:pPr>
              <w:rPr>
                <w:sz w:val="30"/>
                <w:szCs w:val="30"/>
              </w:rPr>
            </w:pPr>
            <w:r>
              <w:rPr>
                <w:sz w:val="30"/>
                <w:szCs w:val="30"/>
              </w:rPr>
              <w:t>服务类</w:t>
            </w:r>
          </w:p>
        </w:tc>
      </w:tr>
      <w:tr>
        <w:tblPrEx>
          <w:tblCellMar>
            <w:top w:w="36" w:type="dxa"/>
            <w:left w:w="36" w:type="dxa"/>
            <w:bottom w:w="36" w:type="dxa"/>
            <w:right w:w="36" w:type="dxa"/>
          </w:tblCellMar>
        </w:tblPrEx>
        <w:trPr>
          <w:trHeight w:val="737" w:hRule="atLeast"/>
          <w:tblCellSpacing w:w="0" w:type="dxa"/>
          <w:jc w:val="center"/>
        </w:trPr>
        <w:tc>
          <w:tcPr>
            <w:tcW w:w="1682" w:type="dxa"/>
            <w:vAlign w:val="center"/>
          </w:tcPr>
          <w:p>
            <w:pPr>
              <w:jc w:val="right"/>
              <w:rPr>
                <w:sz w:val="30"/>
                <w:szCs w:val="30"/>
              </w:rPr>
            </w:pPr>
            <w:r>
              <w:rPr>
                <w:sz w:val="30"/>
                <w:szCs w:val="30"/>
              </w:rPr>
              <w:t>项目</w:t>
            </w:r>
            <w:r>
              <w:rPr>
                <w:rFonts w:hint="eastAsia"/>
                <w:sz w:val="30"/>
                <w:szCs w:val="30"/>
              </w:rPr>
              <w:t>编号</w:t>
            </w:r>
            <w:r>
              <w:rPr>
                <w:sz w:val="30"/>
                <w:szCs w:val="30"/>
              </w:rPr>
              <w:t>：</w:t>
            </w:r>
          </w:p>
        </w:tc>
        <w:tc>
          <w:tcPr>
            <w:tcW w:w="6640" w:type="dxa"/>
            <w:vAlign w:val="center"/>
          </w:tcPr>
          <w:p>
            <w:pPr>
              <w:rPr>
                <w:sz w:val="30"/>
                <w:szCs w:val="30"/>
              </w:rPr>
            </w:pPr>
          </w:p>
        </w:tc>
      </w:tr>
      <w:tr>
        <w:tblPrEx>
          <w:tblCellMar>
            <w:top w:w="36" w:type="dxa"/>
            <w:left w:w="36" w:type="dxa"/>
            <w:bottom w:w="36" w:type="dxa"/>
            <w:right w:w="36" w:type="dxa"/>
          </w:tblCellMar>
        </w:tblPrEx>
        <w:trPr>
          <w:trHeight w:val="737" w:hRule="atLeast"/>
          <w:tblCellSpacing w:w="0" w:type="dxa"/>
          <w:jc w:val="center"/>
        </w:trPr>
        <w:tc>
          <w:tcPr>
            <w:tcW w:w="1682" w:type="dxa"/>
            <w:vAlign w:val="center"/>
          </w:tcPr>
          <w:p>
            <w:pPr>
              <w:jc w:val="right"/>
              <w:rPr>
                <w:sz w:val="30"/>
                <w:szCs w:val="30"/>
              </w:rPr>
            </w:pPr>
            <w:r>
              <w:rPr>
                <w:rFonts w:hint="eastAsia"/>
                <w:sz w:val="30"/>
                <w:szCs w:val="30"/>
              </w:rPr>
              <w:t>定</w:t>
            </w:r>
            <w:r>
              <w:rPr>
                <w:sz w:val="30"/>
                <w:szCs w:val="30"/>
              </w:rPr>
              <w:t>标方法：</w:t>
            </w:r>
          </w:p>
        </w:tc>
        <w:tc>
          <w:tcPr>
            <w:tcW w:w="6640" w:type="dxa"/>
            <w:vAlign w:val="center"/>
          </w:tcPr>
          <w:p>
            <w:pPr>
              <w:rPr>
                <w:sz w:val="30"/>
                <w:szCs w:val="30"/>
              </w:rPr>
            </w:pPr>
            <w:r>
              <w:rPr>
                <w:sz w:val="30"/>
                <w:szCs w:val="30"/>
              </w:rPr>
              <w:t>综合评分法</w:t>
            </w:r>
          </w:p>
        </w:tc>
      </w:tr>
    </w:tbl>
    <w:p>
      <w:pPr>
        <w:widowControl w:val="0"/>
        <w:spacing w:before="156" w:beforeLines="50" w:after="156" w:afterLines="50"/>
        <w:jc w:val="both"/>
        <w:rPr>
          <w:rFonts w:ascii="楷体" w:hAnsi="楷体" w:eastAsia="楷体" w:cs="Times New Roman"/>
          <w:bCs/>
          <w:kern w:val="2"/>
        </w:rPr>
      </w:pPr>
    </w:p>
    <w:p>
      <w:pPr>
        <w:widowControl w:val="0"/>
        <w:spacing w:before="156" w:beforeLines="50" w:after="156" w:afterLines="50"/>
        <w:jc w:val="center"/>
        <w:rPr>
          <w:rFonts w:ascii="楷体" w:hAnsi="楷体" w:eastAsia="楷体" w:cs="Times New Roman"/>
          <w:bCs/>
          <w:kern w:val="2"/>
        </w:rPr>
      </w:pPr>
      <w:r>
        <w:rPr>
          <w:rFonts w:hint="eastAsia" w:ascii="楷体" w:hAnsi="楷体" w:eastAsia="楷体" w:cs="Times New Roman"/>
          <w:bCs/>
          <w:kern w:val="2"/>
        </w:rPr>
        <w:t>南山区住房和建设局 制定</w:t>
      </w:r>
    </w:p>
    <w:p>
      <w:pPr>
        <w:widowControl w:val="0"/>
        <w:spacing w:before="156" w:beforeLines="50" w:after="156" w:afterLines="50"/>
        <w:jc w:val="center"/>
        <w:rPr>
          <w:b/>
          <w:bCs/>
          <w:sz w:val="28"/>
          <w:szCs w:val="20"/>
        </w:rPr>
      </w:pPr>
      <w:r>
        <w:rPr>
          <w:rFonts w:hint="eastAsia" w:ascii="楷体" w:hAnsi="楷体" w:eastAsia="楷体" w:cs="Times New Roman"/>
          <w:bCs/>
          <w:kern w:val="2"/>
        </w:rPr>
        <w:t>二〇二</w:t>
      </w:r>
      <w:r>
        <w:rPr>
          <w:rFonts w:hint="eastAsia" w:ascii="楷体" w:hAnsi="楷体" w:eastAsia="楷体" w:cs="Times New Roman"/>
          <w:bCs/>
          <w:kern w:val="2"/>
          <w:lang w:eastAsia="zh-CN"/>
        </w:rPr>
        <w:t>四</w:t>
      </w:r>
      <w:r>
        <w:rPr>
          <w:rFonts w:hint="eastAsia" w:ascii="楷体" w:hAnsi="楷体" w:eastAsia="楷体" w:cs="Times New Roman"/>
          <w:bCs/>
          <w:kern w:val="2"/>
        </w:rPr>
        <w:t>年</w:t>
      </w:r>
      <w:r>
        <w:rPr>
          <w:rFonts w:hint="default" w:ascii="楷体" w:hAnsi="楷体" w:eastAsia="楷体" w:cs="Times New Roman"/>
          <w:bCs/>
          <w:kern w:val="2"/>
        </w:rPr>
        <w:t>三</w:t>
      </w:r>
      <w:r>
        <w:rPr>
          <w:rFonts w:hint="eastAsia" w:ascii="楷体" w:hAnsi="楷体" w:eastAsia="楷体" w:cs="Times New Roman"/>
          <w:bCs/>
          <w:kern w:val="2"/>
        </w:rPr>
        <w:t>月</w:t>
      </w:r>
    </w:p>
    <w:p>
      <w:pPr>
        <w:pStyle w:val="14"/>
        <w:jc w:val="center"/>
        <w:outlineLvl w:val="1"/>
      </w:pPr>
      <w:r>
        <w:rPr>
          <w:rFonts w:hint="eastAsia" w:ascii="Times New Roman" w:hAnsi="Times New Roman"/>
          <w:b/>
          <w:bCs/>
          <w:kern w:val="44"/>
          <w:sz w:val="32"/>
          <w:szCs w:val="52"/>
        </w:rPr>
        <w:t>第一章  投标单位的资格要求</w:t>
      </w:r>
    </w:p>
    <w:p>
      <w:pPr>
        <w:spacing w:before="156" w:beforeLines="50" w:after="156" w:afterLines="50" w:line="480" w:lineRule="exact"/>
        <w:ind w:firstLine="480" w:firstLineChars="200"/>
        <w:rPr>
          <w:rFonts w:hint="eastAsia"/>
          <w:b w:val="0"/>
          <w:bCs w:val="0"/>
        </w:rPr>
      </w:pPr>
      <w:r>
        <w:rPr>
          <w:rFonts w:hint="eastAsia"/>
        </w:rPr>
        <w:t>一、</w:t>
      </w:r>
      <w:r>
        <w:rPr>
          <w:rFonts w:hint="eastAsia"/>
          <w:lang w:val="en-US" w:eastAsia="zh-CN"/>
        </w:rPr>
        <w:t>符合</w:t>
      </w:r>
      <w:r>
        <w:rPr>
          <w:rFonts w:hint="eastAsia"/>
        </w:rPr>
        <w:t>《中华人民共和国政府采购法》第二十二条规定。</w:t>
      </w:r>
    </w:p>
    <w:p>
      <w:pPr>
        <w:spacing w:before="156" w:beforeLines="50" w:after="156" w:afterLines="50" w:line="480" w:lineRule="exact"/>
        <w:ind w:firstLine="480" w:firstLineChars="200"/>
        <w:rPr>
          <w:u w:val="single"/>
        </w:rPr>
      </w:pPr>
      <w:r>
        <w:rPr>
          <w:rFonts w:hint="eastAsia"/>
        </w:rPr>
        <w:t>二、本项目的特定资格要求：</w:t>
      </w:r>
    </w:p>
    <w:p>
      <w:pPr>
        <w:spacing w:before="156" w:beforeLines="50" w:after="156" w:afterLines="50" w:line="480" w:lineRule="exact"/>
        <w:ind w:firstLine="480" w:firstLineChars="200"/>
        <w:rPr>
          <w:u w:val="single"/>
        </w:rPr>
      </w:pPr>
      <w:r>
        <w:rPr>
          <w:u w:val="single"/>
        </w:rPr>
        <w:t>1</w:t>
      </w:r>
      <w:r>
        <w:rPr>
          <w:rFonts w:hint="eastAsia"/>
          <w:u w:val="single"/>
        </w:rPr>
        <w:t>、投标单位须承诺近三年无违法违规行为，无行为处罚、惩戒等不良执业记录及不良反映，业内拥有良好的声誉；</w:t>
      </w:r>
    </w:p>
    <w:p>
      <w:pPr>
        <w:spacing w:before="156" w:beforeLines="50" w:after="156" w:afterLines="50" w:line="480" w:lineRule="exact"/>
        <w:ind w:firstLine="480" w:firstLineChars="200"/>
        <w:rPr>
          <w:rFonts w:hint="eastAsia"/>
        </w:rPr>
      </w:pPr>
      <w:r>
        <w:t>2</w:t>
      </w:r>
      <w:r>
        <w:rPr>
          <w:rFonts w:hint="eastAsia"/>
        </w:rPr>
        <w:t>、投标单位的授权代表应为单位法定代表人（负责人）或经法定代表人（负责人）授权的该单位员工。</w:t>
      </w:r>
    </w:p>
    <w:p>
      <w:pPr>
        <w:pStyle w:val="16"/>
        <w:ind w:firstLine="480" w:firstLineChars="200"/>
        <w:rPr>
          <w:rFonts w:hint="eastAsia" w:eastAsia="宋体"/>
          <w:b w:val="0"/>
          <w:bCs w:val="0"/>
          <w:lang w:val="en-US" w:eastAsia="zh-CN"/>
        </w:rPr>
      </w:pPr>
      <w:r>
        <w:rPr>
          <w:rFonts w:hint="eastAsia"/>
          <w:b w:val="0"/>
          <w:bCs w:val="0"/>
          <w:lang w:val="en-US" w:eastAsia="zh-CN"/>
        </w:rPr>
        <w:t>3、</w:t>
      </w:r>
      <w:r>
        <w:rPr>
          <w:rFonts w:hint="eastAsia"/>
          <w:b w:val="0"/>
          <w:bCs w:val="0"/>
        </w:rPr>
        <w:t>投标人具有独立法人资格或是具有独立承担民事责任的能力的其它组织。提供营业执照（或事业单位法人证书，或社会团体法人登记证书，或财政部门批准的执业许可证等证明文件）复印件；总公司（总所）或者分支机构只允许一家投标，不允许同时参与本项目投标，以分支机构名义参与投标的，须提供总公司（总所）或具有独立法人的上一级公司出具的愿为其参与本项目投标的行为以及履约等行为承担民事责任的加盖总公司（总所）公章的授权函，以及提供总公司（总所）、分支机构的营业执照扫描件。</w:t>
      </w:r>
    </w:p>
    <w:p>
      <w:pPr>
        <w:spacing w:before="156" w:beforeLines="50" w:after="156" w:afterLines="50" w:line="480" w:lineRule="exact"/>
        <w:ind w:firstLine="480" w:firstLineChars="200"/>
      </w:pPr>
      <w:r>
        <w:rPr>
          <w:rFonts w:hint="eastAsia"/>
        </w:rPr>
        <w:t>三、落实政府采购政策需满足的资格要求：本项目不属于专门面向特定企业（单位）的采购项目。</w:t>
      </w:r>
    </w:p>
    <w:p>
      <w:pPr>
        <w:spacing w:before="156" w:beforeLines="50" w:after="156" w:afterLines="50" w:line="480" w:lineRule="exact"/>
        <w:ind w:firstLine="480" w:firstLineChars="200"/>
      </w:pPr>
      <w:r>
        <w:rPr>
          <w:rFonts w:hint="eastAsia"/>
        </w:rPr>
        <w:t>四、参与本项目政府采购活动时不存在被有关部门禁止参与政府采购活动且在有效期内的情况（由供应商在《政府采购投标及履约承诺函》中作出声明）。</w:t>
      </w:r>
    </w:p>
    <w:p>
      <w:pPr>
        <w:spacing w:before="156" w:beforeLines="50" w:after="156" w:afterLines="50" w:line="480" w:lineRule="exact"/>
        <w:ind w:firstLine="480" w:firstLineChars="200"/>
      </w:pPr>
      <w:r>
        <w:rPr>
          <w:rFonts w:hint="eastAsia"/>
        </w:rPr>
        <w:t>五、单位负责人为同一人或者存在直接控股、管理关系的不同供应商，不得参加同一合同项下的政府采购活动（由供应商在《政府采购投标及履约承诺函》中作出声明）。</w:t>
      </w:r>
    </w:p>
    <w:p>
      <w:pPr>
        <w:spacing w:before="156" w:beforeLines="50" w:after="156" w:afterLines="50" w:line="480" w:lineRule="exact"/>
        <w:ind w:firstLine="480" w:firstLineChars="200"/>
      </w:pPr>
      <w:r>
        <w:rPr>
          <w:rFonts w:hint="eastAsia"/>
        </w:rPr>
        <w:t>六、未被列入失信被执行人、重大税收违法案件当事人名单、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p>
    <w:p>
      <w:pPr>
        <w:spacing w:before="156" w:beforeLines="50" w:after="156" w:afterLines="50" w:line="480" w:lineRule="exact"/>
        <w:ind w:firstLine="480" w:firstLineChars="200"/>
      </w:pPr>
      <w:r>
        <w:rPr>
          <w:rFonts w:hint="eastAsia"/>
        </w:rPr>
        <w:t>七、本项目不接受联合体投标。</w:t>
      </w:r>
    </w:p>
    <w:p>
      <w:pPr>
        <w:pStyle w:val="16"/>
        <w:ind w:firstLine="241"/>
      </w:pPr>
      <w:r>
        <w:t xml:space="preserve"> </w:t>
      </w:r>
    </w:p>
    <w:p>
      <w:r>
        <w:br w:type="page"/>
      </w:r>
    </w:p>
    <w:p>
      <w:pPr>
        <w:pStyle w:val="14"/>
        <w:spacing w:beforeAutospacing="0" w:afterAutospacing="0" w:line="480" w:lineRule="exact"/>
        <w:jc w:val="center"/>
        <w:outlineLvl w:val="1"/>
      </w:pPr>
      <w:r>
        <w:rPr>
          <w:rFonts w:hint="eastAsia" w:ascii="Times New Roman" w:hAnsi="Times New Roman"/>
          <w:b/>
          <w:bCs/>
          <w:kern w:val="44"/>
          <w:sz w:val="32"/>
          <w:szCs w:val="52"/>
        </w:rPr>
        <w:t xml:space="preserve"> 第二章  招标项目概况</w:t>
      </w:r>
      <w:bookmarkStart w:id="0" w:name="_Toc100052364"/>
      <w:bookmarkStart w:id="1" w:name="_Toc73521635"/>
      <w:bookmarkStart w:id="2" w:name="_Toc73521547"/>
      <w:bookmarkStart w:id="3" w:name="_Toc101074876"/>
      <w:bookmarkStart w:id="4" w:name="_Toc73518117"/>
      <w:bookmarkStart w:id="5" w:name="_Toc60631620"/>
      <w:bookmarkStart w:id="6" w:name="_Toc60560625"/>
      <w:bookmarkStart w:id="7" w:name="_Toc73517639"/>
    </w:p>
    <w:p>
      <w:pPr>
        <w:keepNext/>
        <w:keepLines/>
        <w:widowControl w:val="0"/>
        <w:spacing w:line="480" w:lineRule="exact"/>
        <w:outlineLvl w:val="0"/>
        <w:rPr>
          <w:rFonts w:ascii="Times New Roman" w:hAnsi="Times New Roman" w:cs="Times New Roman"/>
          <w:b/>
          <w:bCs/>
          <w:kern w:val="44"/>
          <w:szCs w:val="44"/>
        </w:rPr>
      </w:pPr>
      <w:r>
        <w:rPr>
          <w:rFonts w:hint="eastAsia" w:ascii="Times New Roman" w:hAnsi="Times New Roman" w:cs="Times New Roman"/>
          <w:b/>
          <w:bCs/>
          <w:kern w:val="44"/>
          <w:szCs w:val="44"/>
        </w:rPr>
        <w:t>一、招标信息</w:t>
      </w:r>
    </w:p>
    <w:bookmarkEnd w:id="0"/>
    <w:bookmarkEnd w:id="1"/>
    <w:bookmarkEnd w:id="2"/>
    <w:bookmarkEnd w:id="3"/>
    <w:bookmarkEnd w:id="4"/>
    <w:bookmarkEnd w:id="5"/>
    <w:bookmarkEnd w:id="6"/>
    <w:bookmarkEnd w:id="7"/>
    <w:tbl>
      <w:tblPr>
        <w:tblStyle w:val="18"/>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序号</w:t>
            </w:r>
          </w:p>
        </w:tc>
        <w:tc>
          <w:tcPr>
            <w:tcW w:w="2160"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内   容</w:t>
            </w:r>
          </w:p>
        </w:tc>
        <w:tc>
          <w:tcPr>
            <w:tcW w:w="5400" w:type="dxa"/>
            <w:vAlign w:val="center"/>
          </w:tcPr>
          <w:p>
            <w:pPr>
              <w:widowControl w:val="0"/>
              <w:spacing w:line="480" w:lineRule="exact"/>
              <w:jc w:val="center"/>
              <w:rPr>
                <w:rFonts w:ascii="Times New Roman" w:hAnsi="Times New Roman" w:cs="Times New Roman"/>
                <w:b/>
                <w:bCs/>
                <w:kern w:val="2"/>
              </w:rPr>
            </w:pPr>
            <w:r>
              <w:rPr>
                <w:rFonts w:ascii="Times New Roman" w:hAnsi="Times New Roman" w:cs="Times New Roman"/>
                <w:b/>
                <w:bCs/>
                <w:kern w:val="2"/>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1</w:t>
            </w:r>
          </w:p>
        </w:tc>
        <w:tc>
          <w:tcPr>
            <w:tcW w:w="2160"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投标有效期</w:t>
            </w:r>
          </w:p>
        </w:tc>
        <w:tc>
          <w:tcPr>
            <w:tcW w:w="5400"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u w:val="single"/>
              </w:rPr>
              <w:t xml:space="preserve">  </w:t>
            </w:r>
            <w:r>
              <w:rPr>
                <w:rFonts w:ascii="Times New Roman" w:hAnsi="Times New Roman" w:cs="Times New Roman"/>
                <w:kern w:val="2"/>
                <w:u w:val="single"/>
              </w:rPr>
              <w:t>3</w:t>
            </w:r>
            <w:r>
              <w:rPr>
                <w:rFonts w:hint="eastAsia" w:ascii="Times New Roman" w:hAnsi="Times New Roman" w:cs="Times New Roman"/>
                <w:kern w:val="2"/>
                <w:u w:val="single"/>
              </w:rPr>
              <w:t xml:space="preserve">0 </w:t>
            </w:r>
            <w:r>
              <w:rPr>
                <w:rFonts w:ascii="Times New Roman" w:hAnsi="Times New Roman" w:cs="Times New Roman"/>
                <w:kern w:val="2"/>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2</w:t>
            </w:r>
          </w:p>
        </w:tc>
        <w:tc>
          <w:tcPr>
            <w:tcW w:w="2160"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投标文件的投递</w:t>
            </w:r>
          </w:p>
        </w:tc>
        <w:tc>
          <w:tcPr>
            <w:tcW w:w="5400"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1.投标单位将投标文件按规定密封和标记后，按以下注明的地址在投标截止时间之前送至招标单位。</w:t>
            </w:r>
          </w:p>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2.递交资料截止时间：202</w:t>
            </w:r>
            <w:r>
              <w:rPr>
                <w:rFonts w:hint="eastAsia" w:ascii="Times New Roman" w:hAnsi="Times New Roman" w:cs="Times New Roman"/>
                <w:kern w:val="2"/>
                <w:lang w:val="en-US" w:eastAsia="zh-CN"/>
              </w:rPr>
              <w:t>4</w:t>
            </w:r>
            <w:r>
              <w:rPr>
                <w:rFonts w:hint="eastAsia" w:ascii="Times New Roman" w:hAnsi="Times New Roman" w:cs="Times New Roman"/>
                <w:kern w:val="2"/>
              </w:rPr>
              <w:t>年</w:t>
            </w:r>
            <w:r>
              <w:rPr>
                <w:rFonts w:hint="default" w:ascii="Times New Roman" w:hAnsi="Times New Roman" w:cs="Times New Roman"/>
                <w:kern w:val="2"/>
                <w:u w:val="single"/>
              </w:rPr>
              <w:t>3</w:t>
            </w:r>
            <w:r>
              <w:rPr>
                <w:rFonts w:hint="eastAsia" w:ascii="Times New Roman" w:hAnsi="Times New Roman" w:cs="Times New Roman"/>
                <w:kern w:val="2"/>
              </w:rPr>
              <w:t>月</w:t>
            </w:r>
            <w:r>
              <w:rPr>
                <w:rFonts w:hint="default" w:ascii="Times New Roman" w:hAnsi="Times New Roman" w:cs="Times New Roman"/>
                <w:kern w:val="2"/>
                <w:u w:val="single"/>
              </w:rPr>
              <w:t>12</w:t>
            </w:r>
            <w:r>
              <w:rPr>
                <w:rFonts w:hint="eastAsia" w:ascii="Times New Roman" w:hAnsi="Times New Roman" w:cs="Times New Roman"/>
                <w:kern w:val="2"/>
              </w:rPr>
              <w:t>日</w:t>
            </w:r>
            <w:r>
              <w:rPr>
                <w:rFonts w:hint="default" w:ascii="Times New Roman" w:hAnsi="Times New Roman" w:cs="Times New Roman"/>
                <w:kern w:val="2"/>
              </w:rPr>
              <w:t>上午</w:t>
            </w:r>
            <w:r>
              <w:rPr>
                <w:rFonts w:hint="eastAsia" w:ascii="Times New Roman" w:hAnsi="Times New Roman" w:cs="Times New Roman"/>
                <w:kern w:val="2"/>
              </w:rPr>
              <w:t>1</w:t>
            </w:r>
            <w:r>
              <w:rPr>
                <w:rFonts w:hint="default" w:ascii="Times New Roman" w:hAnsi="Times New Roman" w:cs="Times New Roman"/>
                <w:kern w:val="2"/>
              </w:rPr>
              <w:t>0</w:t>
            </w:r>
            <w:r>
              <w:rPr>
                <w:rFonts w:hint="eastAsia" w:ascii="Times New Roman" w:hAnsi="Times New Roman" w:cs="Times New Roman"/>
                <w:kern w:val="2"/>
              </w:rPr>
              <w:t>:00；</w:t>
            </w:r>
          </w:p>
          <w:p>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地点：深圳市南山区桃园路2号区委大楼</w:t>
            </w:r>
            <w:r>
              <w:rPr>
                <w:rFonts w:hint="default" w:ascii="Times New Roman" w:hAnsi="Times New Roman" w:cs="Times New Roman"/>
                <w:kern w:val="2"/>
                <w:u w:val="single"/>
              </w:rPr>
              <w:t>A312</w:t>
            </w:r>
            <w:r>
              <w:rPr>
                <w:rFonts w:hint="eastAsia" w:ascii="Times New Roman" w:hAnsi="Times New Roman" w:cs="Times New Roman"/>
                <w:kern w:val="2"/>
              </w:rPr>
              <w:t>室；</w:t>
            </w:r>
          </w:p>
          <w:p>
            <w:pPr>
              <w:widowControl w:val="0"/>
              <w:spacing w:line="480" w:lineRule="exact"/>
              <w:jc w:val="both"/>
              <w:rPr>
                <w:rFonts w:ascii="Times New Roman" w:hAnsi="Times New Roman" w:cs="Times New Roman"/>
                <w:kern w:val="2"/>
                <w:u w:val="single"/>
              </w:rPr>
            </w:pPr>
            <w:r>
              <w:rPr>
                <w:rFonts w:hint="eastAsia" w:ascii="Times New Roman" w:hAnsi="Times New Roman" w:cs="Times New Roman"/>
                <w:kern w:val="2"/>
              </w:rPr>
              <w:t>联系人：</w:t>
            </w:r>
            <w:r>
              <w:rPr>
                <w:rFonts w:hint="default" w:ascii="Times New Roman" w:hAnsi="Times New Roman" w:cs="Times New Roman"/>
                <w:kern w:val="2"/>
                <w:u w:val="single"/>
              </w:rPr>
              <w:t>翁女士</w:t>
            </w:r>
            <w:r>
              <w:rPr>
                <w:rFonts w:hint="eastAsia" w:ascii="Times New Roman" w:hAnsi="Times New Roman" w:cs="Times New Roman"/>
                <w:kern w:val="2"/>
              </w:rPr>
              <w:t>；电话：</w:t>
            </w:r>
            <w:r>
              <w:rPr>
                <w:rFonts w:hint="default" w:ascii="Times New Roman" w:hAnsi="Times New Roman" w:cs="Times New Roman"/>
                <w:kern w:val="2"/>
                <w:u w:val="single"/>
              </w:rPr>
              <w:t>0755-26665109</w:t>
            </w:r>
            <w:r>
              <w:rPr>
                <w:rFonts w:hint="eastAsia" w:ascii="Times New Roman" w:hAnsi="Times New Roman" w:cs="Times New Roman"/>
                <w:kern w:val="2"/>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3</w:t>
            </w:r>
          </w:p>
        </w:tc>
        <w:tc>
          <w:tcPr>
            <w:tcW w:w="2160"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中标数量</w:t>
            </w:r>
          </w:p>
        </w:tc>
        <w:tc>
          <w:tcPr>
            <w:tcW w:w="5400"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该项目确定中标单位</w:t>
            </w:r>
            <w:r>
              <w:rPr>
                <w:rFonts w:hint="eastAsia" w:ascii="Times New Roman" w:hAnsi="Times New Roman" w:cs="Times New Roman"/>
                <w:kern w:val="2"/>
                <w:u w:val="single"/>
              </w:rPr>
              <w:t>1</w:t>
            </w:r>
            <w:r>
              <w:rPr>
                <w:rFonts w:hint="eastAsia" w:ascii="Times New Roman" w:hAnsi="Times New Roman" w:cs="Times New Roman"/>
                <w:kern w:val="2"/>
              </w:rPr>
              <w:t>名，若通过资格审查的供应商不足</w:t>
            </w:r>
            <w:r>
              <w:rPr>
                <w:rFonts w:hint="eastAsia" w:ascii="Times New Roman" w:hAnsi="Times New Roman" w:cs="Times New Roman"/>
                <w:kern w:val="2"/>
                <w:u w:val="single"/>
              </w:rPr>
              <w:t>3</w:t>
            </w:r>
            <w:r>
              <w:rPr>
                <w:rFonts w:hint="eastAsia" w:ascii="Times New Roman" w:hAnsi="Times New Roman" w:cs="Times New Roman"/>
                <w:kern w:val="2"/>
              </w:rPr>
              <w:t>名的，则本项目第一轮招标失败，须以体现充分竞争为目的，降低招标标准（评分因素）进行第二轮招标。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807" w:type="dxa"/>
            <w:vAlign w:val="center"/>
          </w:tcPr>
          <w:p>
            <w:pPr>
              <w:widowControl w:val="0"/>
              <w:spacing w:line="480" w:lineRule="exact"/>
              <w:jc w:val="center"/>
              <w:rPr>
                <w:rFonts w:ascii="Times New Roman" w:hAnsi="Times New Roman" w:cs="Times New Roman"/>
                <w:kern w:val="2"/>
              </w:rPr>
            </w:pPr>
            <w:r>
              <w:rPr>
                <w:rFonts w:hint="eastAsia" w:ascii="Times New Roman" w:hAnsi="Times New Roman" w:cs="Times New Roman"/>
                <w:kern w:val="2"/>
              </w:rPr>
              <w:t>4</w:t>
            </w:r>
          </w:p>
        </w:tc>
        <w:tc>
          <w:tcPr>
            <w:tcW w:w="2160" w:type="dxa"/>
            <w:vAlign w:val="center"/>
          </w:tcPr>
          <w:p>
            <w:pPr>
              <w:widowControl w:val="0"/>
              <w:spacing w:line="480" w:lineRule="exact"/>
              <w:jc w:val="center"/>
              <w:rPr>
                <w:rFonts w:ascii="Times New Roman" w:hAnsi="Times New Roman" w:cs="Times New Roman"/>
                <w:kern w:val="2"/>
              </w:rPr>
            </w:pPr>
            <w:r>
              <w:rPr>
                <w:rFonts w:ascii="Times New Roman" w:hAnsi="Times New Roman" w:cs="Times New Roman"/>
                <w:kern w:val="2"/>
              </w:rPr>
              <w:t>定标方法</w:t>
            </w:r>
          </w:p>
        </w:tc>
        <w:tc>
          <w:tcPr>
            <w:tcW w:w="5400" w:type="dxa"/>
            <w:vAlign w:val="center"/>
          </w:tcPr>
          <w:p>
            <w:pPr>
              <w:widowControl w:val="0"/>
              <w:spacing w:line="480" w:lineRule="exact"/>
              <w:jc w:val="both"/>
              <w:rPr>
                <w:rFonts w:ascii="Times New Roman" w:hAnsi="Times New Roman" w:cs="Times New Roman"/>
                <w:kern w:val="2"/>
              </w:rPr>
            </w:pPr>
            <w:r>
              <w:rPr>
                <w:rFonts w:hint="eastAsia" w:ascii="Times New Roman" w:hAnsi="Times New Roman" w:cs="Times New Roman"/>
                <w:kern w:val="2"/>
              </w:rPr>
              <w:t>综合评分法</w:t>
            </w:r>
          </w:p>
        </w:tc>
      </w:tr>
    </w:tbl>
    <w:p>
      <w:pPr>
        <w:keepNext/>
        <w:keepLines/>
        <w:widowControl w:val="0"/>
        <w:spacing w:before="156" w:beforeLines="50" w:after="156" w:afterLines="50" w:line="480" w:lineRule="exact"/>
        <w:textAlignment w:val="baseline"/>
        <w:outlineLvl w:val="1"/>
        <w:rPr>
          <w:rFonts w:ascii="Times New Roman" w:hAnsi="Times New Roman" w:cs="Times New Roman"/>
          <w:b/>
          <w:bCs/>
          <w:szCs w:val="20"/>
          <w:highlight w:val="none"/>
        </w:rPr>
      </w:pPr>
      <w:bookmarkStart w:id="8" w:name="_Toc128884461"/>
      <w:r>
        <w:rPr>
          <w:rFonts w:hint="eastAsia" w:ascii="Times New Roman" w:hAnsi="Times New Roman" w:cs="Times New Roman"/>
          <w:b/>
          <w:bCs/>
          <w:szCs w:val="20"/>
          <w:highlight w:val="none"/>
        </w:rPr>
        <w:t>二、招标项目概况</w:t>
      </w:r>
      <w:bookmarkEnd w:id="8"/>
    </w:p>
    <w:p>
      <w:pPr>
        <w:spacing w:line="360" w:lineRule="auto"/>
        <w:ind w:firstLine="480" w:firstLineChars="200"/>
        <w:jc w:val="both"/>
        <w:rPr>
          <w:rFonts w:hint="eastAsia"/>
        </w:rPr>
      </w:pPr>
      <w:r>
        <w:rPr>
          <w:rFonts w:hint="eastAsia"/>
        </w:rPr>
        <w:t>1、招标单位（采购单位）：</w:t>
      </w:r>
      <w:r>
        <w:rPr>
          <w:rFonts w:hint="eastAsia"/>
          <w:u w:val="single"/>
        </w:rPr>
        <w:t>深圳市南山区住房和建设局</w:t>
      </w:r>
      <w:r>
        <w:rPr>
          <w:rFonts w:hint="eastAsia"/>
        </w:rPr>
        <w:t>。</w:t>
      </w:r>
    </w:p>
    <w:p>
      <w:pPr>
        <w:pStyle w:val="16"/>
        <w:ind w:firstLine="480" w:firstLineChars="200"/>
        <w:rPr>
          <w:rFonts w:hint="default"/>
          <w:b w:val="0"/>
          <w:bCs w:val="0"/>
          <w:highlight w:val="none"/>
          <w:u w:val="single"/>
        </w:rPr>
      </w:pPr>
      <w:r>
        <w:rPr>
          <w:rFonts w:hint="default"/>
          <w:b w:val="0"/>
          <w:bCs w:val="0"/>
          <w:highlight w:val="none"/>
        </w:rPr>
        <w:t>2、采购内容：</w:t>
      </w:r>
      <w:r>
        <w:rPr>
          <w:rFonts w:hint="default"/>
          <w:b w:val="0"/>
          <w:bCs w:val="0"/>
          <w:highlight w:val="none"/>
          <w:u w:val="single"/>
        </w:rPr>
        <w:t>南山区2024年保障性</w:t>
      </w:r>
      <w:r>
        <w:rPr>
          <w:rFonts w:hint="eastAsia"/>
          <w:b w:val="0"/>
          <w:bCs w:val="0"/>
          <w:highlight w:val="none"/>
          <w:u w:val="single"/>
          <w:lang w:eastAsia="zh-CN"/>
        </w:rPr>
        <w:t>租赁</w:t>
      </w:r>
      <w:r>
        <w:rPr>
          <w:rFonts w:hint="default"/>
          <w:b w:val="0"/>
          <w:bCs w:val="0"/>
          <w:highlight w:val="none"/>
          <w:u w:val="single"/>
        </w:rPr>
        <w:t>住房</w:t>
      </w:r>
      <w:r>
        <w:rPr>
          <w:rFonts w:hint="eastAsia"/>
          <w:b w:val="0"/>
          <w:bCs w:val="0"/>
          <w:highlight w:val="none"/>
          <w:u w:val="single"/>
          <w:lang w:eastAsia="zh-CN"/>
        </w:rPr>
        <w:t>（社会主体出租类）</w:t>
      </w:r>
      <w:r>
        <w:rPr>
          <w:rFonts w:hint="default"/>
          <w:b w:val="0"/>
          <w:bCs w:val="0"/>
          <w:highlight w:val="none"/>
          <w:u w:val="single"/>
        </w:rPr>
        <w:t>项目常态化监督服务</w:t>
      </w:r>
    </w:p>
    <w:p>
      <w:pPr>
        <w:pStyle w:val="13"/>
        <w:shd w:val="clear" w:color="auto" w:fill="FFFFFF"/>
        <w:spacing w:line="360" w:lineRule="auto"/>
        <w:ind w:firstLine="480" w:firstLineChars="200"/>
        <w:rPr>
          <w:rFonts w:hint="default"/>
        </w:rPr>
      </w:pPr>
      <w:r>
        <w:rPr>
          <w:rFonts w:hint="eastAsia"/>
          <w:lang w:val="en-US" w:eastAsia="zh-CN"/>
        </w:rPr>
        <w:t>3</w:t>
      </w:r>
      <w:r>
        <w:t>、项目服务期：</w:t>
      </w:r>
      <w:r>
        <w:rPr>
          <w:rFonts w:cs="宋体"/>
        </w:rPr>
        <w:t>本项目相关服务内容应于</w:t>
      </w:r>
      <w:r>
        <w:rPr>
          <w:rFonts w:cs="宋体"/>
          <w:u w:val="single"/>
        </w:rPr>
        <w:t>202</w:t>
      </w:r>
      <w:r>
        <w:rPr>
          <w:rFonts w:hint="eastAsia" w:cs="宋体"/>
          <w:u w:val="single"/>
          <w:lang w:val="en-US" w:eastAsia="zh-CN"/>
        </w:rPr>
        <w:t>4</w:t>
      </w:r>
      <w:r>
        <w:rPr>
          <w:rFonts w:cs="宋体"/>
        </w:rPr>
        <w:t>年</w:t>
      </w:r>
      <w:r>
        <w:rPr>
          <w:rFonts w:hint="eastAsia" w:cs="宋体"/>
          <w:u w:val="single"/>
          <w:lang w:val="en-US" w:eastAsia="zh-CN"/>
        </w:rPr>
        <w:t>12</w:t>
      </w:r>
      <w:r>
        <w:rPr>
          <w:rFonts w:cs="宋体"/>
        </w:rPr>
        <w:t>月</w:t>
      </w:r>
      <w:r>
        <w:rPr>
          <w:rFonts w:hint="default" w:cs="宋体"/>
          <w:u w:val="single"/>
          <w:lang w:eastAsia="zh-CN"/>
        </w:rPr>
        <w:t>15</w:t>
      </w:r>
      <w:r>
        <w:rPr>
          <w:rFonts w:cs="宋体"/>
        </w:rPr>
        <w:t>日前完成。</w:t>
      </w:r>
      <w:r>
        <w:t>采购单位可根据项目需要和中标单位的履约情况确定合同期限是否续签，但续签不得超过两次，合同累计期限最长不超过</w:t>
      </w:r>
      <w:r>
        <w:rPr>
          <w:rFonts w:hint="default"/>
        </w:rPr>
        <w:t>3</w:t>
      </w:r>
      <w:r>
        <w:t>年。</w:t>
      </w:r>
    </w:p>
    <w:p>
      <w:pPr>
        <w:spacing w:line="360" w:lineRule="auto"/>
        <w:ind w:firstLine="480" w:firstLineChars="200"/>
        <w:jc w:val="both"/>
      </w:pPr>
      <w:r>
        <w:rPr>
          <w:rFonts w:hint="eastAsia"/>
          <w:lang w:val="en-US" w:eastAsia="zh-CN"/>
        </w:rPr>
        <w:t>4</w:t>
      </w:r>
      <w:r>
        <w:rPr>
          <w:rFonts w:hint="eastAsia"/>
        </w:rPr>
        <w:t>、合同方式：固定总价合同。</w:t>
      </w:r>
    </w:p>
    <w:p>
      <w:pPr>
        <w:spacing w:line="360" w:lineRule="auto"/>
        <w:ind w:firstLine="480" w:firstLineChars="200"/>
        <w:jc w:val="both"/>
        <w:rPr>
          <w:rFonts w:hint="eastAsia"/>
        </w:rPr>
      </w:pPr>
      <w:r>
        <w:rPr>
          <w:rFonts w:hint="eastAsia"/>
          <w:lang w:val="en-US" w:eastAsia="zh-CN"/>
        </w:rPr>
        <w:t>5</w:t>
      </w:r>
      <w:r>
        <w:rPr>
          <w:rFonts w:hint="eastAsia"/>
        </w:rPr>
        <w:t>、采购价格上限：本次采购控制金额为人民币</w:t>
      </w:r>
      <w:r>
        <w:rPr>
          <w:rFonts w:hint="default"/>
          <w:u w:val="single"/>
        </w:rPr>
        <w:t>4</w:t>
      </w:r>
      <w:r>
        <w:rPr>
          <w:rFonts w:hint="eastAsia"/>
          <w:u w:val="single"/>
          <w:lang w:val="en-US" w:eastAsia="zh-CN"/>
        </w:rPr>
        <w:t>0</w:t>
      </w:r>
      <w:r>
        <w:rPr>
          <w:rFonts w:hint="eastAsia"/>
        </w:rPr>
        <w:t>万元，投标单位的报价不可高于控制金额，否则投标文件视同无效。合同结束后，招标单位对中标单位工作进行履约评价，验收合格后，向中标单位支付全部费用，如不合格，招标单位视情况严重程度可以在合同总价中扣除合同价款20%以内的违约金。</w:t>
      </w:r>
    </w:p>
    <w:p>
      <w:pPr>
        <w:spacing w:line="360" w:lineRule="auto"/>
        <w:ind w:firstLine="480" w:firstLineChars="200"/>
        <w:jc w:val="both"/>
        <w:rPr>
          <w:rFonts w:hint="eastAsia" w:eastAsia="宋体"/>
          <w:highlight w:val="none"/>
          <w:lang w:val="en-US" w:eastAsia="zh-CN"/>
        </w:rPr>
      </w:pPr>
      <w:r>
        <w:rPr>
          <w:rFonts w:hint="eastAsia"/>
          <w:highlight w:val="none"/>
          <w:lang w:val="en-US" w:eastAsia="zh-CN"/>
        </w:rPr>
        <w:t>6</w:t>
      </w:r>
      <w:r>
        <w:rPr>
          <w:rFonts w:hint="eastAsia"/>
          <w:highlight w:val="none"/>
        </w:rPr>
        <w:t>、项目背景：</w:t>
      </w:r>
      <w:r>
        <w:rPr>
          <w:rFonts w:hint="eastAsia"/>
          <w:highlight w:val="none"/>
          <w:lang w:val="en-US" w:eastAsia="zh-CN"/>
        </w:rPr>
        <w:t>为贯彻落实</w:t>
      </w:r>
      <w:r>
        <w:rPr>
          <w:rFonts w:hint="eastAsia"/>
          <w:highlight w:val="none"/>
        </w:rPr>
        <w:t>国家、省、市、区的有关预算绩效管理的要求，着力提高财政资源配置效率和使用效益</w:t>
      </w:r>
      <w:r>
        <w:rPr>
          <w:rFonts w:hint="eastAsia"/>
          <w:highlight w:val="none"/>
          <w:lang w:eastAsia="zh-CN"/>
        </w:rPr>
        <w:t>。根据</w:t>
      </w:r>
      <w:r>
        <w:rPr>
          <w:rFonts w:hint="eastAsia"/>
          <w:highlight w:val="none"/>
        </w:rPr>
        <w:t>《深圳市住房发展2023年度实施计划》《深圳市住房和建设局关于下达2023-2025年及2023年度保障性住房建设筹集计划的通知》《深圳市保障性租赁住房财政补助资金管理办法（征求意见稿）》等文件规定，</w:t>
      </w:r>
      <w:r>
        <w:rPr>
          <w:rFonts w:hint="eastAsia"/>
          <w:highlight w:val="none"/>
          <w:lang w:val="en-US" w:eastAsia="zh-CN"/>
        </w:rPr>
        <w:t>拟委托开展南山区</w:t>
      </w:r>
      <w:r>
        <w:rPr>
          <w:rFonts w:hint="eastAsia"/>
          <w:highlight w:val="none"/>
        </w:rPr>
        <w:t>保障性</w:t>
      </w:r>
      <w:r>
        <w:rPr>
          <w:rFonts w:hint="eastAsia"/>
          <w:highlight w:val="none"/>
          <w:lang w:eastAsia="zh-CN"/>
        </w:rPr>
        <w:t>租赁</w:t>
      </w:r>
      <w:r>
        <w:rPr>
          <w:rFonts w:hint="eastAsia"/>
          <w:highlight w:val="none"/>
        </w:rPr>
        <w:t>住房</w:t>
      </w:r>
      <w:r>
        <w:rPr>
          <w:rFonts w:hint="eastAsia"/>
          <w:highlight w:val="none"/>
          <w:lang w:eastAsia="zh-CN"/>
        </w:rPr>
        <w:t>（社会主体出租类）</w:t>
      </w:r>
      <w:r>
        <w:rPr>
          <w:rFonts w:hint="eastAsia"/>
          <w:highlight w:val="none"/>
        </w:rPr>
        <w:t>项目常态化监督服务</w:t>
      </w:r>
      <w:r>
        <w:rPr>
          <w:rFonts w:hint="eastAsia"/>
          <w:highlight w:val="none"/>
          <w:lang w:eastAsia="zh-CN"/>
        </w:rPr>
        <w:t>。</w:t>
      </w:r>
    </w:p>
    <w:p>
      <w:pPr>
        <w:keepNext/>
        <w:keepLines/>
        <w:widowControl w:val="0"/>
        <w:spacing w:before="156" w:beforeLines="50" w:after="156" w:afterLines="50" w:line="480" w:lineRule="exact"/>
        <w:textAlignment w:val="baseline"/>
        <w:outlineLvl w:val="1"/>
        <w:rPr>
          <w:rFonts w:ascii="Times New Roman" w:hAnsi="Times New Roman" w:cs="Times New Roman"/>
          <w:b/>
          <w:bCs/>
          <w:szCs w:val="20"/>
          <w:highlight w:val="none"/>
        </w:rPr>
      </w:pPr>
      <w:r>
        <w:rPr>
          <w:rFonts w:hint="eastAsia" w:ascii="Times New Roman" w:hAnsi="Times New Roman" w:cs="Times New Roman"/>
          <w:b/>
          <w:bCs/>
          <w:szCs w:val="20"/>
          <w:highlight w:val="none"/>
        </w:rPr>
        <w:t>三</w:t>
      </w:r>
      <w:r>
        <w:rPr>
          <w:rFonts w:ascii="Times New Roman" w:hAnsi="Times New Roman" w:cs="Times New Roman"/>
          <w:b/>
          <w:bCs/>
          <w:szCs w:val="20"/>
          <w:highlight w:val="none"/>
        </w:rPr>
        <w:t>、</w:t>
      </w:r>
      <w:r>
        <w:rPr>
          <w:rFonts w:hint="eastAsia" w:ascii="Times New Roman" w:hAnsi="Times New Roman" w:cs="Times New Roman"/>
          <w:b/>
          <w:bCs/>
          <w:szCs w:val="20"/>
          <w:highlight w:val="none"/>
        </w:rPr>
        <w:t>技术服务内容</w:t>
      </w:r>
    </w:p>
    <w:p>
      <w:pPr>
        <w:spacing w:line="480" w:lineRule="exact"/>
        <w:ind w:firstLine="480" w:firstLineChars="200"/>
        <w:jc w:val="both"/>
        <w:rPr>
          <w:u w:val="none"/>
        </w:rPr>
      </w:pPr>
      <w:r>
        <w:rPr>
          <w:rFonts w:hint="eastAsia"/>
          <w:u w:val="none"/>
        </w:rPr>
        <w:t>包括但不限于：</w:t>
      </w:r>
    </w:p>
    <w:p>
      <w:pPr>
        <w:spacing w:line="360" w:lineRule="auto"/>
        <w:ind w:firstLine="480" w:firstLineChars="200"/>
        <w:jc w:val="both"/>
        <w:rPr>
          <w:rFonts w:hint="default"/>
          <w:u w:val="none"/>
          <w:lang w:val="en" w:eastAsia="zh-CN"/>
        </w:rPr>
      </w:pPr>
      <w:r>
        <w:rPr>
          <w:rFonts w:hint="eastAsia"/>
          <w:u w:val="none"/>
          <w:lang w:val="en-US" w:eastAsia="zh-CN"/>
        </w:rPr>
        <w:t>1、</w:t>
      </w:r>
      <w:r>
        <w:rPr>
          <w:rFonts w:hint="eastAsia" w:eastAsia="宋体"/>
          <w:u w:val="none"/>
          <w:lang w:eastAsia="zh-CN"/>
        </w:rPr>
        <w:t>协助</w:t>
      </w:r>
      <w:r>
        <w:rPr>
          <w:rFonts w:hint="eastAsia"/>
          <w:u w:val="none"/>
          <w:lang w:val="en-US" w:eastAsia="zh-CN"/>
        </w:rPr>
        <w:t>招标单位</w:t>
      </w:r>
      <w:r>
        <w:rPr>
          <w:rFonts w:hint="eastAsia" w:eastAsia="宋体"/>
          <w:u w:val="none"/>
          <w:lang w:eastAsia="zh-CN"/>
        </w:rPr>
        <w:t>对</w:t>
      </w:r>
      <w:r>
        <w:rPr>
          <w:rFonts w:hint="default"/>
          <w:u w:val="none"/>
          <w:lang w:eastAsia="zh-CN"/>
        </w:rPr>
        <w:t>南山区</w:t>
      </w:r>
      <w:r>
        <w:rPr>
          <w:rFonts w:hint="eastAsia"/>
          <w:highlight w:val="none"/>
          <w:u w:val="none"/>
          <w:lang w:val="en-US" w:eastAsia="zh-CN"/>
        </w:rPr>
        <w:t>保障性租赁住房（社会主体出租类）</w:t>
      </w:r>
      <w:r>
        <w:rPr>
          <w:rFonts w:hint="eastAsia" w:eastAsia="宋体"/>
          <w:highlight w:val="none"/>
          <w:u w:val="none"/>
          <w:lang w:eastAsia="zh-CN"/>
        </w:rPr>
        <w:t>项</w:t>
      </w:r>
      <w:r>
        <w:rPr>
          <w:rFonts w:hint="eastAsia" w:eastAsia="宋体"/>
          <w:u w:val="none"/>
          <w:lang w:eastAsia="zh-CN"/>
        </w:rPr>
        <w:t>目</w:t>
      </w:r>
      <w:r>
        <w:rPr>
          <w:rFonts w:hint="default"/>
          <w:u w:val="none"/>
          <w:lang w:eastAsia="zh-CN"/>
        </w:rPr>
        <w:t>财政补助资金</w:t>
      </w:r>
      <w:r>
        <w:rPr>
          <w:rFonts w:hint="eastAsia" w:eastAsia="宋体"/>
          <w:u w:val="none"/>
          <w:lang w:eastAsia="zh-CN"/>
        </w:rPr>
        <w:t>的使用情况进行抽查</w:t>
      </w:r>
      <w:r>
        <w:rPr>
          <w:rFonts w:hint="default"/>
          <w:u w:val="none"/>
          <w:lang w:val="en" w:eastAsia="zh-CN"/>
        </w:rPr>
        <w:t>。</w:t>
      </w:r>
    </w:p>
    <w:p>
      <w:pPr>
        <w:pStyle w:val="16"/>
        <w:ind w:left="0" w:leftChars="0" w:firstLine="480" w:firstLineChars="200"/>
        <w:rPr>
          <w:rFonts w:hint="eastAsia" w:ascii="宋体" w:hAnsi="宋体" w:eastAsia="宋体" w:cs="宋体"/>
          <w:b w:val="0"/>
          <w:bCs w:val="0"/>
          <w:color w:val="auto"/>
          <w:sz w:val="24"/>
          <w:szCs w:val="24"/>
          <w:u w:val="none"/>
          <w:lang w:val="en-US" w:eastAsia="zh-CN" w:bidi="ar-SA"/>
        </w:rPr>
      </w:pPr>
      <w:r>
        <w:rPr>
          <w:rFonts w:hint="eastAsia" w:cs="宋体"/>
          <w:b w:val="0"/>
          <w:bCs w:val="0"/>
          <w:sz w:val="24"/>
          <w:szCs w:val="24"/>
          <w:u w:val="none"/>
          <w:lang w:val="en-US" w:eastAsia="zh-CN" w:bidi="ar-SA"/>
        </w:rPr>
        <w:t>（</w:t>
      </w:r>
      <w:r>
        <w:rPr>
          <w:rFonts w:hint="default" w:cs="宋体"/>
          <w:b w:val="0"/>
          <w:bCs w:val="0"/>
          <w:sz w:val="24"/>
          <w:szCs w:val="24"/>
          <w:u w:val="none"/>
          <w:lang w:eastAsia="zh-CN" w:bidi="ar-SA"/>
        </w:rPr>
        <w:t>1</w:t>
      </w:r>
      <w:r>
        <w:rPr>
          <w:rFonts w:hint="eastAsia" w:cs="宋体"/>
          <w:b w:val="0"/>
          <w:bCs w:val="0"/>
          <w:sz w:val="24"/>
          <w:szCs w:val="24"/>
          <w:u w:val="none"/>
          <w:lang w:val="en-US" w:eastAsia="zh-CN" w:bidi="ar-SA"/>
        </w:rPr>
        <w:t>）</w:t>
      </w:r>
      <w:r>
        <w:rPr>
          <w:rFonts w:hint="default" w:cs="宋体"/>
          <w:b w:val="0"/>
          <w:bCs w:val="0"/>
          <w:sz w:val="24"/>
          <w:szCs w:val="24"/>
          <w:u w:val="none"/>
          <w:lang w:eastAsia="zh-CN" w:bidi="ar-SA"/>
        </w:rPr>
        <w:t>根据相关政策要求，</w:t>
      </w:r>
      <w:r>
        <w:rPr>
          <w:rFonts w:hint="eastAsia" w:cs="宋体"/>
          <w:b w:val="0"/>
          <w:bCs w:val="0"/>
          <w:color w:val="auto"/>
          <w:sz w:val="24"/>
          <w:szCs w:val="24"/>
          <w:u w:val="none"/>
          <w:lang w:val="en-US" w:eastAsia="zh-CN" w:bidi="ar-SA"/>
        </w:rPr>
        <w:t>投标人</w:t>
      </w:r>
      <w:r>
        <w:rPr>
          <w:rFonts w:hint="eastAsia" w:ascii="宋体" w:hAnsi="宋体" w:eastAsia="宋体" w:cs="宋体"/>
          <w:b w:val="0"/>
          <w:bCs w:val="0"/>
          <w:color w:val="auto"/>
          <w:sz w:val="24"/>
          <w:szCs w:val="24"/>
          <w:u w:val="none"/>
          <w:lang w:val="en-US" w:eastAsia="zh-CN" w:bidi="ar-SA"/>
        </w:rPr>
        <w:t>需协助</w:t>
      </w:r>
      <w:r>
        <w:rPr>
          <w:rFonts w:hint="default" w:cs="宋体"/>
          <w:b w:val="0"/>
          <w:bCs w:val="0"/>
          <w:color w:val="auto"/>
          <w:sz w:val="24"/>
          <w:szCs w:val="24"/>
          <w:u w:val="none"/>
          <w:lang w:eastAsia="zh-CN" w:bidi="ar-SA"/>
        </w:rPr>
        <w:t>招标单位对</w:t>
      </w:r>
      <w:r>
        <w:rPr>
          <w:rFonts w:hint="eastAsia" w:cs="宋体"/>
          <w:b w:val="0"/>
          <w:bCs w:val="0"/>
          <w:color w:val="auto"/>
          <w:sz w:val="24"/>
          <w:szCs w:val="24"/>
          <w:u w:val="none"/>
          <w:lang w:val="en-US" w:eastAsia="zh-CN" w:bidi="ar-SA"/>
        </w:rPr>
        <w:t>南山区</w:t>
      </w:r>
      <w:r>
        <w:rPr>
          <w:rFonts w:hint="eastAsia" w:ascii="宋体" w:hAnsi="宋体" w:eastAsia="宋体" w:cs="宋体"/>
          <w:b w:val="0"/>
          <w:bCs w:val="0"/>
          <w:color w:val="auto"/>
          <w:sz w:val="24"/>
          <w:szCs w:val="24"/>
          <w:u w:val="none"/>
          <w:lang w:val="en-US" w:eastAsia="zh-CN" w:bidi="ar-SA"/>
        </w:rPr>
        <w:t>2024年度</w:t>
      </w:r>
      <w:r>
        <w:rPr>
          <w:rFonts w:hint="default" w:cs="宋体"/>
          <w:b w:val="0"/>
          <w:bCs w:val="0"/>
          <w:color w:val="auto"/>
          <w:sz w:val="24"/>
          <w:szCs w:val="24"/>
          <w:u w:val="none"/>
          <w:lang w:eastAsia="zh-CN" w:bidi="ar-SA"/>
        </w:rPr>
        <w:t>拟</w:t>
      </w:r>
      <w:r>
        <w:rPr>
          <w:rFonts w:hint="eastAsia" w:ascii="宋体" w:hAnsi="宋体" w:eastAsia="宋体" w:cs="宋体"/>
          <w:b w:val="0"/>
          <w:bCs w:val="0"/>
          <w:color w:val="auto"/>
          <w:sz w:val="24"/>
          <w:szCs w:val="24"/>
          <w:u w:val="none"/>
          <w:lang w:val="en-US" w:eastAsia="zh-CN" w:bidi="ar-SA"/>
        </w:rPr>
        <w:t>申请财政补助</w:t>
      </w:r>
      <w:r>
        <w:rPr>
          <w:rFonts w:hint="default"/>
          <w:b w:val="0"/>
          <w:bCs w:val="0"/>
          <w:color w:val="auto"/>
          <w:u w:val="none"/>
          <w:lang w:eastAsia="zh-CN"/>
        </w:rPr>
        <w:t>资金的</w:t>
      </w:r>
      <w:r>
        <w:rPr>
          <w:rFonts w:hint="eastAsia" w:cs="宋体"/>
          <w:b w:val="0"/>
          <w:bCs w:val="0"/>
          <w:color w:val="auto"/>
          <w:sz w:val="24"/>
          <w:szCs w:val="24"/>
          <w:u w:val="none"/>
          <w:lang w:val="en-US" w:eastAsia="zh-CN" w:bidi="ar-SA"/>
        </w:rPr>
        <w:t>项目</w:t>
      </w:r>
      <w:r>
        <w:rPr>
          <w:rFonts w:hint="eastAsia" w:ascii="宋体" w:hAnsi="宋体" w:eastAsia="宋体" w:cs="宋体"/>
          <w:b w:val="0"/>
          <w:bCs w:val="0"/>
          <w:color w:val="auto"/>
          <w:sz w:val="24"/>
          <w:szCs w:val="24"/>
          <w:u w:val="none"/>
          <w:lang w:val="en-US" w:eastAsia="zh-CN" w:bidi="ar-SA"/>
        </w:rPr>
        <w:t>的</w:t>
      </w:r>
      <w:r>
        <w:rPr>
          <w:rFonts w:hint="default" w:cs="宋体"/>
          <w:b w:val="0"/>
          <w:bCs w:val="0"/>
          <w:color w:val="auto"/>
          <w:sz w:val="24"/>
          <w:szCs w:val="24"/>
          <w:u w:val="none"/>
          <w:lang w:eastAsia="zh-CN" w:bidi="ar-SA"/>
        </w:rPr>
        <w:t>申报条件、项目</w:t>
      </w:r>
      <w:r>
        <w:rPr>
          <w:rFonts w:hint="eastAsia" w:ascii="宋体" w:hAnsi="宋体" w:eastAsia="宋体" w:cs="宋体"/>
          <w:b w:val="0"/>
          <w:bCs w:val="0"/>
          <w:color w:val="auto"/>
          <w:sz w:val="24"/>
          <w:szCs w:val="24"/>
          <w:u w:val="none"/>
          <w:lang w:val="en-US" w:eastAsia="zh-CN" w:bidi="ar-SA"/>
        </w:rPr>
        <w:t>资质、申请报告等相关资料</w:t>
      </w:r>
      <w:r>
        <w:rPr>
          <w:rFonts w:hint="default" w:cs="宋体"/>
          <w:b w:val="0"/>
          <w:bCs w:val="0"/>
          <w:color w:val="auto"/>
          <w:sz w:val="24"/>
          <w:szCs w:val="24"/>
          <w:u w:val="none"/>
          <w:lang w:eastAsia="zh-CN" w:bidi="ar-SA"/>
        </w:rPr>
        <w:t>进行审核</w:t>
      </w:r>
      <w:r>
        <w:rPr>
          <w:rFonts w:hint="eastAsia" w:ascii="宋体" w:hAnsi="宋体" w:eastAsia="宋体" w:cs="宋体"/>
          <w:b w:val="0"/>
          <w:bCs w:val="0"/>
          <w:color w:val="auto"/>
          <w:sz w:val="24"/>
          <w:szCs w:val="24"/>
          <w:u w:val="none"/>
          <w:lang w:val="en-US" w:eastAsia="zh-CN" w:bidi="ar-SA"/>
        </w:rPr>
        <w:t>，对项目管理提出调整和完善建议。</w:t>
      </w:r>
    </w:p>
    <w:p>
      <w:pPr>
        <w:spacing w:line="360" w:lineRule="auto"/>
        <w:ind w:firstLine="480" w:firstLineChars="200"/>
        <w:jc w:val="both"/>
        <w:rPr>
          <w:rFonts w:hint="eastAsia"/>
          <w:color w:val="auto"/>
          <w:u w:val="none"/>
          <w:lang w:val="en-US" w:eastAsia="zh-CN"/>
        </w:rPr>
      </w:pPr>
      <w:r>
        <w:rPr>
          <w:rFonts w:hint="default"/>
          <w:color w:val="auto"/>
          <w:u w:val="none"/>
          <w:lang w:eastAsia="zh-CN"/>
        </w:rPr>
        <w:t>（2）</w:t>
      </w:r>
      <w:r>
        <w:rPr>
          <w:rFonts w:hint="eastAsia"/>
          <w:color w:val="auto"/>
          <w:u w:val="none"/>
          <w:lang w:val="en-US" w:eastAsia="zh-CN"/>
        </w:rPr>
        <w:t>投标人需</w:t>
      </w:r>
      <w:r>
        <w:rPr>
          <w:rFonts w:hint="default"/>
          <w:color w:val="auto"/>
          <w:u w:val="none"/>
          <w:lang w:eastAsia="zh-CN"/>
        </w:rPr>
        <w:t>协助</w:t>
      </w:r>
      <w:r>
        <w:rPr>
          <w:rFonts w:hint="eastAsia"/>
          <w:color w:val="auto"/>
          <w:u w:val="none"/>
          <w:lang w:val="en-US" w:eastAsia="zh-CN"/>
        </w:rPr>
        <w:t>招标单位</w:t>
      </w:r>
      <w:r>
        <w:rPr>
          <w:rFonts w:hint="default"/>
          <w:color w:val="auto"/>
          <w:u w:val="none"/>
          <w:lang w:eastAsia="zh-CN"/>
        </w:rPr>
        <w:t>对领取财政补助资金的</w:t>
      </w:r>
      <w:r>
        <w:rPr>
          <w:rFonts w:hint="eastAsia"/>
          <w:color w:val="auto"/>
          <w:u w:val="none"/>
          <w:lang w:val="en-US" w:eastAsia="zh-CN"/>
        </w:rPr>
        <w:t>项目抽查</w:t>
      </w:r>
      <w:r>
        <w:rPr>
          <w:rFonts w:hint="default"/>
          <w:color w:val="auto"/>
          <w:u w:val="none"/>
          <w:lang w:eastAsia="zh-CN"/>
        </w:rPr>
        <w:t>不少于</w:t>
      </w:r>
      <w:r>
        <w:rPr>
          <w:rFonts w:hint="eastAsia"/>
          <w:color w:val="auto"/>
          <w:u w:val="none"/>
          <w:lang w:val="en-US" w:eastAsia="zh-CN"/>
        </w:rPr>
        <w:t>25</w:t>
      </w:r>
      <w:r>
        <w:rPr>
          <w:rFonts w:hint="default"/>
          <w:color w:val="auto"/>
          <w:u w:val="none"/>
          <w:lang w:eastAsia="zh-CN"/>
        </w:rPr>
        <w:t>个项目</w:t>
      </w:r>
      <w:r>
        <w:rPr>
          <w:rFonts w:hint="eastAsia"/>
          <w:color w:val="auto"/>
          <w:u w:val="none"/>
          <w:lang w:val="en-US" w:eastAsia="zh-CN"/>
        </w:rPr>
        <w:t>，对项目合同文件、项目实施过程资料、支付凭证等进行核查，核查资金使用是否符合规定、是否存在异常情况；对其中重要或疑似存在问题的项目，进行现场核实，直接了解项目情况，核实相关数据和资料的真实性和准确性，并对抽查结果进行汇总、审核和分析，对项目管理提出调整和完善建议。</w:t>
      </w:r>
    </w:p>
    <w:p>
      <w:pPr>
        <w:pStyle w:val="14"/>
        <w:keepNext w:val="0"/>
        <w:keepLines w:val="0"/>
        <w:widowControl/>
        <w:suppressLineNumbers w:val="0"/>
        <w:spacing w:before="0" w:beforeAutospacing="0" w:after="0" w:afterAutospacing="0"/>
        <w:ind w:left="0" w:right="0" w:firstLine="480" w:firstLineChars="200"/>
        <w:rPr>
          <w:rFonts w:hint="eastAsia" w:eastAsia="宋体"/>
          <w:color w:val="auto"/>
          <w:u w:val="none"/>
          <w:lang w:eastAsia="zh-CN"/>
        </w:rPr>
      </w:pPr>
      <w:r>
        <w:rPr>
          <w:rFonts w:hint="eastAsia"/>
          <w:color w:val="auto"/>
          <w:u w:val="none"/>
          <w:lang w:val="en-US" w:eastAsia="zh-CN"/>
        </w:rPr>
        <w:t>2、协助招标单</w:t>
      </w:r>
      <w:r>
        <w:rPr>
          <w:rFonts w:hint="eastAsia" w:eastAsia="宋体"/>
          <w:color w:val="auto"/>
          <w:u w:val="none"/>
          <w:lang w:eastAsia="zh-CN"/>
        </w:rPr>
        <w:t>位对已</w:t>
      </w:r>
      <w:r>
        <w:rPr>
          <w:rFonts w:hint="default"/>
          <w:color w:val="auto"/>
          <w:u w:val="none"/>
          <w:lang w:eastAsia="zh-CN"/>
        </w:rPr>
        <w:t>领取</w:t>
      </w:r>
      <w:r>
        <w:rPr>
          <w:color w:val="auto"/>
        </w:rPr>
        <w:t>中央财政专项资金</w:t>
      </w:r>
      <w:r>
        <w:rPr>
          <w:rFonts w:hint="eastAsia" w:eastAsia="宋体"/>
          <w:color w:val="auto"/>
          <w:u w:val="none"/>
          <w:lang w:eastAsia="zh-CN"/>
        </w:rPr>
        <w:t>的项目开展</w:t>
      </w:r>
      <w:r>
        <w:rPr>
          <w:rFonts w:hint="default"/>
          <w:color w:val="auto"/>
          <w:u w:val="none"/>
          <w:lang w:eastAsia="zh-CN"/>
        </w:rPr>
        <w:t>专项监督检查</w:t>
      </w:r>
      <w:r>
        <w:rPr>
          <w:rFonts w:hint="eastAsia" w:eastAsia="宋体"/>
          <w:color w:val="auto"/>
          <w:u w:val="none"/>
          <w:lang w:eastAsia="zh-CN"/>
        </w:rPr>
        <w:t>工作</w:t>
      </w:r>
      <w:r>
        <w:rPr>
          <w:rFonts w:hint="default"/>
          <w:color w:val="auto"/>
          <w:u w:val="none"/>
          <w:lang w:eastAsia="zh-CN"/>
        </w:rPr>
        <w:t>。</w:t>
      </w:r>
    </w:p>
    <w:p>
      <w:pPr>
        <w:spacing w:line="360" w:lineRule="auto"/>
        <w:ind w:firstLine="480" w:firstLineChars="200"/>
        <w:jc w:val="both"/>
        <w:rPr>
          <w:rFonts w:hint="eastAsia" w:eastAsia="宋体"/>
          <w:color w:val="auto"/>
          <w:u w:val="none"/>
          <w:lang w:eastAsia="zh-CN"/>
        </w:rPr>
      </w:pPr>
      <w:r>
        <w:rPr>
          <w:rFonts w:hint="default"/>
          <w:color w:val="auto"/>
          <w:u w:val="none"/>
          <w:lang w:eastAsia="zh-CN"/>
        </w:rPr>
        <w:t>（1）</w:t>
      </w:r>
      <w:r>
        <w:rPr>
          <w:rFonts w:hint="default"/>
          <w:color w:val="auto"/>
          <w:u w:val="none"/>
        </w:rPr>
        <w:t>协助</w:t>
      </w:r>
      <w:r>
        <w:rPr>
          <w:rFonts w:hint="eastAsia"/>
          <w:color w:val="auto"/>
          <w:u w:val="none"/>
        </w:rPr>
        <w:t>招标单位</w:t>
      </w:r>
      <w:r>
        <w:rPr>
          <w:rFonts w:hint="default"/>
          <w:color w:val="auto"/>
          <w:u w:val="none"/>
        </w:rPr>
        <w:t>对已领取</w:t>
      </w:r>
      <w:r>
        <w:rPr>
          <w:color w:val="auto"/>
        </w:rPr>
        <w:t>中央财政专项资金</w:t>
      </w:r>
      <w:r>
        <w:rPr>
          <w:rFonts w:hint="eastAsia"/>
          <w:color w:val="auto"/>
          <w:u w:val="none"/>
        </w:rPr>
        <w:t>的项目</w:t>
      </w:r>
      <w:r>
        <w:rPr>
          <w:rFonts w:hint="eastAsia"/>
          <w:color w:val="auto"/>
          <w:u w:val="none"/>
          <w:lang w:val="en-US" w:eastAsia="zh-CN"/>
        </w:rPr>
        <w:t>抽查不少于20家企业进行全面</w:t>
      </w:r>
      <w:r>
        <w:rPr>
          <w:rFonts w:hint="default"/>
          <w:color w:val="auto"/>
          <w:u w:val="none"/>
          <w:lang w:eastAsia="zh-CN"/>
        </w:rPr>
        <w:t>检查</w:t>
      </w:r>
      <w:r>
        <w:rPr>
          <w:rFonts w:hint="eastAsia"/>
          <w:color w:val="auto"/>
          <w:u w:val="none"/>
          <w:lang w:val="en-US" w:eastAsia="zh-CN"/>
        </w:rPr>
        <w:t>，对其余企业中存在日常运营类的项目按比例不少于5%</w:t>
      </w:r>
      <w:r>
        <w:rPr>
          <w:rFonts w:hint="default"/>
          <w:color w:val="auto"/>
          <w:u w:val="none"/>
          <w:lang w:eastAsia="zh-CN"/>
        </w:rPr>
        <w:t>进行抽查</w:t>
      </w:r>
      <w:r>
        <w:rPr>
          <w:rFonts w:hint="eastAsia"/>
          <w:color w:val="auto"/>
          <w:u w:val="none"/>
          <w:lang w:val="en-US" w:eastAsia="zh-CN"/>
        </w:rPr>
        <w:t>。</w:t>
      </w:r>
    </w:p>
    <w:p>
      <w:pPr>
        <w:pStyle w:val="16"/>
        <w:ind w:firstLine="480" w:firstLineChars="200"/>
        <w:rPr>
          <w:rFonts w:hint="default"/>
          <w:b w:val="0"/>
          <w:bCs w:val="0"/>
          <w:color w:val="auto"/>
          <w:u w:val="none"/>
          <w:lang w:eastAsia="zh-CN"/>
        </w:rPr>
      </w:pPr>
      <w:r>
        <w:rPr>
          <w:rFonts w:hint="default"/>
          <w:b w:val="0"/>
          <w:bCs w:val="0"/>
          <w:color w:val="auto"/>
          <w:u w:val="none"/>
          <w:lang w:eastAsia="zh-CN"/>
        </w:rPr>
        <w:t>（</w:t>
      </w:r>
      <w:r>
        <w:rPr>
          <w:rFonts w:hint="default" w:cs="宋体"/>
          <w:b w:val="0"/>
          <w:bCs w:val="0"/>
          <w:color w:val="auto"/>
          <w:u w:val="none"/>
          <w:lang w:eastAsia="zh-CN"/>
        </w:rPr>
        <w:t>2</w:t>
      </w:r>
      <w:r>
        <w:rPr>
          <w:rFonts w:hint="default"/>
          <w:b w:val="0"/>
          <w:bCs w:val="0"/>
          <w:color w:val="auto"/>
          <w:u w:val="none"/>
          <w:lang w:eastAsia="zh-CN"/>
        </w:rPr>
        <w:t>）检查内容包括专项资金是否用于发展住房租赁业务；企业在发展住房租赁业务过程中是否存在“高进低出”“长收短付”等高风险经营行为；企业是是否开设专门银行账户用于专项资金的管理与使用，是否建立独立财务台账</w:t>
      </w:r>
      <w:r>
        <w:rPr>
          <w:rFonts w:hint="eastAsia"/>
          <w:b w:val="0"/>
          <w:bCs w:val="0"/>
          <w:color w:val="auto"/>
          <w:u w:val="none"/>
          <w:lang w:eastAsia="zh-CN"/>
        </w:rPr>
        <w:t>等</w:t>
      </w:r>
      <w:r>
        <w:rPr>
          <w:rFonts w:hint="default"/>
          <w:b w:val="0"/>
          <w:bCs w:val="0"/>
          <w:color w:val="auto"/>
          <w:u w:val="none"/>
          <w:lang w:eastAsia="zh-CN"/>
        </w:rPr>
        <w:t>。</w:t>
      </w:r>
    </w:p>
    <w:p>
      <w:pPr>
        <w:pStyle w:val="16"/>
        <w:ind w:firstLine="480" w:firstLineChars="200"/>
        <w:rPr>
          <w:rFonts w:hint="default"/>
          <w:b w:val="0"/>
          <w:bCs w:val="0"/>
          <w:lang w:eastAsia="zh-CN"/>
        </w:rPr>
      </w:pPr>
      <w:r>
        <w:rPr>
          <w:rFonts w:hint="default"/>
          <w:b w:val="0"/>
          <w:bCs w:val="0"/>
          <w:color w:val="auto"/>
          <w:u w:val="none"/>
          <w:lang w:eastAsia="zh-CN"/>
        </w:rPr>
        <w:t>（3）投标人对检查结果进行汇总、审核和分析，对项目管理提出调整和完</w:t>
      </w:r>
      <w:r>
        <w:rPr>
          <w:rFonts w:hint="default"/>
          <w:b w:val="0"/>
          <w:bCs w:val="0"/>
          <w:u w:val="none"/>
          <w:lang w:eastAsia="zh-CN"/>
        </w:rPr>
        <w:t>善建议。</w:t>
      </w:r>
    </w:p>
    <w:p>
      <w:pPr>
        <w:pStyle w:val="13"/>
        <w:spacing w:line="360" w:lineRule="auto"/>
        <w:ind w:firstLine="480" w:firstLineChars="200"/>
        <w:rPr>
          <w:rFonts w:cs="宋体"/>
          <w:u w:val="none"/>
        </w:rPr>
      </w:pPr>
      <w:r>
        <w:rPr>
          <w:rFonts w:hint="eastAsia"/>
          <w:u w:val="none"/>
          <w:lang w:val="en-US" w:eastAsia="zh-CN"/>
        </w:rPr>
        <w:t>3、</w:t>
      </w:r>
      <w:r>
        <w:rPr>
          <w:rFonts w:hint="eastAsia"/>
          <w:u w:val="none"/>
          <w:lang w:eastAsia="zh-CN"/>
        </w:rPr>
        <w:t>按照财政部门及上级主管部门的要求，结合业务实际，协助</w:t>
      </w:r>
      <w:r>
        <w:rPr>
          <w:rFonts w:hint="eastAsia"/>
          <w:u w:val="none"/>
          <w:lang w:val="en-US" w:eastAsia="zh-CN"/>
        </w:rPr>
        <w:t>招标单位</w:t>
      </w:r>
      <w:r>
        <w:rPr>
          <w:rFonts w:hint="eastAsia"/>
          <w:u w:val="none"/>
          <w:lang w:eastAsia="zh-CN"/>
        </w:rPr>
        <w:t>对</w:t>
      </w:r>
      <w:r>
        <w:rPr>
          <w:rFonts w:hint="default"/>
          <w:u w:val="none"/>
          <w:lang w:eastAsia="zh-CN"/>
        </w:rPr>
        <w:t>其他</w:t>
      </w:r>
      <w:r>
        <w:rPr>
          <w:rFonts w:hint="eastAsia"/>
          <w:u w:val="none"/>
          <w:lang w:eastAsia="zh-CN"/>
        </w:rPr>
        <w:t>项目开展预算绩效</w:t>
      </w:r>
      <w:r>
        <w:rPr>
          <w:rFonts w:hint="eastAsia"/>
          <w:u w:val="none"/>
          <w:lang w:val="en-US" w:eastAsia="zh-CN"/>
        </w:rPr>
        <w:t>管理</w:t>
      </w:r>
      <w:r>
        <w:rPr>
          <w:rFonts w:hint="eastAsia"/>
          <w:u w:val="none"/>
          <w:lang w:eastAsia="zh-CN"/>
        </w:rPr>
        <w:t>相关工作。</w:t>
      </w:r>
    </w:p>
    <w:p>
      <w:pPr>
        <w:keepNext/>
        <w:keepLines/>
        <w:widowControl w:val="0"/>
        <w:spacing w:before="156" w:beforeLines="50" w:after="156" w:afterLines="50" w:line="480" w:lineRule="exact"/>
        <w:textAlignment w:val="baseline"/>
        <w:outlineLvl w:val="1"/>
        <w:rPr>
          <w:rFonts w:ascii="Times New Roman" w:hAnsi="Times New Roman" w:cs="Times New Roman"/>
          <w:b/>
          <w:bCs/>
          <w:kern w:val="44"/>
          <w:szCs w:val="44"/>
          <w:highlight w:val="none"/>
        </w:rPr>
      </w:pPr>
      <w:r>
        <w:rPr>
          <w:rFonts w:hint="eastAsia" w:ascii="Times New Roman" w:hAnsi="Times New Roman" w:cs="Times New Roman"/>
          <w:b/>
          <w:bCs/>
          <w:kern w:val="44"/>
          <w:szCs w:val="44"/>
          <w:highlight w:val="none"/>
        </w:rPr>
        <w:t>四、人员配备及要求</w:t>
      </w:r>
    </w:p>
    <w:p>
      <w:pPr>
        <w:spacing w:line="480" w:lineRule="exact"/>
        <w:ind w:firstLine="480" w:firstLineChars="200"/>
        <w:jc w:val="both"/>
      </w:pPr>
      <w:r>
        <w:rPr>
          <w:rFonts w:hint="eastAsia"/>
        </w:rPr>
        <w:t>1、所提供的服务应符合国家和地方的有关法律、法规、规章和国家、行业标准的规定。</w:t>
      </w:r>
    </w:p>
    <w:p>
      <w:pPr>
        <w:autoSpaceDE w:val="0"/>
        <w:spacing w:line="480" w:lineRule="exact"/>
        <w:ind w:firstLine="480" w:firstLineChars="200"/>
        <w:jc w:val="both"/>
        <w:rPr>
          <w:rFonts w:hint="default"/>
        </w:rPr>
      </w:pPr>
      <w:r>
        <w:rPr>
          <w:rFonts w:hint="eastAsia"/>
        </w:rPr>
        <w:t>2、结合本项目实际工作需求，第三方服务机构应安排</w:t>
      </w:r>
      <w:r>
        <w:rPr>
          <w:rFonts w:hint="eastAsia"/>
          <w:lang w:val="en-US" w:eastAsia="zh-CN"/>
        </w:rPr>
        <w:t>1名项目负责人、1名项目主管、2名工作人员为招标人提供服务。</w:t>
      </w:r>
      <w:r>
        <w:rPr>
          <w:rFonts w:hint="eastAsia"/>
        </w:rPr>
        <w:t>项目服务小组人员固定，不得随意更换，自行配备服务所需的车辆、设施设备及相关材料。投标单位可根据项目进度增加项目服务人员，但项目服务人员需经过招标单位书面签字盖章同意后方可开展工作。具体人员要求如下：</w:t>
      </w:r>
    </w:p>
    <w:tbl>
      <w:tblPr>
        <w:tblStyle w:val="18"/>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981"/>
        <w:gridCol w:w="1451"/>
        <w:gridCol w:w="3805"/>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998" w:type="pct"/>
            <w:vAlign w:val="center"/>
          </w:tcPr>
          <w:p>
            <w:pPr>
              <w:spacing w:line="480" w:lineRule="exact"/>
              <w:jc w:val="center"/>
              <w:rPr>
                <w:b/>
                <w:bCs/>
              </w:rPr>
            </w:pPr>
            <w:r>
              <w:rPr>
                <w:rFonts w:hint="eastAsia"/>
                <w:b/>
                <w:bCs/>
              </w:rPr>
              <w:t>岗位</w:t>
            </w:r>
          </w:p>
        </w:tc>
        <w:tc>
          <w:tcPr>
            <w:tcW w:w="568" w:type="pct"/>
            <w:vAlign w:val="center"/>
          </w:tcPr>
          <w:p>
            <w:pPr>
              <w:spacing w:line="480" w:lineRule="exact"/>
              <w:jc w:val="center"/>
              <w:rPr>
                <w:b/>
                <w:bCs/>
              </w:rPr>
            </w:pPr>
            <w:r>
              <w:rPr>
                <w:rFonts w:hint="eastAsia"/>
                <w:b/>
                <w:bCs/>
              </w:rPr>
              <w:t>人数</w:t>
            </w:r>
          </w:p>
          <w:p>
            <w:pPr>
              <w:spacing w:line="480" w:lineRule="exact"/>
              <w:jc w:val="center"/>
              <w:rPr>
                <w:b/>
                <w:bCs/>
              </w:rPr>
            </w:pPr>
            <w:r>
              <w:rPr>
                <w:rFonts w:hint="eastAsia"/>
                <w:b/>
                <w:bCs/>
              </w:rPr>
              <w:t>要求</w:t>
            </w:r>
          </w:p>
        </w:tc>
        <w:tc>
          <w:tcPr>
            <w:tcW w:w="840" w:type="pct"/>
            <w:vAlign w:val="center"/>
          </w:tcPr>
          <w:p>
            <w:pPr>
              <w:spacing w:line="480" w:lineRule="exact"/>
              <w:jc w:val="center"/>
              <w:rPr>
                <w:b/>
                <w:bCs/>
              </w:rPr>
            </w:pPr>
            <w:r>
              <w:rPr>
                <w:rFonts w:hint="eastAsia"/>
                <w:b/>
                <w:bCs/>
              </w:rPr>
              <w:t>职称及学历要求</w:t>
            </w:r>
          </w:p>
        </w:tc>
        <w:tc>
          <w:tcPr>
            <w:tcW w:w="2203" w:type="pct"/>
            <w:vAlign w:val="center"/>
          </w:tcPr>
          <w:p>
            <w:pPr>
              <w:spacing w:line="480" w:lineRule="exact"/>
              <w:ind w:firstLine="482" w:firstLineChars="200"/>
              <w:jc w:val="center"/>
              <w:rPr>
                <w:b/>
                <w:bCs/>
              </w:rPr>
            </w:pPr>
            <w:r>
              <w:rPr>
                <w:rFonts w:hint="eastAsia"/>
                <w:b/>
                <w:bCs/>
              </w:rPr>
              <w:t>专业资格基本要求</w:t>
            </w:r>
          </w:p>
        </w:tc>
        <w:tc>
          <w:tcPr>
            <w:tcW w:w="389" w:type="pct"/>
            <w:vAlign w:val="center"/>
          </w:tcPr>
          <w:p>
            <w:pPr>
              <w:spacing w:line="480" w:lineRule="exact"/>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8" w:type="pct"/>
            <w:vAlign w:val="center"/>
          </w:tcPr>
          <w:p>
            <w:pPr>
              <w:spacing w:line="480" w:lineRule="exact"/>
              <w:rPr>
                <w:sz w:val="21"/>
                <w:szCs w:val="21"/>
                <w:u w:val="single"/>
              </w:rPr>
            </w:pPr>
            <w:r>
              <w:rPr>
                <w:rFonts w:hint="eastAsia"/>
                <w:sz w:val="21"/>
                <w:szCs w:val="21"/>
                <w:u w:val="single"/>
              </w:rPr>
              <w:t>项目负责人</w:t>
            </w:r>
          </w:p>
        </w:tc>
        <w:tc>
          <w:tcPr>
            <w:tcW w:w="568" w:type="pct"/>
            <w:vAlign w:val="center"/>
          </w:tcPr>
          <w:p>
            <w:pPr>
              <w:spacing w:line="480" w:lineRule="exact"/>
              <w:jc w:val="center"/>
              <w:rPr>
                <w:rFonts w:hint="eastAsia" w:eastAsia="宋体"/>
                <w:sz w:val="21"/>
                <w:szCs w:val="21"/>
                <w:u w:val="single"/>
                <w:lang w:val="en-US" w:eastAsia="zh-CN"/>
              </w:rPr>
            </w:pPr>
            <w:r>
              <w:rPr>
                <w:rFonts w:hint="eastAsia"/>
                <w:sz w:val="21"/>
                <w:szCs w:val="21"/>
                <w:u w:val="single"/>
                <w:lang w:val="en-US" w:eastAsia="zh-CN"/>
              </w:rPr>
              <w:t>1</w:t>
            </w:r>
          </w:p>
        </w:tc>
        <w:tc>
          <w:tcPr>
            <w:tcW w:w="840" w:type="pct"/>
            <w:vAlign w:val="center"/>
          </w:tcPr>
          <w:p>
            <w:pPr>
              <w:spacing w:line="480" w:lineRule="exact"/>
              <w:rPr>
                <w:rFonts w:hint="default" w:eastAsia="宋体"/>
                <w:sz w:val="21"/>
                <w:szCs w:val="21"/>
                <w:u w:val="single"/>
                <w:lang w:val="en-US" w:eastAsia="zh-CN"/>
              </w:rPr>
            </w:pPr>
            <w:r>
              <w:rPr>
                <w:rFonts w:hint="eastAsia"/>
                <w:sz w:val="21"/>
                <w:szCs w:val="21"/>
                <w:u w:val="single"/>
                <w:lang w:val="en-US" w:eastAsia="zh-CN"/>
              </w:rPr>
              <w:t>本科及以上</w:t>
            </w:r>
          </w:p>
        </w:tc>
        <w:tc>
          <w:tcPr>
            <w:tcW w:w="2203" w:type="pct"/>
            <w:vAlign w:val="center"/>
          </w:tcPr>
          <w:p>
            <w:pPr>
              <w:numPr>
                <w:ilvl w:val="-1"/>
                <w:numId w:val="0"/>
              </w:numPr>
              <w:spacing w:line="480" w:lineRule="exact"/>
              <w:rPr>
                <w:rFonts w:hint="eastAsia"/>
                <w:b w:val="0"/>
                <w:bCs w:val="0"/>
                <w:sz w:val="21"/>
                <w:szCs w:val="21"/>
                <w:u w:val="none"/>
              </w:rPr>
            </w:pPr>
            <w:r>
              <w:rPr>
                <w:rFonts w:hint="eastAsia"/>
                <w:sz w:val="21"/>
                <w:szCs w:val="21"/>
                <w:u w:val="none"/>
                <w:lang w:val="en-US" w:eastAsia="zh-CN"/>
              </w:rPr>
              <w:t>1.</w:t>
            </w:r>
            <w:r>
              <w:rPr>
                <w:rFonts w:hint="eastAsia"/>
                <w:sz w:val="21"/>
                <w:szCs w:val="21"/>
                <w:u w:val="none"/>
              </w:rPr>
              <w:t>具有高级会计师职称或注册会计师资格或注册造价工程师等资质</w:t>
            </w:r>
            <w:r>
              <w:rPr>
                <w:rFonts w:hint="eastAsia"/>
                <w:sz w:val="21"/>
                <w:szCs w:val="21"/>
                <w:u w:val="none"/>
                <w:lang w:eastAsia="zh-CN"/>
              </w:rPr>
              <w:t>；</w:t>
            </w:r>
          </w:p>
          <w:p>
            <w:pPr>
              <w:spacing w:line="480" w:lineRule="exact"/>
              <w:rPr>
                <w:rFonts w:hint="default" w:eastAsia="宋体"/>
                <w:sz w:val="21"/>
                <w:szCs w:val="21"/>
                <w:u w:val="none"/>
                <w:lang w:val="en-US" w:eastAsia="zh-CN"/>
              </w:rPr>
            </w:pPr>
            <w:r>
              <w:rPr>
                <w:rFonts w:hint="eastAsia"/>
                <w:sz w:val="21"/>
                <w:szCs w:val="21"/>
                <w:u w:val="none"/>
                <w:lang w:val="en-US" w:eastAsia="zh-CN"/>
              </w:rPr>
              <w:t>2.拥有5年及以上的预算绩效管理服务工作经验。</w:t>
            </w:r>
          </w:p>
        </w:tc>
        <w:tc>
          <w:tcPr>
            <w:tcW w:w="389" w:type="pct"/>
            <w:vAlign w:val="center"/>
          </w:tcPr>
          <w:p>
            <w:pPr>
              <w:spacing w:line="480" w:lineRule="exact"/>
              <w:ind w:firstLine="480" w:firstLineChars="20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8" w:type="pct"/>
            <w:vAlign w:val="center"/>
          </w:tcPr>
          <w:p>
            <w:pPr>
              <w:spacing w:line="480" w:lineRule="exact"/>
              <w:rPr>
                <w:sz w:val="21"/>
                <w:szCs w:val="21"/>
                <w:u w:val="single"/>
              </w:rPr>
            </w:pPr>
            <w:r>
              <w:rPr>
                <w:sz w:val="21"/>
                <w:szCs w:val="21"/>
                <w:u w:val="single"/>
              </w:rPr>
              <w:t>项目工作</w:t>
            </w:r>
            <w:r>
              <w:rPr>
                <w:rFonts w:hint="eastAsia"/>
                <w:sz w:val="21"/>
                <w:szCs w:val="21"/>
                <w:u w:val="single"/>
              </w:rPr>
              <w:t>人员</w:t>
            </w:r>
          </w:p>
        </w:tc>
        <w:tc>
          <w:tcPr>
            <w:tcW w:w="568" w:type="pct"/>
            <w:vAlign w:val="center"/>
          </w:tcPr>
          <w:p>
            <w:pPr>
              <w:spacing w:line="480" w:lineRule="exact"/>
              <w:jc w:val="center"/>
              <w:rPr>
                <w:rFonts w:hint="eastAsia" w:eastAsia="宋体"/>
                <w:sz w:val="21"/>
                <w:szCs w:val="21"/>
                <w:u w:val="single"/>
                <w:lang w:val="en-US" w:eastAsia="zh-CN"/>
              </w:rPr>
            </w:pPr>
            <w:r>
              <w:rPr>
                <w:rFonts w:hint="eastAsia"/>
                <w:sz w:val="21"/>
                <w:szCs w:val="21"/>
                <w:u w:val="single"/>
                <w:lang w:val="en-US" w:eastAsia="zh-CN"/>
              </w:rPr>
              <w:t>3</w:t>
            </w:r>
          </w:p>
        </w:tc>
        <w:tc>
          <w:tcPr>
            <w:tcW w:w="840" w:type="pct"/>
            <w:vAlign w:val="center"/>
          </w:tcPr>
          <w:p>
            <w:pPr>
              <w:spacing w:line="480" w:lineRule="exact"/>
              <w:rPr>
                <w:rFonts w:hint="default" w:eastAsia="宋体"/>
                <w:sz w:val="21"/>
                <w:szCs w:val="21"/>
                <w:u w:val="single"/>
                <w:lang w:val="en-US" w:eastAsia="zh-CN"/>
              </w:rPr>
            </w:pPr>
            <w:r>
              <w:rPr>
                <w:rFonts w:hint="eastAsia"/>
                <w:sz w:val="21"/>
                <w:szCs w:val="21"/>
                <w:u w:val="single"/>
                <w:lang w:val="en-US" w:eastAsia="zh-CN"/>
              </w:rPr>
              <w:t>本科及以上</w:t>
            </w:r>
          </w:p>
        </w:tc>
        <w:tc>
          <w:tcPr>
            <w:tcW w:w="2203" w:type="pct"/>
            <w:vAlign w:val="center"/>
          </w:tcPr>
          <w:p>
            <w:pPr>
              <w:spacing w:line="480" w:lineRule="exact"/>
              <w:rPr>
                <w:rFonts w:hint="eastAsia" w:eastAsia="宋体"/>
                <w:b w:val="0"/>
                <w:bCs w:val="0"/>
                <w:sz w:val="21"/>
                <w:szCs w:val="21"/>
                <w:u w:val="none"/>
                <w:lang w:val="en-US" w:eastAsia="zh-CN"/>
              </w:rPr>
            </w:pPr>
            <w:r>
              <w:rPr>
                <w:rFonts w:hint="eastAsia"/>
                <w:sz w:val="21"/>
                <w:szCs w:val="21"/>
                <w:u w:val="none"/>
              </w:rPr>
              <w:t>1.具有中级或以上会计师职称或注册会计师资格或注册造价工程师等资质</w:t>
            </w:r>
            <w:r>
              <w:rPr>
                <w:rFonts w:hint="eastAsia"/>
                <w:sz w:val="21"/>
                <w:szCs w:val="21"/>
                <w:u w:val="none"/>
                <w:lang w:eastAsia="zh-CN"/>
              </w:rPr>
              <w:t>；</w:t>
            </w:r>
          </w:p>
          <w:p>
            <w:pPr>
              <w:pStyle w:val="16"/>
              <w:ind w:firstLine="0" w:firstLineChars="0"/>
              <w:rPr>
                <w:rFonts w:hint="eastAsia"/>
                <w:sz w:val="21"/>
                <w:szCs w:val="21"/>
                <w:u w:val="none"/>
                <w:lang w:val="en-US" w:eastAsia="zh-CN"/>
              </w:rPr>
            </w:pPr>
            <w:r>
              <w:rPr>
                <w:rFonts w:hint="eastAsia"/>
                <w:b w:val="0"/>
                <w:bCs w:val="0"/>
                <w:sz w:val="21"/>
                <w:szCs w:val="21"/>
                <w:u w:val="none"/>
                <w:lang w:val="en-US" w:eastAsia="zh-CN"/>
              </w:rPr>
              <w:t>2.项</w:t>
            </w:r>
            <w:r>
              <w:rPr>
                <w:rFonts w:hint="eastAsia"/>
                <w:b w:val="0"/>
                <w:bCs w:val="0"/>
                <w:sz w:val="21"/>
                <w:szCs w:val="21"/>
                <w:u w:val="none"/>
              </w:rPr>
              <w:t>目主要团队成员具备3年以上（含3年）</w:t>
            </w:r>
            <w:r>
              <w:rPr>
                <w:rFonts w:hint="eastAsia"/>
                <w:b w:val="0"/>
                <w:bCs w:val="0"/>
                <w:sz w:val="21"/>
                <w:szCs w:val="21"/>
                <w:u w:val="none"/>
                <w:lang w:val="en-US" w:eastAsia="zh-CN"/>
              </w:rPr>
              <w:t>政府机关或事业单位</w:t>
            </w:r>
            <w:r>
              <w:rPr>
                <w:rFonts w:hint="eastAsia"/>
                <w:b w:val="0"/>
                <w:bCs w:val="0"/>
                <w:sz w:val="21"/>
                <w:szCs w:val="21"/>
                <w:u w:val="none"/>
              </w:rPr>
              <w:t>的预算绩效管理</w:t>
            </w:r>
            <w:r>
              <w:rPr>
                <w:rFonts w:hint="eastAsia"/>
                <w:b w:val="0"/>
                <w:bCs w:val="0"/>
                <w:sz w:val="21"/>
                <w:szCs w:val="21"/>
                <w:u w:val="none"/>
                <w:lang w:val="en-US" w:eastAsia="zh-CN"/>
              </w:rPr>
              <w:t>经验，或</w:t>
            </w:r>
            <w:r>
              <w:rPr>
                <w:rFonts w:hint="eastAsia"/>
                <w:b w:val="0"/>
                <w:bCs w:val="0"/>
                <w:sz w:val="21"/>
                <w:szCs w:val="21"/>
                <w:u w:val="none"/>
              </w:rPr>
              <w:t>具备3年以上（含3年）</w:t>
            </w:r>
            <w:r>
              <w:rPr>
                <w:rFonts w:hint="eastAsia"/>
                <w:b w:val="0"/>
                <w:bCs w:val="0"/>
                <w:sz w:val="21"/>
                <w:szCs w:val="21"/>
                <w:u w:val="none"/>
                <w:lang w:val="en-US" w:eastAsia="zh-CN"/>
              </w:rPr>
              <w:t>的</w:t>
            </w:r>
            <w:r>
              <w:rPr>
                <w:rFonts w:hint="eastAsia"/>
                <w:b w:val="0"/>
                <w:bCs w:val="0"/>
                <w:sz w:val="21"/>
                <w:szCs w:val="21"/>
                <w:u w:val="none"/>
              </w:rPr>
              <w:t>政府机关或事业单位或企业的财务监督检查或财务审计（含专项审计）经验</w:t>
            </w:r>
            <w:r>
              <w:rPr>
                <w:rFonts w:hint="eastAsia"/>
                <w:b w:val="0"/>
                <w:bCs w:val="0"/>
                <w:sz w:val="21"/>
                <w:szCs w:val="21"/>
                <w:u w:val="none"/>
                <w:lang w:eastAsia="zh-CN"/>
              </w:rPr>
              <w:t>。</w:t>
            </w:r>
          </w:p>
        </w:tc>
        <w:tc>
          <w:tcPr>
            <w:tcW w:w="389" w:type="pct"/>
            <w:vAlign w:val="center"/>
          </w:tcPr>
          <w:p>
            <w:pPr>
              <w:spacing w:line="480" w:lineRule="exact"/>
              <w:ind w:firstLine="480" w:firstLineChars="200"/>
              <w:jc w:val="center"/>
              <w:rPr>
                <w:u w:val="single"/>
              </w:rPr>
            </w:pPr>
          </w:p>
        </w:tc>
      </w:tr>
    </w:tbl>
    <w:p>
      <w:pPr>
        <w:spacing w:line="480" w:lineRule="exact"/>
        <w:ind w:firstLine="480" w:firstLineChars="200"/>
        <w:jc w:val="both"/>
      </w:pPr>
      <w:r>
        <w:t>3</w:t>
      </w:r>
      <w:r>
        <w:rPr>
          <w:rFonts w:hint="eastAsia"/>
        </w:rPr>
        <w:t>、投标文件中载明的</w:t>
      </w:r>
      <w:r>
        <w:rPr>
          <w:rFonts w:hint="eastAsia"/>
          <w:szCs w:val="21"/>
        </w:rPr>
        <w:t>项目团队人员</w:t>
      </w:r>
      <w:r>
        <w:rPr>
          <w:rFonts w:hint="eastAsia"/>
        </w:rPr>
        <w:t>即为招标单位提供服务实际人员；项目团队人员均要求具有工程类全日制本科以上学历（提供证书复印件）；需提供连续缴纳不少于3个月的社保证明；未经招标单位书面签字盖章同意，中标单位中标后不能更换。投标单位应自行解决工作条件、期间所需费用，自行配备服务所需的车辆、设施设备及相关材料，招标单位不再另外支付任何费用。</w:t>
      </w:r>
    </w:p>
    <w:p>
      <w:pPr>
        <w:keepNext/>
        <w:keepLines/>
        <w:widowControl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五、考核方式/验收办法</w:t>
      </w:r>
    </w:p>
    <w:p>
      <w:pPr>
        <w:spacing w:line="480" w:lineRule="exact"/>
        <w:ind w:firstLine="480" w:firstLineChars="200"/>
        <w:jc w:val="both"/>
      </w:pPr>
      <w:r>
        <w:rPr>
          <w:rFonts w:hint="eastAsia"/>
        </w:rPr>
        <w:t>（一）服务监督</w:t>
      </w:r>
    </w:p>
    <w:p>
      <w:pPr>
        <w:spacing w:line="480" w:lineRule="exact"/>
        <w:ind w:firstLine="480" w:firstLineChars="200"/>
        <w:jc w:val="both"/>
      </w:pPr>
      <w:r>
        <w:rPr>
          <w:rFonts w:hint="eastAsia"/>
        </w:rPr>
        <w:t>1、投标单位应在履行项目过程中，接受招标单位对工作进行抽查。招标单位有权根据招标文件、投标文件及本合同约定的采购标准、采购内容等事项进行抽查，对抽查中发现的问题，要求中标单位进行纠正并追究有关违约责任。</w:t>
      </w:r>
    </w:p>
    <w:p>
      <w:pPr>
        <w:spacing w:line="480" w:lineRule="exact"/>
        <w:ind w:firstLine="480" w:firstLineChars="200"/>
        <w:jc w:val="both"/>
      </w:pPr>
      <w:r>
        <w:rPr>
          <w:rFonts w:hint="eastAsia"/>
        </w:rPr>
        <w:t>2、中标单位应定期向招标单位提交阶段性工作成果</w:t>
      </w:r>
      <w:r>
        <w:rPr>
          <w:rFonts w:hint="eastAsia"/>
          <w:snapToGrid w:val="0"/>
        </w:rPr>
        <w:t>报告和</w:t>
      </w:r>
      <w:r>
        <w:rPr>
          <w:rFonts w:hint="eastAsia"/>
          <w:szCs w:val="21"/>
        </w:rPr>
        <w:t>全部服务成果报告</w:t>
      </w:r>
      <w:r>
        <w:rPr>
          <w:rFonts w:hint="eastAsia"/>
        </w:rPr>
        <w:t>（报告、台账等）。招标单位负责听取中标单位工作成果，并结合抽查记录对服务过程及最终服务效果进行验收，对投标单位的服务情况及成果运用作出履约评价。</w:t>
      </w:r>
    </w:p>
    <w:p>
      <w:pPr>
        <w:spacing w:line="480" w:lineRule="exact"/>
        <w:ind w:firstLine="480" w:firstLineChars="200"/>
        <w:jc w:val="both"/>
      </w:pPr>
      <w:r>
        <w:rPr>
          <w:rFonts w:hint="eastAsia"/>
        </w:rPr>
        <w:t xml:space="preserve">3、由于投标单位原因，造成在合同约定期限内未能完成服务内容、服务内容未达约定标准或者履约评价不合格的，招标单位有权要求投标单位在指定期限内进行整改，直至招标单位验收通过。 </w:t>
      </w:r>
    </w:p>
    <w:p>
      <w:pPr>
        <w:spacing w:line="480" w:lineRule="exact"/>
        <w:ind w:firstLine="480" w:firstLineChars="200"/>
        <w:jc w:val="both"/>
      </w:pPr>
      <w:r>
        <w:rPr>
          <w:rFonts w:hint="eastAsia"/>
        </w:rPr>
        <w:t>（二）项目验收</w:t>
      </w:r>
    </w:p>
    <w:p>
      <w:pPr>
        <w:spacing w:line="480" w:lineRule="exact"/>
        <w:ind w:firstLine="480" w:firstLineChars="200"/>
        <w:jc w:val="both"/>
        <w:rPr>
          <w:u w:val="single"/>
        </w:rPr>
      </w:pPr>
      <w:r>
        <w:rPr>
          <w:rFonts w:hint="eastAsia"/>
        </w:rPr>
        <w:t>1、中标单位应当在合同约定的服务期限内完成项目工作并汇总以下工作成果，向招标单位交付以供验收：</w:t>
      </w:r>
    </w:p>
    <w:p>
      <w:pPr>
        <w:spacing w:line="480" w:lineRule="exact"/>
        <w:ind w:firstLine="480" w:firstLineChars="200"/>
        <w:jc w:val="both"/>
      </w:pPr>
      <w:r>
        <w:rPr>
          <w:rFonts w:hint="eastAsia"/>
        </w:rPr>
        <w:t>（1）工作报告；</w:t>
      </w:r>
    </w:p>
    <w:p>
      <w:pPr>
        <w:spacing w:line="480" w:lineRule="exact"/>
        <w:ind w:firstLine="480" w:firstLineChars="200"/>
        <w:jc w:val="both"/>
      </w:pPr>
      <w:r>
        <w:rPr>
          <w:rFonts w:hint="eastAsia"/>
        </w:rPr>
        <w:t>（2）工作记录(包括但不限于：台账、</w:t>
      </w:r>
      <w:r>
        <w:t>图片</w:t>
      </w:r>
      <w:r>
        <w:rPr>
          <w:rFonts w:hint="eastAsia"/>
        </w:rPr>
        <w:t>等)；</w:t>
      </w:r>
    </w:p>
    <w:p>
      <w:pPr>
        <w:spacing w:line="480" w:lineRule="exact"/>
        <w:ind w:firstLine="480" w:firstLineChars="200"/>
        <w:jc w:val="both"/>
      </w:pPr>
      <w:r>
        <w:rPr>
          <w:rFonts w:hint="eastAsia"/>
        </w:rPr>
        <w:t xml:space="preserve">2、中标单位应当在约定节点将相应工作记录及工作报告等录入深圳市南山区城市建设智能管理平台存档。  </w:t>
      </w:r>
    </w:p>
    <w:p>
      <w:pPr>
        <w:keepNext/>
        <w:keepLines/>
        <w:widowControl w:val="0"/>
        <w:spacing w:before="156" w:beforeLines="50" w:after="156" w:afterLines="50" w:line="480" w:lineRule="exact"/>
        <w:textAlignment w:val="baseline"/>
        <w:outlineLvl w:val="1"/>
        <w:rPr>
          <w:rFonts w:ascii="Times New Roman" w:hAnsi="Times New Roman" w:cs="Times New Roman"/>
          <w:b/>
          <w:bCs/>
          <w:kern w:val="44"/>
          <w:szCs w:val="44"/>
        </w:rPr>
      </w:pPr>
      <w:r>
        <w:rPr>
          <w:rFonts w:hint="eastAsia" w:ascii="Times New Roman" w:hAnsi="Times New Roman" w:cs="Times New Roman"/>
          <w:b/>
          <w:bCs/>
          <w:kern w:val="44"/>
          <w:szCs w:val="44"/>
        </w:rPr>
        <w:t>六、服务费用及支付方式</w:t>
      </w:r>
    </w:p>
    <w:p>
      <w:pPr>
        <w:spacing w:line="480" w:lineRule="exact"/>
        <w:ind w:firstLine="480" w:firstLineChars="200"/>
        <w:jc w:val="both"/>
      </w:pPr>
      <w:r>
        <w:rPr>
          <w:rFonts w:hint="eastAsia"/>
        </w:rPr>
        <w:t>投标单位的投标报价应包括服务成本、法定税费、自身利润以及其他一切不可预见的费用。投标单位根据招标文件所提供的资料自行测算投标报价，一经中标，投标报价总价作为中标单位与招标单位签订的合同服务费用总额；除另有约定外，合同期限内不作调整。招标单位付款前，投标单位均应开具正规发票给到招标单位。除第一期款外，投标单位须向招标单位提供相应工作成果文件；招标单位须提供对投标单位服务的抽查记录，双方上传至深圳市南山区城市建设智能管理平台作为支付证明。本项目服务费用按以下方式支付：</w:t>
      </w:r>
    </w:p>
    <w:p>
      <w:pPr>
        <w:spacing w:line="480" w:lineRule="exact"/>
        <w:ind w:firstLine="480" w:firstLineChars="200"/>
        <w:rPr>
          <w:highlight w:val="none"/>
        </w:rPr>
      </w:pPr>
      <w:r>
        <w:rPr>
          <w:rFonts w:hint="eastAsia"/>
        </w:rPr>
        <w:t>第一期：</w:t>
      </w:r>
      <w:r>
        <w:rPr>
          <w:rFonts w:hint="eastAsia"/>
          <w:u w:val="single"/>
        </w:rPr>
        <w:t>项目合同生效且收到中标单位开具的符合财务要求的发票后10个</w:t>
      </w:r>
      <w:r>
        <w:rPr>
          <w:rFonts w:hint="eastAsia"/>
          <w:highlight w:val="none"/>
          <w:u w:val="single"/>
        </w:rPr>
        <w:t>工作</w:t>
      </w:r>
      <w:r>
        <w:rPr>
          <w:rFonts w:hint="eastAsia"/>
          <w:highlight w:val="none"/>
        </w:rPr>
        <w:t>日内，招标单位向中标单位支付服务费用总额的</w:t>
      </w:r>
      <w:r>
        <w:rPr>
          <w:highlight w:val="none"/>
          <w:u w:val="single"/>
        </w:rPr>
        <w:t>30</w:t>
      </w:r>
      <w:r>
        <w:rPr>
          <w:rFonts w:hint="eastAsia"/>
          <w:highlight w:val="none"/>
        </w:rPr>
        <w:t>%，即人民币</w:t>
      </w:r>
      <w:r>
        <w:rPr>
          <w:rFonts w:hint="eastAsia"/>
          <w:sz w:val="28"/>
          <w:szCs w:val="28"/>
          <w:highlight w:val="none"/>
          <w:u w:val="single"/>
        </w:rPr>
        <w:t xml:space="preserve">      </w:t>
      </w:r>
      <w:r>
        <w:rPr>
          <w:rFonts w:hint="eastAsia"/>
          <w:highlight w:val="none"/>
        </w:rPr>
        <w:t>元整（大写：</w:t>
      </w:r>
      <w:r>
        <w:rPr>
          <w:rFonts w:hint="eastAsia"/>
          <w:sz w:val="28"/>
          <w:szCs w:val="28"/>
          <w:highlight w:val="none"/>
          <w:u w:val="single"/>
        </w:rPr>
        <w:t xml:space="preserve">      </w:t>
      </w:r>
      <w:r>
        <w:rPr>
          <w:rFonts w:hint="eastAsia"/>
          <w:highlight w:val="none"/>
        </w:rPr>
        <w:t>圆整）；</w:t>
      </w:r>
    </w:p>
    <w:p>
      <w:pPr>
        <w:spacing w:line="480" w:lineRule="exact"/>
        <w:ind w:firstLine="480" w:firstLineChars="200"/>
        <w:rPr>
          <w:highlight w:val="none"/>
        </w:rPr>
      </w:pPr>
      <w:r>
        <w:rPr>
          <w:rFonts w:hint="eastAsia"/>
          <w:highlight w:val="none"/>
        </w:rPr>
        <w:t>第二期：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日前，中标单位需累计完成本项目已发生的服务量，招标单位向中标单位支付服务费用总额的</w:t>
      </w:r>
      <w:r>
        <w:rPr>
          <w:highlight w:val="none"/>
          <w:u w:val="single"/>
        </w:rPr>
        <w:t>30</w:t>
      </w:r>
      <w:r>
        <w:rPr>
          <w:rFonts w:hint="eastAsia"/>
          <w:highlight w:val="none"/>
        </w:rPr>
        <w:t>%，即人民币</w:t>
      </w:r>
      <w:r>
        <w:rPr>
          <w:rFonts w:hint="eastAsia"/>
          <w:sz w:val="28"/>
          <w:szCs w:val="28"/>
          <w:highlight w:val="none"/>
          <w:u w:val="single"/>
        </w:rPr>
        <w:t xml:space="preserve">      </w:t>
      </w:r>
      <w:r>
        <w:rPr>
          <w:rFonts w:hint="eastAsia"/>
          <w:highlight w:val="none"/>
        </w:rPr>
        <w:t>元整（大写：</w:t>
      </w:r>
      <w:r>
        <w:rPr>
          <w:rFonts w:hint="eastAsia"/>
          <w:sz w:val="28"/>
          <w:szCs w:val="28"/>
          <w:highlight w:val="none"/>
          <w:u w:val="single"/>
        </w:rPr>
        <w:t xml:space="preserve">      </w:t>
      </w:r>
      <w:r>
        <w:rPr>
          <w:rFonts w:hint="eastAsia"/>
          <w:highlight w:val="none"/>
        </w:rPr>
        <w:t>圆整）；</w:t>
      </w:r>
    </w:p>
    <w:p>
      <w:pPr>
        <w:spacing w:line="480" w:lineRule="exact"/>
        <w:ind w:firstLine="480" w:firstLineChars="200"/>
        <w:jc w:val="both"/>
        <w:rPr>
          <w:highlight w:val="none"/>
        </w:rPr>
      </w:pPr>
      <w:r>
        <w:rPr>
          <w:rFonts w:hint="eastAsia"/>
          <w:highlight w:val="none"/>
        </w:rPr>
        <w:t>第</w:t>
      </w:r>
      <w:r>
        <w:rPr>
          <w:rFonts w:hint="default"/>
          <w:highlight w:val="none"/>
          <w:u w:val="none"/>
        </w:rPr>
        <w:t>三</w:t>
      </w:r>
      <w:r>
        <w:rPr>
          <w:rFonts w:hint="eastAsia"/>
          <w:highlight w:val="none"/>
        </w:rPr>
        <w:t>期：服务期到期后15日内，中标单位完成本项目全部服务量，由招标单位进行验收并进行履约评价。验收通过且履约评价合格的，招标单位在15日内向中标单位支付服务费用总额的</w:t>
      </w:r>
      <w:r>
        <w:rPr>
          <w:highlight w:val="none"/>
          <w:u w:val="single"/>
        </w:rPr>
        <w:t>40</w:t>
      </w:r>
      <w:r>
        <w:rPr>
          <w:rFonts w:hint="eastAsia"/>
          <w:highlight w:val="none"/>
        </w:rPr>
        <w:t>%，即人民币</w:t>
      </w:r>
      <w:r>
        <w:rPr>
          <w:rFonts w:hint="eastAsia"/>
          <w:sz w:val="28"/>
          <w:szCs w:val="28"/>
          <w:highlight w:val="none"/>
          <w:u w:val="single"/>
        </w:rPr>
        <w:t xml:space="preserve">      </w:t>
      </w:r>
      <w:r>
        <w:rPr>
          <w:rFonts w:hint="eastAsia"/>
          <w:highlight w:val="none"/>
        </w:rPr>
        <w:t>元整（大写：</w:t>
      </w:r>
      <w:r>
        <w:rPr>
          <w:rFonts w:hint="eastAsia"/>
          <w:sz w:val="28"/>
          <w:szCs w:val="28"/>
          <w:highlight w:val="none"/>
          <w:u w:val="single"/>
        </w:rPr>
        <w:t xml:space="preserve">      </w:t>
      </w:r>
      <w:r>
        <w:rPr>
          <w:rFonts w:hint="eastAsia"/>
          <w:highlight w:val="none"/>
        </w:rPr>
        <w:t>圆整）。</w:t>
      </w:r>
    </w:p>
    <w:p>
      <w:pPr>
        <w:spacing w:line="480" w:lineRule="exact"/>
        <w:ind w:firstLine="480" w:firstLineChars="200"/>
        <w:jc w:val="both"/>
      </w:pPr>
      <w:r>
        <w:rPr>
          <w:rFonts w:hint="eastAsia"/>
        </w:rPr>
        <w:t>备注：以上金额是中标单位正常履约情况下的支付金额，若履行过程中出现合同所约定违约情形的，当期应付费用须扣除相应违约金后再行支付。</w:t>
      </w:r>
    </w:p>
    <w:p>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七、本项目定标方法</w:t>
      </w:r>
    </w:p>
    <w:p>
      <w:pPr>
        <w:spacing w:line="480" w:lineRule="exact"/>
        <w:ind w:firstLine="480" w:firstLineChars="200"/>
        <w:jc w:val="both"/>
      </w:pPr>
      <w:r>
        <w:rPr>
          <w:rFonts w:hint="eastAsia"/>
        </w:rPr>
        <w:t>采用综合评分法，评标结果按评审后得分由高到低顺序排列。得分相同的，按投标报价由低到高顺序排列。得分且投标报价相同的并列，中标单位的确定由招标单位综合考虑单位实力、服务方案、服务人员等进行选定。</w:t>
      </w:r>
    </w:p>
    <w:p>
      <w:pPr>
        <w:keepNext/>
        <w:keepLines/>
        <w:widowControl w:val="0"/>
        <w:spacing w:before="156" w:beforeLines="50" w:after="156" w:afterLines="50" w:line="480" w:lineRule="exact"/>
        <w:textAlignment w:val="baseline"/>
        <w:outlineLvl w:val="1"/>
        <w:rPr>
          <w:rFonts w:ascii="Times New Roman" w:hAnsi="Times New Roman" w:cs="Times New Roman"/>
          <w:b/>
          <w:bCs/>
          <w:szCs w:val="20"/>
        </w:rPr>
      </w:pPr>
      <w:r>
        <w:rPr>
          <w:rFonts w:hint="eastAsia" w:ascii="Times New Roman" w:hAnsi="Times New Roman" w:cs="Times New Roman"/>
          <w:b/>
          <w:bCs/>
          <w:szCs w:val="20"/>
        </w:rPr>
        <w:t>八、注意事项</w:t>
      </w:r>
    </w:p>
    <w:p>
      <w:pPr>
        <w:spacing w:line="480" w:lineRule="exact"/>
        <w:ind w:firstLine="480" w:firstLineChars="200"/>
        <w:jc w:val="both"/>
      </w:pPr>
      <w:r>
        <w:rPr>
          <w:rFonts w:hint="eastAsia"/>
        </w:rPr>
        <w:t>1、中标单位不得将项目非法分包或转包给任何单位和个人。否则，招标单位有权解除合同，并要求中标单位赔偿相应损失。</w:t>
      </w:r>
    </w:p>
    <w:p>
      <w:pPr>
        <w:spacing w:line="480" w:lineRule="exact"/>
        <w:ind w:firstLine="480" w:firstLineChars="200"/>
        <w:jc w:val="both"/>
      </w:pPr>
      <w:r>
        <w:rPr>
          <w:rFonts w:hint="eastAsia"/>
        </w:rPr>
        <w:t>2、投标单位若认为招标文件的技术要求或其他要求有倾向性或不公正性，可向招标单位提出解释请求，以维护招标行为的公平、公正。</w:t>
      </w:r>
    </w:p>
    <w:p>
      <w:pPr>
        <w:spacing w:line="480" w:lineRule="exact"/>
        <w:ind w:firstLine="480" w:firstLineChars="200"/>
        <w:jc w:val="both"/>
      </w:pPr>
      <w:r>
        <w:rPr>
          <w:rFonts w:hint="eastAsia"/>
        </w:rPr>
        <w:t>3、投标单位使用的标准必须是国际公认或国家、或地方政府颁布的同等或更高的标准。如投标单位使用的标准低于上述标准，投标单位必须列表将明显的差异详细说明，招标单位有权不予接受。</w:t>
      </w:r>
    </w:p>
    <w:p>
      <w:pPr>
        <w:spacing w:line="480" w:lineRule="exact"/>
        <w:ind w:firstLine="480" w:firstLineChars="200"/>
        <w:jc w:val="both"/>
      </w:pPr>
      <w:r>
        <w:rPr>
          <w:rFonts w:hint="eastAsia"/>
        </w:rPr>
        <w:t>4、投标单位所提交的投标文件对技术参数和各项要求的响应应当列出具体内容。如果投标单位只注明“符合”或“满足”，将被视为“不符合”，并可能严重影响评标结果。</w:t>
      </w:r>
    </w:p>
    <w:p>
      <w:pPr>
        <w:spacing w:line="480" w:lineRule="exact"/>
        <w:ind w:firstLine="480" w:firstLineChars="200"/>
        <w:jc w:val="both"/>
      </w:pPr>
      <w:r>
        <w:rPr>
          <w:rFonts w:hint="eastAsia"/>
        </w:rPr>
        <w:t>5、《深圳经济特区政府采购条例》规定：供应商在政府采购中，未按该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供应商必须诚信投标，对项目需求响应真实性负责。</w:t>
      </w:r>
    </w:p>
    <w:p>
      <w:pPr>
        <w:spacing w:line="480" w:lineRule="exact"/>
        <w:ind w:firstLine="480" w:firstLineChars="200"/>
        <w:jc w:val="both"/>
      </w:pPr>
      <w:r>
        <w:rPr>
          <w:rFonts w:hint="eastAsia"/>
        </w:rPr>
        <w:t>6、对采购文件中描述有歧义或前后不一致的地方，招标单位有权进行评判，但对同一条款的评判应适用于每个投标单位。</w:t>
      </w:r>
    </w:p>
    <w:p>
      <w:pPr>
        <w:spacing w:line="480" w:lineRule="exact"/>
        <w:ind w:firstLine="480" w:firstLineChars="200"/>
        <w:jc w:val="both"/>
      </w:pPr>
      <w:r>
        <w:rPr>
          <w:rFonts w:hint="eastAsia"/>
        </w:rPr>
        <w:t>7、《政府采购货物和服务招标投标管理办法》（财政部令第87号）规定：采购人认为投标单位的报价明显低于其他通过符合性审查投标单位的报价，有可能影响产品质量或者不能诚信履约的，应当要求其在合理的时间内提供书面说明，必要时提交相关证明材料；投标单位不能证明其报价合理性的，采购人应当将其作为无效投标处理。</w:t>
      </w:r>
    </w:p>
    <w:p>
      <w:pPr>
        <w:spacing w:line="480" w:lineRule="exact"/>
        <w:ind w:firstLine="480" w:firstLineChars="200"/>
        <w:jc w:val="both"/>
      </w:pPr>
      <w:r>
        <w:rPr>
          <w:rFonts w:hint="eastAsia"/>
        </w:rPr>
        <w:t>8、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spacing w:line="480" w:lineRule="exact"/>
        <w:ind w:firstLine="480" w:firstLineChars="200"/>
        <w:jc w:val="both"/>
      </w:pPr>
      <w:r>
        <w:rPr>
          <w:rFonts w:hint="eastAsia"/>
        </w:rPr>
        <w:t>9、根据《深圳市建立清理拖欠民营企业中小企业账款长效工作机制方案》和《南山区进一步完善清理拖欠民营企业中小企业账款长效工作机制方案》，要求各采购人应努力避免各类政府采购项目发生新的拖欠民营企业中小企业账款现象。</w:t>
      </w:r>
    </w:p>
    <w:p>
      <w:pPr>
        <w:spacing w:line="480" w:lineRule="exact"/>
        <w:ind w:firstLine="480" w:firstLineChars="200"/>
        <w:jc w:val="both"/>
      </w:pPr>
      <w:r>
        <w:rPr>
          <w:rFonts w:hint="eastAsia"/>
        </w:rPr>
        <w:t>10、根据《关于促进政府采购公平竞争优化营商环境的通知》，招标单位将依法保障各类市场主体平等参与政府采购活动的权利，各投标单位应积极发挥自身优势，参与投标，充分竞争。</w:t>
      </w:r>
    </w:p>
    <w:p>
      <w:pPr>
        <w:spacing w:line="480" w:lineRule="exact"/>
        <w:ind w:firstLine="480" w:firstLineChars="200"/>
        <w:jc w:val="both"/>
      </w:pPr>
      <w:r>
        <w:rPr>
          <w:rFonts w:hint="eastAsia"/>
        </w:rPr>
        <w:t>若通过资格审查的供应商不足3名的，则本项目第一轮招标失败，须以体现充分竞争为目的，降低招标标准（评分因素）进行第二轮招标。</w:t>
      </w:r>
    </w:p>
    <w:p>
      <w:pPr>
        <w:spacing w:line="480" w:lineRule="exact"/>
        <w:ind w:firstLine="480" w:firstLineChars="200"/>
        <w:jc w:val="both"/>
      </w:pPr>
    </w:p>
    <w:p>
      <w:pPr>
        <w:ind w:firstLine="480" w:firstLineChars="200"/>
        <w:jc w:val="center"/>
        <w:rPr>
          <w:rFonts w:ascii="Times New Roman" w:hAnsi="Times New Roman" w:cs="Times New Roman"/>
          <w:b/>
          <w:bCs/>
          <w:kern w:val="44"/>
          <w:sz w:val="32"/>
          <w:szCs w:val="52"/>
          <w:highlight w:val="none"/>
        </w:rPr>
      </w:pPr>
      <w:r>
        <w:rPr>
          <w:rFonts w:hint="eastAsia"/>
        </w:rPr>
        <w:br w:type="page"/>
      </w:r>
      <w:r>
        <w:rPr>
          <w:rFonts w:hint="eastAsia" w:ascii="Times New Roman" w:hAnsi="Times New Roman" w:cs="Times New Roman"/>
          <w:b/>
          <w:bCs/>
          <w:kern w:val="44"/>
          <w:sz w:val="32"/>
          <w:szCs w:val="52"/>
          <w:highlight w:val="none"/>
        </w:rPr>
        <w:t>第三章 定标信息</w:t>
      </w:r>
    </w:p>
    <w:p>
      <w:pPr>
        <w:pStyle w:val="8"/>
      </w:pPr>
    </w:p>
    <w:tbl>
      <w:tblPr>
        <w:tblStyle w:val="18"/>
        <w:tblW w:w="10332" w:type="dxa"/>
        <w:jc w:val="center"/>
        <w:tblCellSpacing w:w="0" w:type="dxa"/>
        <w:tblLayout w:type="fixed"/>
        <w:tblCellMar>
          <w:top w:w="36" w:type="dxa"/>
          <w:left w:w="36" w:type="dxa"/>
          <w:bottom w:w="36" w:type="dxa"/>
          <w:right w:w="36" w:type="dxa"/>
        </w:tblCellMar>
      </w:tblPr>
      <w:tblGrid>
        <w:gridCol w:w="8620"/>
        <w:gridCol w:w="1712"/>
      </w:tblGrid>
      <w:tr>
        <w:tblPrEx>
          <w:tblCellMar>
            <w:top w:w="36" w:type="dxa"/>
            <w:left w:w="36" w:type="dxa"/>
            <w:bottom w:w="36" w:type="dxa"/>
            <w:right w:w="36" w:type="dxa"/>
          </w:tblCellMar>
        </w:tblPrEx>
        <w:trPr>
          <w:tblCellSpacing w:w="0" w:type="dxa"/>
          <w:jc w:val="center"/>
        </w:trPr>
        <w:tc>
          <w:tcPr>
            <w:tcW w:w="8620" w:type="dxa"/>
            <w:tcBorders>
              <w:top w:val="nil"/>
              <w:left w:val="nil"/>
              <w:bottom w:val="nil"/>
              <w:right w:val="nil"/>
            </w:tcBorders>
            <w:vAlign w:val="center"/>
          </w:tcPr>
          <w:p>
            <w:pPr>
              <w:rPr>
                <w:b/>
                <w:bCs/>
              </w:rPr>
            </w:pPr>
            <w:r>
              <w:rPr>
                <w:rFonts w:hint="eastAsia"/>
                <w:b/>
                <w:bCs/>
              </w:rPr>
              <w:t>定</w:t>
            </w:r>
            <w:r>
              <w:rPr>
                <w:b/>
                <w:bCs/>
              </w:rPr>
              <w:t>标方法：综合评分法</w:t>
            </w:r>
          </w:p>
        </w:tc>
        <w:tc>
          <w:tcPr>
            <w:tcW w:w="1712" w:type="dxa"/>
            <w:tcBorders>
              <w:top w:val="nil"/>
              <w:left w:val="nil"/>
              <w:bottom w:val="nil"/>
              <w:right w:val="nil"/>
            </w:tcBorders>
            <w:vAlign w:val="center"/>
          </w:tcPr>
          <w:p>
            <w:pPr>
              <w:jc w:val="right"/>
              <w:rPr>
                <w:b/>
                <w:bCs/>
              </w:rPr>
            </w:pPr>
          </w:p>
        </w:tc>
      </w:tr>
      <w:tr>
        <w:tblPrEx>
          <w:tblCellMar>
            <w:top w:w="36" w:type="dxa"/>
            <w:left w:w="36" w:type="dxa"/>
            <w:bottom w:w="36" w:type="dxa"/>
            <w:right w:w="36" w:type="dxa"/>
          </w:tblCellMar>
        </w:tblPrEx>
        <w:trPr>
          <w:tblCellSpacing w:w="0" w:type="dxa"/>
          <w:jc w:val="center"/>
        </w:trPr>
        <w:tc>
          <w:tcPr>
            <w:tcW w:w="10332" w:type="dxa"/>
            <w:gridSpan w:val="2"/>
            <w:tcBorders>
              <w:top w:val="nil"/>
              <w:left w:val="nil"/>
              <w:bottom w:val="nil"/>
              <w:right w:val="nil"/>
            </w:tcBorders>
            <w:vAlign w:val="center"/>
          </w:tcPr>
          <w:p>
            <w:pPr>
              <w:pStyle w:val="14"/>
              <w:spacing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综合评分法，是指投标文件满足招标文件全部实质性要求，且按照评审因素的量化指标评审得分最高的投标单位为中标候选人的评标方法。 </w:t>
            </w:r>
          </w:p>
          <w:p>
            <w:pPr>
              <w:pStyle w:val="14"/>
              <w:spacing w:beforeAutospacing="0" w:afterAutospacing="0"/>
              <w:ind w:firstLine="420"/>
              <w:rPr>
                <w:sz w:val="21"/>
                <w:szCs w:val="21"/>
              </w:rPr>
            </w:pPr>
            <w:r>
              <w:rPr>
                <w:sz w:val="21"/>
                <w:szCs w:val="21"/>
              </w:rPr>
              <w:t xml:space="preserve">价格分计算方法：采用低价优先法计算，即满足招标文件要求且投标价格最低的投标报价为评标基准价，其价格分为满分。其他投标单位的价格分统一按照下列公式计算： </w:t>
            </w:r>
            <w:r>
              <w:rPr>
                <w:sz w:val="21"/>
                <w:szCs w:val="21"/>
              </w:rPr>
              <w:br w:type="textWrapping"/>
            </w:r>
            <w:r>
              <w:rPr>
                <w:sz w:val="21"/>
                <w:szCs w:val="21"/>
              </w:rPr>
              <w:t>投标报价得分=(评标基准价／投标报价)×</w:t>
            </w:r>
            <w:r>
              <w:rPr>
                <w:rFonts w:hint="eastAsia"/>
                <w:sz w:val="21"/>
                <w:szCs w:val="21"/>
              </w:rPr>
              <w:t>权重</w:t>
            </w:r>
            <w:r>
              <w:rPr>
                <w:sz w:val="21"/>
                <w:szCs w:val="21"/>
              </w:rPr>
              <w:t xml:space="preserve">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tbl>
            <w:tblPr>
              <w:tblStyle w:val="18"/>
              <w:tblW w:w="101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28"/>
              <w:gridCol w:w="432"/>
              <w:gridCol w:w="1694"/>
              <w:gridCol w:w="666"/>
              <w:gridCol w:w="4334"/>
              <w:gridCol w:w="1854"/>
              <w:gridCol w:w="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 w:hRule="atLeast"/>
                <w:jc w:val="center"/>
              </w:trPr>
              <w:tc>
                <w:tcPr>
                  <w:tcW w:w="42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b/>
                      <w:bCs/>
                      <w:sz w:val="21"/>
                      <w:szCs w:val="21"/>
                    </w:rPr>
                  </w:pPr>
                  <w:r>
                    <w:rPr>
                      <w:b/>
                      <w:bCs/>
                      <w:sz w:val="21"/>
                      <w:szCs w:val="21"/>
                    </w:rPr>
                    <w:t>序号</w:t>
                  </w:r>
                </w:p>
              </w:tc>
              <w:tc>
                <w:tcPr>
                  <w:tcW w:w="279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b/>
                      <w:bCs/>
                      <w:sz w:val="21"/>
                      <w:szCs w:val="21"/>
                    </w:rPr>
                  </w:pPr>
                  <w:r>
                    <w:rPr>
                      <w:b/>
                      <w:bCs/>
                      <w:sz w:val="21"/>
                      <w:szCs w:val="21"/>
                    </w:rPr>
                    <w:t>评分项</w:t>
                  </w:r>
                </w:p>
              </w:tc>
              <w:tc>
                <w:tcPr>
                  <w:tcW w:w="433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b/>
                      <w:bCs/>
                      <w:sz w:val="21"/>
                      <w:szCs w:val="21"/>
                    </w:rPr>
                  </w:pPr>
                  <w:r>
                    <w:rPr>
                      <w:b/>
                      <w:bCs/>
                      <w:sz w:val="21"/>
                      <w:szCs w:val="21"/>
                    </w:rPr>
                    <w:t>权重(%)</w:t>
                  </w:r>
                </w:p>
              </w:tc>
              <w:tc>
                <w:tcPr>
                  <w:tcW w:w="185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b/>
                      <w:bCs/>
                      <w:sz w:val="21"/>
                      <w:szCs w:val="21"/>
                    </w:rPr>
                  </w:pPr>
                  <w:r>
                    <w:rPr>
                      <w:rFonts w:hint="eastAsia"/>
                      <w:b/>
                      <w:bCs/>
                      <w:sz w:val="21"/>
                      <w:szCs w:val="21"/>
                    </w:rPr>
                    <w:t>备注</w:t>
                  </w:r>
                </w:p>
              </w:tc>
              <w:tc>
                <w:tcPr>
                  <w:tcW w:w="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b/>
                      <w:bCs/>
                      <w:sz w:val="21"/>
                      <w:szCs w:val="21"/>
                    </w:rPr>
                  </w:pPr>
                  <w:r>
                    <w:rPr>
                      <w:rFonts w:hint="eastAsia"/>
                      <w:b/>
                      <w:bCs/>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59" w:hRule="atLeast"/>
                <w:jc w:val="center"/>
              </w:trPr>
              <w:tc>
                <w:tcPr>
                  <w:tcW w:w="428" w:type="dxa"/>
                  <w:vMerge w:val="restart"/>
                  <w:tcBorders>
                    <w:top w:val="single" w:color="000000" w:sz="8" w:space="0"/>
                    <w:left w:val="single" w:color="000000" w:sz="8" w:space="0"/>
                    <w:right w:val="single" w:color="000000" w:sz="8" w:space="0"/>
                  </w:tcBorders>
                  <w:vAlign w:val="center"/>
                </w:tcPr>
                <w:p>
                  <w:pPr>
                    <w:wordWrap w:val="0"/>
                    <w:jc w:val="center"/>
                    <w:rPr>
                      <w:b/>
                      <w:bCs/>
                    </w:rPr>
                  </w:pPr>
                  <w:r>
                    <w:rPr>
                      <w:rFonts w:hint="eastAsia"/>
                      <w:b/>
                      <w:bCs/>
                    </w:rPr>
                    <w:t>1</w:t>
                  </w:r>
                </w:p>
              </w:tc>
              <w:tc>
                <w:tcPr>
                  <w:tcW w:w="2792"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rFonts w:hint="eastAsia"/>
                      <w:b/>
                      <w:bCs/>
                    </w:rPr>
                    <w:t>价格</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rFonts w:hint="eastAsia"/>
                      <w:b/>
                      <w:bCs/>
                    </w:rPr>
                    <w:t>20</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b/>
                      <w:bCs/>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0" w:hRule="atLeast"/>
                <w:jc w:val="center"/>
              </w:trPr>
              <w:tc>
                <w:tcPr>
                  <w:tcW w:w="428" w:type="dxa"/>
                  <w:vMerge w:val="continue"/>
                  <w:tcBorders>
                    <w:left w:val="single" w:color="000000" w:sz="8" w:space="0"/>
                    <w:right w:val="single" w:color="000000" w:sz="8" w:space="0"/>
                  </w:tcBorders>
                  <w:shd w:val="clear" w:color="auto" w:fill="E6EFFA"/>
                  <w:vAlign w:val="center"/>
                </w:tcPr>
                <w:p>
                  <w:pPr>
                    <w:jc w:val="center"/>
                    <w:rPr>
                      <w:b/>
                      <w:bCs/>
                    </w:rPr>
                  </w:pPr>
                </w:p>
              </w:tc>
              <w:tc>
                <w:tcPr>
                  <w:tcW w:w="43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序号</w:t>
                  </w:r>
                </w:p>
              </w:tc>
              <w:tc>
                <w:tcPr>
                  <w:tcW w:w="169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总分</w:t>
                  </w:r>
                </w:p>
              </w:tc>
              <w:tc>
                <w:tcPr>
                  <w:tcW w:w="433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评分准则</w:t>
                  </w:r>
                </w:p>
              </w:tc>
              <w:tc>
                <w:tcPr>
                  <w:tcW w:w="185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sz w:val="21"/>
                      <w:szCs w:val="21"/>
                    </w:rPr>
                  </w:pPr>
                  <w:r>
                    <w:rPr>
                      <w:rFonts w:hint="eastAsia"/>
                      <w:sz w:val="21"/>
                      <w:szCs w:val="21"/>
                    </w:rPr>
                    <w:t>备注</w:t>
                  </w:r>
                </w:p>
              </w:tc>
              <w:tc>
                <w:tcPr>
                  <w:tcW w:w="7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1</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i/>
                      <w:iCs/>
                      <w:sz w:val="21"/>
                      <w:szCs w:val="21"/>
                      <w:u w:val="single"/>
                    </w:rPr>
                  </w:pPr>
                  <w:r>
                    <w:rPr>
                      <w:rFonts w:hint="eastAsia"/>
                      <w:i/>
                      <w:iCs/>
                      <w:sz w:val="21"/>
                      <w:szCs w:val="21"/>
                      <w:u w:val="single"/>
                    </w:rPr>
                    <w:t>报价金额</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20</w:t>
                  </w:r>
                </w:p>
              </w:tc>
              <w:tc>
                <w:tcPr>
                  <w:tcW w:w="4334" w:type="dxa"/>
                  <w:tcBorders>
                    <w:top w:val="single" w:color="000000" w:sz="8" w:space="0"/>
                    <w:left w:val="single" w:color="000000" w:sz="8" w:space="0"/>
                    <w:bottom w:val="single" w:color="000000" w:sz="8" w:space="0"/>
                    <w:right w:val="single" w:color="000000" w:sz="8" w:space="0"/>
                  </w:tcBorders>
                  <w:vAlign w:val="center"/>
                </w:tcPr>
                <w:p>
                  <w:pPr>
                    <w:jc w:val="center"/>
                    <w:rPr>
                      <w:sz w:val="21"/>
                      <w:szCs w:val="21"/>
                    </w:rPr>
                  </w:pPr>
                  <w:r>
                    <w:rPr>
                      <w:sz w:val="21"/>
                      <w:szCs w:val="21"/>
                    </w:rPr>
                    <w:t>得分=评标基准价</w:t>
                  </w:r>
                  <w:r>
                    <w:rPr>
                      <w:rFonts w:hint="eastAsia"/>
                      <w:sz w:val="21"/>
                      <w:szCs w:val="21"/>
                    </w:rPr>
                    <w:t>÷</w:t>
                  </w:r>
                  <w:r>
                    <w:rPr>
                      <w:sz w:val="21"/>
                      <w:szCs w:val="21"/>
                    </w:rPr>
                    <w:t>投标报价×20</w:t>
                  </w:r>
                </w:p>
              </w:tc>
              <w:tc>
                <w:tcPr>
                  <w:tcW w:w="1854" w:type="dxa"/>
                  <w:tcBorders>
                    <w:top w:val="single" w:color="000000" w:sz="8" w:space="0"/>
                    <w:left w:val="single" w:color="000000" w:sz="8" w:space="0"/>
                    <w:bottom w:val="single" w:color="000000" w:sz="8" w:space="0"/>
                    <w:right w:val="single" w:color="000000" w:sz="8" w:space="0"/>
                  </w:tcBorders>
                  <w:vAlign w:val="center"/>
                </w:tcPr>
                <w:p>
                  <w:pPr>
                    <w:rPr>
                      <w:sz w:val="21"/>
                      <w:szCs w:val="21"/>
                    </w:rPr>
                  </w:pPr>
                  <w:r>
                    <w:rPr>
                      <w:sz w:val="21"/>
                      <w:szCs w:val="21"/>
                    </w:rPr>
                    <w:t>评标基准价</w:t>
                  </w:r>
                  <w:r>
                    <w:rPr>
                      <w:rFonts w:hint="eastAsia"/>
                      <w:sz w:val="21"/>
                      <w:szCs w:val="21"/>
                    </w:rPr>
                    <w:t>为投标最低报价</w:t>
                  </w:r>
                </w:p>
              </w:tc>
              <w:tc>
                <w:tcPr>
                  <w:tcW w:w="704" w:type="dxa"/>
                  <w:tcBorders>
                    <w:top w:val="single" w:color="000000" w:sz="8" w:space="0"/>
                    <w:left w:val="single" w:color="000000" w:sz="8" w:space="0"/>
                    <w:bottom w:val="single" w:color="000000" w:sz="8" w:space="0"/>
                    <w:right w:val="single" w:color="000000" w:sz="8" w:space="0"/>
                  </w:tcBorders>
                  <w:vAlign w:val="center"/>
                </w:tcPr>
                <w:p>
                  <w:pPr>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428" w:type="dxa"/>
                  <w:vMerge w:val="restart"/>
                  <w:tcBorders>
                    <w:top w:val="single" w:color="000000" w:sz="8" w:space="0"/>
                    <w:left w:val="single" w:color="000000" w:sz="8" w:space="0"/>
                    <w:right w:val="single" w:color="000000" w:sz="8" w:space="0"/>
                  </w:tcBorders>
                  <w:vAlign w:val="center"/>
                </w:tcPr>
                <w:p>
                  <w:pPr>
                    <w:wordWrap w:val="0"/>
                    <w:jc w:val="center"/>
                    <w:rPr>
                      <w:b/>
                      <w:bCs/>
                    </w:rPr>
                  </w:pPr>
                  <w:r>
                    <w:rPr>
                      <w:b/>
                      <w:bCs/>
                    </w:rPr>
                    <w:t>2</w:t>
                  </w:r>
                </w:p>
              </w:tc>
              <w:tc>
                <w:tcPr>
                  <w:tcW w:w="2792"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b/>
                      <w:bCs/>
                    </w:rPr>
                    <w:t>综合实力</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b/>
                      <w:bCs/>
                      <w:lang w:val="en-US" w:eastAsia="zh-CN"/>
                    </w:rPr>
                  </w:pPr>
                  <w:r>
                    <w:rPr>
                      <w:rFonts w:hint="eastAsia"/>
                      <w:b/>
                      <w:bCs/>
                      <w:lang w:val="en-US" w:eastAsia="zh-CN"/>
                    </w:rPr>
                    <w:t>30</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b/>
                      <w:bCs/>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0" w:hRule="atLeast"/>
                <w:jc w:val="center"/>
              </w:trPr>
              <w:tc>
                <w:tcPr>
                  <w:tcW w:w="428" w:type="dxa"/>
                  <w:vMerge w:val="continue"/>
                  <w:tcBorders>
                    <w:left w:val="single" w:color="000000" w:sz="8" w:space="0"/>
                    <w:right w:val="single" w:color="000000" w:sz="8" w:space="0"/>
                  </w:tcBorders>
                  <w:shd w:val="clear" w:color="auto" w:fill="E6EFFA"/>
                  <w:vAlign w:val="center"/>
                </w:tcPr>
                <w:p>
                  <w:pPr>
                    <w:jc w:val="center"/>
                    <w:rPr>
                      <w:b/>
                      <w:bCs/>
                    </w:rPr>
                  </w:pPr>
                </w:p>
              </w:tc>
              <w:tc>
                <w:tcPr>
                  <w:tcW w:w="43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序号</w:t>
                  </w:r>
                </w:p>
              </w:tc>
              <w:tc>
                <w:tcPr>
                  <w:tcW w:w="169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总分</w:t>
                  </w:r>
                </w:p>
              </w:tc>
              <w:tc>
                <w:tcPr>
                  <w:tcW w:w="433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评分准则</w:t>
                  </w:r>
                </w:p>
              </w:tc>
              <w:tc>
                <w:tcPr>
                  <w:tcW w:w="185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sz w:val="21"/>
                      <w:szCs w:val="21"/>
                    </w:rPr>
                  </w:pPr>
                  <w:r>
                    <w:rPr>
                      <w:rFonts w:hint="eastAsia"/>
                      <w:sz w:val="21"/>
                      <w:szCs w:val="21"/>
                    </w:rPr>
                    <w:t>备注</w:t>
                  </w:r>
                </w:p>
              </w:tc>
              <w:tc>
                <w:tcPr>
                  <w:tcW w:w="7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2"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1</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i/>
                      <w:iCs/>
                      <w:sz w:val="21"/>
                      <w:szCs w:val="21"/>
                      <w:u w:val="single"/>
                    </w:rPr>
                  </w:pPr>
                  <w:r>
                    <w:rPr>
                      <w:rFonts w:hint="eastAsia"/>
                      <w:i/>
                      <w:iCs/>
                      <w:sz w:val="21"/>
                      <w:szCs w:val="21"/>
                      <w:u w:val="single"/>
                    </w:rPr>
                    <w:t>投标单位</w:t>
                  </w:r>
                  <w:r>
                    <w:rPr>
                      <w:i/>
                      <w:iCs/>
                      <w:sz w:val="21"/>
                      <w:szCs w:val="21"/>
                      <w:u w:val="single"/>
                    </w:rPr>
                    <w:t>同类项目业绩情况</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sz w:val="21"/>
                      <w:szCs w:val="21"/>
                      <w:lang w:val="en-US" w:eastAsia="zh-CN"/>
                    </w:rPr>
                  </w:pPr>
                  <w:r>
                    <w:rPr>
                      <w:rFonts w:hint="eastAsia"/>
                      <w:sz w:val="21"/>
                      <w:szCs w:val="21"/>
                      <w:lang w:val="en-US" w:eastAsia="zh-CN"/>
                    </w:rPr>
                    <w:t>15</w:t>
                  </w:r>
                </w:p>
              </w:tc>
              <w:tc>
                <w:tcPr>
                  <w:tcW w:w="4334" w:type="dxa"/>
                  <w:tcBorders>
                    <w:top w:val="single" w:color="000000" w:sz="8" w:space="0"/>
                    <w:left w:val="single" w:color="000000" w:sz="8" w:space="0"/>
                    <w:bottom w:val="single" w:color="000000" w:sz="8" w:space="0"/>
                    <w:right w:val="single" w:color="000000" w:sz="8" w:space="0"/>
                  </w:tcBorders>
                  <w:vAlign w:val="center"/>
                </w:tcPr>
                <w:p>
                  <w:pPr>
                    <w:spacing w:line="276" w:lineRule="auto"/>
                    <w:jc w:val="both"/>
                    <w:rPr>
                      <w:rFonts w:hint="default" w:eastAsia="宋体"/>
                      <w:b/>
                      <w:bCs/>
                      <w:sz w:val="21"/>
                      <w:szCs w:val="21"/>
                      <w:lang w:val="en-US" w:eastAsia="zh-CN"/>
                    </w:rPr>
                  </w:pPr>
                  <w:r>
                    <w:rPr>
                      <w:rFonts w:hint="eastAsia"/>
                      <w:b/>
                      <w:bCs/>
                      <w:sz w:val="21"/>
                      <w:szCs w:val="21"/>
                      <w:lang w:val="en-US" w:eastAsia="zh-CN"/>
                    </w:rPr>
                    <w:t>（一）评分内容：</w:t>
                  </w:r>
                </w:p>
                <w:p>
                  <w:pPr>
                    <w:spacing w:line="276" w:lineRule="auto"/>
                    <w:jc w:val="both"/>
                    <w:rPr>
                      <w:rFonts w:hint="default" w:eastAsia="宋体"/>
                      <w:sz w:val="21"/>
                      <w:szCs w:val="21"/>
                      <w:lang w:val="en-US" w:eastAsia="zh-CN"/>
                    </w:rPr>
                  </w:pPr>
                  <w:r>
                    <w:rPr>
                      <w:rFonts w:hint="eastAsia"/>
                      <w:sz w:val="21"/>
                      <w:szCs w:val="21"/>
                      <w:lang w:val="en-US" w:eastAsia="zh-CN"/>
                    </w:rPr>
                    <w:t>1.</w:t>
                  </w:r>
                  <w:r>
                    <w:rPr>
                      <w:rFonts w:hint="eastAsia"/>
                      <w:sz w:val="21"/>
                      <w:szCs w:val="21"/>
                    </w:rPr>
                    <w:t>投标人近</w:t>
                  </w:r>
                  <w:r>
                    <w:rPr>
                      <w:rFonts w:hint="eastAsia"/>
                      <w:sz w:val="21"/>
                      <w:szCs w:val="21"/>
                      <w:lang w:val="en-US" w:eastAsia="zh-CN"/>
                    </w:rPr>
                    <w:t>五年（2019年1月1日-2023年12月31日，</w:t>
                  </w:r>
                  <w:r>
                    <w:rPr>
                      <w:rFonts w:hint="eastAsia"/>
                      <w:sz w:val="21"/>
                      <w:szCs w:val="21"/>
                    </w:rPr>
                    <w:t>以合同签订日期为准。预选供应商合同以合同服务期限为准</w:t>
                  </w:r>
                  <w:r>
                    <w:rPr>
                      <w:rFonts w:hint="eastAsia"/>
                      <w:sz w:val="21"/>
                      <w:szCs w:val="21"/>
                      <w:lang w:val="en-US" w:eastAsia="zh-CN"/>
                    </w:rPr>
                    <w:t>）具有政府机关或事业单位的预算绩效管理工作经验</w:t>
                  </w:r>
                  <w:r>
                    <w:rPr>
                      <w:rFonts w:hint="eastAsia"/>
                      <w:sz w:val="21"/>
                      <w:szCs w:val="21"/>
                      <w:lang w:eastAsia="zh-CN"/>
                    </w:rPr>
                    <w:t>，</w:t>
                  </w:r>
                  <w:r>
                    <w:rPr>
                      <w:rFonts w:hint="eastAsia"/>
                      <w:sz w:val="21"/>
                      <w:szCs w:val="21"/>
                      <w:lang w:val="en-US" w:eastAsia="zh-CN"/>
                    </w:rPr>
                    <w:t>或具备政府机关或事业单位或企业的财务监督检查或财务审计（含专项审计）工作经验，每提供1个案例得2分，此项最高得15分，</w:t>
                  </w:r>
                  <w:r>
                    <w:rPr>
                      <w:rFonts w:hint="eastAsia"/>
                      <w:sz w:val="21"/>
                      <w:szCs w:val="21"/>
                    </w:rPr>
                    <w:t>同一单位同一年度服务多次，不重复计分。</w:t>
                  </w:r>
                </w:p>
                <w:p>
                  <w:pPr>
                    <w:spacing w:line="276" w:lineRule="auto"/>
                    <w:jc w:val="both"/>
                    <w:rPr>
                      <w:b/>
                      <w:sz w:val="21"/>
                      <w:szCs w:val="21"/>
                    </w:rPr>
                  </w:pPr>
                  <w:r>
                    <w:rPr>
                      <w:rFonts w:hint="eastAsia"/>
                      <w:b/>
                      <w:sz w:val="21"/>
                      <w:szCs w:val="21"/>
                      <w:lang w:val="en-US" w:eastAsia="zh-CN"/>
                    </w:rPr>
                    <w:t>（二）评分标准及依据</w:t>
                  </w:r>
                  <w:r>
                    <w:rPr>
                      <w:rFonts w:hint="eastAsia"/>
                      <w:b/>
                      <w:sz w:val="21"/>
                      <w:szCs w:val="21"/>
                    </w:rPr>
                    <w:t>：</w:t>
                  </w:r>
                </w:p>
                <w:p>
                  <w:pPr>
                    <w:spacing w:line="276" w:lineRule="auto"/>
                    <w:jc w:val="both"/>
                    <w:rPr>
                      <w:sz w:val="21"/>
                      <w:szCs w:val="21"/>
                    </w:rPr>
                  </w:pPr>
                  <w:r>
                    <w:rPr>
                      <w:rFonts w:hint="eastAsia"/>
                      <w:sz w:val="21"/>
                      <w:szCs w:val="21"/>
                      <w:lang w:val="en-US" w:eastAsia="zh-CN"/>
                    </w:rPr>
                    <w:t>1.</w:t>
                  </w:r>
                  <w:r>
                    <w:rPr>
                      <w:rFonts w:hint="eastAsia"/>
                      <w:sz w:val="21"/>
                      <w:szCs w:val="21"/>
                    </w:rPr>
                    <w:t>要求同时提供合同关键信息（通过合同关键信息无法判断是否得分的，也可以提供能证明得分的其它证明资料，如项目报告或合同甲方出具的证明文件等，要求提供复印件并加盖投标人公章，原件中标备查）作为得分依据。</w:t>
                  </w:r>
                </w:p>
                <w:p>
                  <w:pPr>
                    <w:wordWrap w:val="0"/>
                    <w:jc w:val="both"/>
                    <w:rPr>
                      <w:sz w:val="21"/>
                      <w:szCs w:val="21"/>
                    </w:rPr>
                  </w:pPr>
                  <w:r>
                    <w:rPr>
                      <w:rFonts w:hint="eastAsia"/>
                      <w:sz w:val="21"/>
                      <w:szCs w:val="21"/>
                      <w:lang w:val="en-US" w:eastAsia="zh-CN"/>
                    </w:rPr>
                    <w:t>2.</w:t>
                  </w:r>
                  <w:r>
                    <w:rPr>
                      <w:rFonts w:hint="eastAsia"/>
                      <w:sz w:val="21"/>
                      <w:szCs w:val="21"/>
                    </w:rPr>
                    <w:t>评分中出现无证明资料或专家无法凭所提供资料判断是否得分的情况，一律作不得分处理。</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r>
                    <w:rPr>
                      <w:rFonts w:hint="eastAsia"/>
                      <w:sz w:val="21"/>
                      <w:szCs w:val="21"/>
                    </w:rPr>
                    <w:t>需提供相关合同复印件</w:t>
                  </w: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74"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2</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i/>
                      <w:iCs/>
                      <w:sz w:val="21"/>
                      <w:szCs w:val="21"/>
                      <w:u w:val="single"/>
                    </w:rPr>
                  </w:pPr>
                  <w:r>
                    <w:rPr>
                      <w:rFonts w:hint="eastAsia"/>
                      <w:i/>
                      <w:iCs/>
                      <w:sz w:val="21"/>
                      <w:szCs w:val="21"/>
                      <w:u w:val="single"/>
                    </w:rPr>
                    <w:t>过往</w:t>
                  </w:r>
                  <w:r>
                    <w:rPr>
                      <w:i/>
                      <w:iCs/>
                      <w:sz w:val="21"/>
                      <w:szCs w:val="21"/>
                      <w:u w:val="single"/>
                    </w:rPr>
                    <w:t>履约评价</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eastAsia="宋体"/>
                      <w:sz w:val="21"/>
                      <w:szCs w:val="21"/>
                      <w:lang w:eastAsia="zh-CN"/>
                    </w:rPr>
                  </w:pPr>
                  <w:r>
                    <w:rPr>
                      <w:rFonts w:hint="eastAsia"/>
                      <w:sz w:val="21"/>
                      <w:szCs w:val="21"/>
                      <w:lang w:val="en-US" w:eastAsia="zh-CN"/>
                    </w:rPr>
                    <w:t>5</w:t>
                  </w:r>
                </w:p>
              </w:tc>
              <w:tc>
                <w:tcPr>
                  <w:tcW w:w="4334" w:type="dxa"/>
                  <w:tcBorders>
                    <w:top w:val="single" w:color="000000" w:sz="8" w:space="0"/>
                    <w:left w:val="single" w:color="000000" w:sz="8" w:space="0"/>
                    <w:bottom w:val="single" w:color="000000" w:sz="8" w:space="0"/>
                    <w:right w:val="single" w:color="000000" w:sz="8" w:space="0"/>
                  </w:tcBorders>
                  <w:vAlign w:val="center"/>
                </w:tcPr>
                <w:p>
                  <w:pPr>
                    <w:spacing w:line="276" w:lineRule="auto"/>
                    <w:jc w:val="both"/>
                    <w:rPr>
                      <w:rFonts w:hint="default"/>
                      <w:b/>
                      <w:bCs/>
                      <w:sz w:val="21"/>
                      <w:szCs w:val="21"/>
                      <w:lang w:val="en-US" w:eastAsia="zh-CN"/>
                    </w:rPr>
                  </w:pPr>
                  <w:r>
                    <w:rPr>
                      <w:rFonts w:hint="eastAsia"/>
                      <w:b/>
                      <w:bCs/>
                      <w:sz w:val="21"/>
                      <w:szCs w:val="21"/>
                      <w:lang w:val="en-US" w:eastAsia="zh-CN"/>
                    </w:rPr>
                    <w:t>（一）评分内容</w:t>
                  </w:r>
                </w:p>
                <w:p>
                  <w:pPr>
                    <w:spacing w:line="276" w:lineRule="auto"/>
                    <w:jc w:val="both"/>
                    <w:rPr>
                      <w:rFonts w:hint="eastAsia"/>
                      <w:sz w:val="21"/>
                      <w:szCs w:val="21"/>
                      <w:lang w:val="en-US" w:eastAsia="zh-CN"/>
                    </w:rPr>
                  </w:pPr>
                  <w:r>
                    <w:rPr>
                      <w:rFonts w:hint="eastAsia"/>
                      <w:sz w:val="21"/>
                      <w:szCs w:val="21"/>
                      <w:lang w:val="en-US" w:eastAsia="zh-CN"/>
                    </w:rPr>
                    <w:t>投标人</w:t>
                  </w:r>
                  <w:r>
                    <w:rPr>
                      <w:rFonts w:hint="eastAsia"/>
                      <w:sz w:val="21"/>
                      <w:szCs w:val="21"/>
                    </w:rPr>
                    <w:t>近</w:t>
                  </w:r>
                  <w:r>
                    <w:rPr>
                      <w:rFonts w:hint="eastAsia"/>
                      <w:sz w:val="21"/>
                      <w:szCs w:val="21"/>
                      <w:lang w:val="en-US" w:eastAsia="zh-CN"/>
                    </w:rPr>
                    <w:t>五</w:t>
                  </w:r>
                  <w:r>
                    <w:rPr>
                      <w:rFonts w:hint="eastAsia"/>
                      <w:sz w:val="21"/>
                      <w:szCs w:val="21"/>
                    </w:rPr>
                    <w:t>年</w:t>
                  </w:r>
                  <w:r>
                    <w:rPr>
                      <w:rFonts w:hint="eastAsia"/>
                      <w:sz w:val="21"/>
                      <w:szCs w:val="21"/>
                      <w:highlight w:val="none"/>
                    </w:rPr>
                    <w:t>（20</w:t>
                  </w:r>
                  <w:r>
                    <w:rPr>
                      <w:rFonts w:hint="eastAsia"/>
                      <w:sz w:val="21"/>
                      <w:szCs w:val="21"/>
                      <w:highlight w:val="none"/>
                      <w:lang w:val="en-US" w:eastAsia="zh-CN"/>
                    </w:rPr>
                    <w:t>19</w:t>
                  </w:r>
                  <w:r>
                    <w:rPr>
                      <w:rFonts w:hint="eastAsia"/>
                      <w:sz w:val="21"/>
                      <w:szCs w:val="21"/>
                      <w:highlight w:val="none"/>
                    </w:rPr>
                    <w:t>年1月1日-2023年12月31日，以合同签订日期为准。预</w:t>
                  </w:r>
                  <w:r>
                    <w:rPr>
                      <w:rFonts w:hint="eastAsia"/>
                      <w:sz w:val="21"/>
                      <w:szCs w:val="21"/>
                    </w:rPr>
                    <w:t>选供应商合同以合同服务期限为准）为政府机关</w:t>
                  </w:r>
                  <w:r>
                    <w:rPr>
                      <w:rFonts w:hint="eastAsia"/>
                      <w:sz w:val="21"/>
                      <w:szCs w:val="21"/>
                      <w:lang w:eastAsia="zh-CN"/>
                    </w:rPr>
                    <w:t>、</w:t>
                  </w:r>
                  <w:r>
                    <w:rPr>
                      <w:rFonts w:hint="eastAsia"/>
                      <w:sz w:val="21"/>
                      <w:szCs w:val="21"/>
                    </w:rPr>
                    <w:t>事业单位</w:t>
                  </w:r>
                  <w:r>
                    <w:rPr>
                      <w:rFonts w:hint="eastAsia"/>
                      <w:sz w:val="21"/>
                      <w:szCs w:val="21"/>
                      <w:lang w:eastAsia="zh-CN"/>
                    </w:rPr>
                    <w:t>、</w:t>
                  </w:r>
                  <w:r>
                    <w:rPr>
                      <w:rFonts w:hint="eastAsia"/>
                      <w:sz w:val="21"/>
                      <w:szCs w:val="21"/>
                      <w:lang w:val="en-US" w:eastAsia="zh-CN"/>
                    </w:rPr>
                    <w:t>企业</w:t>
                  </w:r>
                  <w:r>
                    <w:rPr>
                      <w:sz w:val="21"/>
                      <w:szCs w:val="21"/>
                    </w:rPr>
                    <w:t>提供过相关</w:t>
                  </w:r>
                  <w:r>
                    <w:rPr>
                      <w:rFonts w:hint="eastAsia"/>
                      <w:sz w:val="21"/>
                      <w:szCs w:val="21"/>
                      <w:lang w:val="en-US" w:eastAsia="zh-CN"/>
                    </w:rPr>
                    <w:t>服务</w:t>
                  </w:r>
                  <w:r>
                    <w:rPr>
                      <w:rFonts w:hint="eastAsia"/>
                      <w:sz w:val="21"/>
                      <w:szCs w:val="21"/>
                    </w:rPr>
                    <w:t>，每提供一个履约评价或者验收报告为优的案例得2分，良好的案例得1分</w:t>
                  </w:r>
                  <w:r>
                    <w:rPr>
                      <w:rFonts w:hint="eastAsia"/>
                      <w:sz w:val="21"/>
                      <w:szCs w:val="21"/>
                      <w:lang w:eastAsia="zh-CN"/>
                    </w:rPr>
                    <w:t>，</w:t>
                  </w:r>
                  <w:r>
                    <w:rPr>
                      <w:rFonts w:hint="eastAsia"/>
                      <w:sz w:val="21"/>
                      <w:szCs w:val="21"/>
                      <w:lang w:val="en-US" w:eastAsia="zh-CN"/>
                    </w:rPr>
                    <w:t>本项最高得5分。</w:t>
                  </w:r>
                </w:p>
                <w:p>
                  <w:pPr>
                    <w:numPr>
                      <w:ilvl w:val="-1"/>
                      <w:numId w:val="0"/>
                    </w:numPr>
                    <w:spacing w:line="276" w:lineRule="auto"/>
                    <w:jc w:val="both"/>
                    <w:rPr>
                      <w:rFonts w:hint="eastAsia"/>
                      <w:b/>
                      <w:bCs/>
                      <w:sz w:val="21"/>
                      <w:szCs w:val="21"/>
                      <w:lang w:val="en-US" w:eastAsia="zh-CN"/>
                    </w:rPr>
                  </w:pPr>
                  <w:r>
                    <w:rPr>
                      <w:rFonts w:hint="eastAsia"/>
                      <w:b/>
                      <w:bCs/>
                      <w:sz w:val="21"/>
                      <w:szCs w:val="21"/>
                      <w:lang w:val="en-US" w:eastAsia="zh-CN"/>
                    </w:rPr>
                    <w:t>（二）评分标准及依据</w:t>
                  </w:r>
                </w:p>
                <w:p>
                  <w:pPr>
                    <w:numPr>
                      <w:ilvl w:val="-1"/>
                      <w:numId w:val="0"/>
                    </w:numPr>
                    <w:spacing w:line="276" w:lineRule="auto"/>
                    <w:jc w:val="both"/>
                    <w:rPr>
                      <w:sz w:val="21"/>
                      <w:szCs w:val="21"/>
                    </w:rPr>
                  </w:pPr>
                  <w:r>
                    <w:rPr>
                      <w:rFonts w:hint="eastAsia"/>
                      <w:sz w:val="21"/>
                      <w:szCs w:val="21"/>
                      <w:lang w:val="en-US" w:eastAsia="zh-CN"/>
                    </w:rPr>
                    <w:t>要求提供委托方加盖公章的履约评价或者项目验收报告复印件作为得分依据。</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r>
                    <w:rPr>
                      <w:rFonts w:hint="eastAsia"/>
                      <w:sz w:val="21"/>
                      <w:szCs w:val="21"/>
                    </w:rPr>
                    <w:t>需提供履约评价</w:t>
                  </w:r>
                  <w:r>
                    <w:rPr>
                      <w:rFonts w:hint="eastAsia"/>
                      <w:sz w:val="21"/>
                      <w:szCs w:val="21"/>
                      <w:lang w:val="en-US" w:eastAsia="zh-CN"/>
                    </w:rPr>
                    <w:t>或验收报告</w:t>
                  </w:r>
                  <w:r>
                    <w:rPr>
                      <w:rFonts w:hint="eastAsia"/>
                      <w:sz w:val="21"/>
                      <w:szCs w:val="21"/>
                    </w:rPr>
                    <w:t>复印件</w:t>
                  </w: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right w:val="single" w:color="000000" w:sz="8" w:space="0"/>
                  </w:tcBorders>
                  <w:vAlign w:val="center"/>
                </w:tcPr>
                <w:p>
                  <w:pPr>
                    <w:wordWrap w:val="0"/>
                    <w:jc w:val="center"/>
                    <w:rPr>
                      <w:sz w:val="21"/>
                      <w:szCs w:val="21"/>
                    </w:rPr>
                  </w:pPr>
                  <w:r>
                    <w:rPr>
                      <w:rFonts w:hint="eastAsia"/>
                      <w:sz w:val="21"/>
                      <w:szCs w:val="21"/>
                    </w:rPr>
                    <w:t>3</w:t>
                  </w:r>
                </w:p>
              </w:tc>
              <w:tc>
                <w:tcPr>
                  <w:tcW w:w="1694" w:type="dxa"/>
                  <w:tcBorders>
                    <w:top w:val="single" w:color="000000" w:sz="8" w:space="0"/>
                    <w:left w:val="single" w:color="000000" w:sz="8" w:space="0"/>
                    <w:right w:val="single" w:color="000000" w:sz="8" w:space="0"/>
                  </w:tcBorders>
                  <w:vAlign w:val="center"/>
                </w:tcPr>
                <w:p>
                  <w:pPr>
                    <w:wordWrap w:val="0"/>
                    <w:jc w:val="center"/>
                    <w:rPr>
                      <w:i/>
                      <w:iCs/>
                      <w:sz w:val="21"/>
                      <w:szCs w:val="21"/>
                      <w:u w:val="single"/>
                    </w:rPr>
                  </w:pPr>
                  <w:r>
                    <w:rPr>
                      <w:rFonts w:hint="eastAsia"/>
                      <w:i/>
                      <w:iCs/>
                      <w:sz w:val="21"/>
                      <w:szCs w:val="21"/>
                      <w:u w:val="single"/>
                      <w:lang w:bidi="ar"/>
                    </w:rPr>
                    <w:t>投标人</w:t>
                  </w:r>
                  <w:r>
                    <w:rPr>
                      <w:rFonts w:hint="eastAsia"/>
                      <w:i/>
                      <w:iCs/>
                      <w:sz w:val="21"/>
                      <w:szCs w:val="21"/>
                      <w:u w:val="single"/>
                      <w:lang w:val="en-US" w:eastAsia="zh-CN" w:bidi="ar"/>
                    </w:rPr>
                    <w:t>综合实力</w:t>
                  </w:r>
                </w:p>
              </w:tc>
              <w:tc>
                <w:tcPr>
                  <w:tcW w:w="666" w:type="dxa"/>
                  <w:tcBorders>
                    <w:top w:val="single" w:color="000000" w:sz="8" w:space="0"/>
                    <w:left w:val="single" w:color="000000" w:sz="8" w:space="0"/>
                    <w:right w:val="single" w:color="000000" w:sz="8" w:space="0"/>
                  </w:tcBorders>
                  <w:vAlign w:val="center"/>
                </w:tcPr>
                <w:p>
                  <w:pPr>
                    <w:wordWrap w:val="0"/>
                    <w:jc w:val="center"/>
                    <w:rPr>
                      <w:rFonts w:hint="eastAsia" w:eastAsia="宋体"/>
                      <w:sz w:val="21"/>
                      <w:szCs w:val="21"/>
                      <w:lang w:eastAsia="zh-CN"/>
                    </w:rPr>
                  </w:pPr>
                  <w:r>
                    <w:rPr>
                      <w:rFonts w:hint="eastAsia"/>
                      <w:sz w:val="21"/>
                      <w:szCs w:val="21"/>
                      <w:lang w:val="en-US" w:eastAsia="zh-CN"/>
                    </w:rPr>
                    <w:t>5</w:t>
                  </w:r>
                </w:p>
              </w:tc>
              <w:tc>
                <w:tcPr>
                  <w:tcW w:w="4334" w:type="dxa"/>
                  <w:tcBorders>
                    <w:top w:val="single" w:color="000000" w:sz="8" w:space="0"/>
                    <w:left w:val="single" w:color="000000" w:sz="8" w:space="0"/>
                    <w:right w:val="single" w:color="000000" w:sz="8" w:space="0"/>
                  </w:tcBorders>
                  <w:vAlign w:val="center"/>
                </w:tcPr>
                <w:p>
                  <w:pPr>
                    <w:jc w:val="both"/>
                    <w:rPr>
                      <w:rFonts w:hint="eastAsia"/>
                      <w:b w:val="0"/>
                      <w:bCs w:val="0"/>
                      <w:sz w:val="21"/>
                      <w:szCs w:val="21"/>
                    </w:rPr>
                  </w:pPr>
                  <w:r>
                    <w:rPr>
                      <w:rFonts w:hint="eastAsia"/>
                      <w:b/>
                      <w:bCs/>
                      <w:sz w:val="21"/>
                      <w:szCs w:val="21"/>
                      <w:lang w:val="en-US" w:eastAsia="zh-CN"/>
                    </w:rPr>
                    <w:t>（一）评分内容</w:t>
                  </w:r>
                </w:p>
                <w:p>
                  <w:pPr>
                    <w:jc w:val="both"/>
                    <w:rPr>
                      <w:rFonts w:hint="eastAsia"/>
                      <w:b w:val="0"/>
                      <w:bCs w:val="0"/>
                      <w:sz w:val="21"/>
                      <w:szCs w:val="21"/>
                    </w:rPr>
                  </w:pPr>
                  <w:r>
                    <w:rPr>
                      <w:rFonts w:hint="eastAsia"/>
                      <w:b w:val="0"/>
                      <w:bCs w:val="0"/>
                      <w:sz w:val="21"/>
                      <w:szCs w:val="21"/>
                    </w:rPr>
                    <w:t>1.具有</w:t>
                  </w:r>
                  <w:r>
                    <w:rPr>
                      <w:rFonts w:hint="eastAsia"/>
                      <w:b w:val="0"/>
                      <w:bCs w:val="0"/>
                      <w:sz w:val="21"/>
                      <w:szCs w:val="21"/>
                      <w:lang w:val="en-US" w:eastAsia="zh-CN"/>
                    </w:rPr>
                    <w:t>预算绩效管理</w:t>
                  </w:r>
                  <w:r>
                    <w:rPr>
                      <w:rFonts w:hint="eastAsia"/>
                      <w:b w:val="0"/>
                      <w:bCs w:val="0"/>
                      <w:sz w:val="21"/>
                      <w:szCs w:val="21"/>
                    </w:rPr>
                    <w:t>相关自主知识产权（包括软件著作权、商标权等）的，得3分；</w:t>
                  </w:r>
                </w:p>
                <w:p>
                  <w:pPr>
                    <w:jc w:val="both"/>
                    <w:rPr>
                      <w:rFonts w:hint="eastAsia"/>
                      <w:b w:val="0"/>
                      <w:bCs w:val="0"/>
                      <w:sz w:val="21"/>
                      <w:szCs w:val="21"/>
                    </w:rPr>
                  </w:pPr>
                  <w:r>
                    <w:rPr>
                      <w:rFonts w:hint="eastAsia"/>
                      <w:b w:val="0"/>
                      <w:bCs w:val="0"/>
                      <w:sz w:val="21"/>
                      <w:szCs w:val="21"/>
                      <w:lang w:val="en-US" w:eastAsia="zh-CN"/>
                    </w:rPr>
                    <w:t>2.</w:t>
                  </w:r>
                  <w:r>
                    <w:rPr>
                      <w:rFonts w:hint="eastAsia"/>
                      <w:b w:val="0"/>
                      <w:bCs w:val="0"/>
                      <w:sz w:val="21"/>
                      <w:szCs w:val="21"/>
                    </w:rPr>
                    <w:t>投标人具备有效期内的质量管理体系认证</w:t>
                  </w:r>
                  <w:r>
                    <w:rPr>
                      <w:rFonts w:hint="eastAsia"/>
                      <w:b w:val="0"/>
                      <w:bCs w:val="0"/>
                      <w:sz w:val="21"/>
                      <w:szCs w:val="21"/>
                      <w:lang w:val="en-US" w:eastAsia="zh-CN"/>
                    </w:rPr>
                    <w:t>的</w:t>
                  </w:r>
                  <w:r>
                    <w:rPr>
                      <w:rFonts w:hint="eastAsia"/>
                      <w:b w:val="0"/>
                      <w:bCs w:val="0"/>
                      <w:sz w:val="21"/>
                      <w:szCs w:val="21"/>
                    </w:rPr>
                    <w:t>，得2分。</w:t>
                  </w:r>
                </w:p>
                <w:p>
                  <w:pPr>
                    <w:jc w:val="both"/>
                    <w:rPr>
                      <w:rFonts w:hint="eastAsia"/>
                      <w:b/>
                      <w:bCs/>
                      <w:sz w:val="21"/>
                      <w:szCs w:val="21"/>
                    </w:rPr>
                  </w:pPr>
                  <w:r>
                    <w:rPr>
                      <w:rFonts w:hint="eastAsia"/>
                      <w:b/>
                      <w:bCs/>
                      <w:sz w:val="21"/>
                      <w:szCs w:val="21"/>
                    </w:rPr>
                    <w:t>（二）评分标准及依据：</w:t>
                  </w:r>
                </w:p>
                <w:p>
                  <w:pPr>
                    <w:jc w:val="both"/>
                    <w:rPr>
                      <w:rFonts w:hint="eastAsia"/>
                      <w:b w:val="0"/>
                      <w:bCs w:val="0"/>
                      <w:sz w:val="21"/>
                      <w:szCs w:val="21"/>
                    </w:rPr>
                  </w:pPr>
                  <w:r>
                    <w:rPr>
                      <w:rFonts w:hint="eastAsia"/>
                      <w:b/>
                      <w:bCs/>
                      <w:sz w:val="21"/>
                      <w:szCs w:val="21"/>
                    </w:rPr>
                    <w:t>1</w:t>
                  </w:r>
                  <w:r>
                    <w:rPr>
                      <w:rFonts w:hint="eastAsia"/>
                      <w:b w:val="0"/>
                      <w:bCs w:val="0"/>
                      <w:sz w:val="21"/>
                      <w:szCs w:val="21"/>
                    </w:rPr>
                    <w:t>.要求提供有效的认证证书作为得分依据。</w:t>
                  </w:r>
                </w:p>
                <w:p>
                  <w:pPr>
                    <w:jc w:val="both"/>
                    <w:rPr>
                      <w:rFonts w:hint="eastAsia"/>
                      <w:b w:val="0"/>
                      <w:bCs w:val="0"/>
                      <w:sz w:val="21"/>
                      <w:szCs w:val="21"/>
                    </w:rPr>
                  </w:pPr>
                  <w:r>
                    <w:rPr>
                      <w:rFonts w:hint="eastAsia"/>
                      <w:b w:val="0"/>
                      <w:bCs w:val="0"/>
                      <w:sz w:val="21"/>
                      <w:szCs w:val="21"/>
                    </w:rPr>
                    <w:t>2.以上资料均要求提供扫描件，原件备查。</w:t>
                  </w:r>
                </w:p>
                <w:p>
                  <w:pPr>
                    <w:spacing w:line="276" w:lineRule="auto"/>
                    <w:jc w:val="both"/>
                    <w:rPr>
                      <w:sz w:val="21"/>
                      <w:szCs w:val="21"/>
                    </w:rPr>
                  </w:pPr>
                  <w:r>
                    <w:rPr>
                      <w:rFonts w:hint="eastAsia"/>
                      <w:b w:val="0"/>
                      <w:bCs w:val="0"/>
                      <w:sz w:val="21"/>
                      <w:szCs w:val="21"/>
                    </w:rPr>
                    <w:t>注：如分支机构投标提供总部质量管理体系认证证书的，可以得分。</w:t>
                  </w:r>
                </w:p>
              </w:tc>
              <w:tc>
                <w:tcPr>
                  <w:tcW w:w="1854" w:type="dxa"/>
                  <w:tcBorders>
                    <w:top w:val="single" w:color="000000" w:sz="8" w:space="0"/>
                    <w:left w:val="single" w:color="000000" w:sz="8" w:space="0"/>
                    <w:right w:val="single" w:color="000000" w:sz="8" w:space="0"/>
                  </w:tcBorders>
                  <w:vAlign w:val="center"/>
                </w:tcPr>
                <w:p>
                  <w:pPr>
                    <w:wordWrap w:val="0"/>
                    <w:rPr>
                      <w:sz w:val="21"/>
                      <w:szCs w:val="21"/>
                    </w:rPr>
                  </w:pPr>
                  <w:r>
                    <w:rPr>
                      <w:rFonts w:hint="eastAsia"/>
                      <w:sz w:val="21"/>
                      <w:szCs w:val="21"/>
                    </w:rPr>
                    <w:t>需提供</w:t>
                  </w:r>
                  <w:r>
                    <w:rPr>
                      <w:rFonts w:hint="eastAsia"/>
                      <w:sz w:val="21"/>
                      <w:szCs w:val="21"/>
                      <w:lang w:val="en-US" w:eastAsia="zh-CN"/>
                    </w:rPr>
                    <w:t>知识产权证明文件、质量管理体系认证证书、</w:t>
                  </w:r>
                  <w:r>
                    <w:rPr>
                      <w:rFonts w:hint="eastAsia"/>
                      <w:sz w:val="21"/>
                      <w:szCs w:val="21"/>
                    </w:rPr>
                    <w:t>营业执照等资料（无需全部提供，能证明即可）</w:t>
                  </w:r>
                </w:p>
              </w:tc>
              <w:tc>
                <w:tcPr>
                  <w:tcW w:w="704" w:type="dxa"/>
                  <w:tcBorders>
                    <w:top w:val="single" w:color="000000" w:sz="8" w:space="0"/>
                    <w:left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71" w:hRule="atLeast"/>
                <w:jc w:val="center"/>
              </w:trPr>
              <w:tc>
                <w:tcPr>
                  <w:tcW w:w="428" w:type="dxa"/>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right w:val="single" w:color="000000" w:sz="8" w:space="0"/>
                  </w:tcBorders>
                  <w:vAlign w:val="center"/>
                </w:tcPr>
                <w:p>
                  <w:pPr>
                    <w:wordWrap w:val="0"/>
                    <w:jc w:val="center"/>
                    <w:rPr>
                      <w:rFonts w:hint="eastAsia" w:eastAsia="宋体"/>
                      <w:sz w:val="21"/>
                      <w:szCs w:val="21"/>
                      <w:lang w:val="en-US" w:eastAsia="zh-CN"/>
                    </w:rPr>
                  </w:pPr>
                  <w:r>
                    <w:rPr>
                      <w:rFonts w:hint="eastAsia"/>
                      <w:sz w:val="21"/>
                      <w:szCs w:val="21"/>
                      <w:lang w:val="en-US" w:eastAsia="zh-CN"/>
                    </w:rPr>
                    <w:t>4</w:t>
                  </w:r>
                </w:p>
              </w:tc>
              <w:tc>
                <w:tcPr>
                  <w:tcW w:w="1694" w:type="dxa"/>
                  <w:tcBorders>
                    <w:top w:val="single" w:color="000000" w:sz="8" w:space="0"/>
                    <w:left w:val="single" w:color="000000" w:sz="8" w:space="0"/>
                    <w:right w:val="single" w:color="000000" w:sz="8" w:space="0"/>
                  </w:tcBorders>
                  <w:vAlign w:val="center"/>
                </w:tcPr>
                <w:p>
                  <w:pPr>
                    <w:wordWrap w:val="0"/>
                    <w:jc w:val="center"/>
                    <w:rPr>
                      <w:rFonts w:hint="default" w:eastAsia="宋体"/>
                      <w:i/>
                      <w:iCs/>
                      <w:sz w:val="21"/>
                      <w:szCs w:val="21"/>
                      <w:u w:val="single"/>
                      <w:lang w:val="en-US" w:eastAsia="zh-CN" w:bidi="ar"/>
                    </w:rPr>
                  </w:pPr>
                  <w:r>
                    <w:rPr>
                      <w:rFonts w:hint="eastAsia"/>
                      <w:i/>
                      <w:iCs/>
                      <w:sz w:val="21"/>
                      <w:szCs w:val="21"/>
                      <w:u w:val="single"/>
                      <w:lang w:val="en-US" w:eastAsia="zh-CN" w:bidi="ar"/>
                    </w:rPr>
                    <w:t>投标人获得荣誉情况</w:t>
                  </w:r>
                </w:p>
              </w:tc>
              <w:tc>
                <w:tcPr>
                  <w:tcW w:w="666" w:type="dxa"/>
                  <w:tcBorders>
                    <w:top w:val="single" w:color="000000" w:sz="8" w:space="0"/>
                    <w:left w:val="single" w:color="000000" w:sz="8" w:space="0"/>
                    <w:right w:val="single" w:color="000000" w:sz="8" w:space="0"/>
                  </w:tcBorders>
                  <w:vAlign w:val="center"/>
                </w:tcPr>
                <w:p>
                  <w:pPr>
                    <w:wordWrap w:val="0"/>
                    <w:jc w:val="center"/>
                    <w:rPr>
                      <w:rFonts w:hint="default"/>
                      <w:sz w:val="21"/>
                      <w:szCs w:val="21"/>
                      <w:lang w:val="en-US" w:eastAsia="zh-CN"/>
                    </w:rPr>
                  </w:pPr>
                  <w:r>
                    <w:rPr>
                      <w:rFonts w:hint="eastAsia"/>
                      <w:sz w:val="21"/>
                      <w:szCs w:val="21"/>
                      <w:lang w:val="en-US" w:eastAsia="zh-CN"/>
                    </w:rPr>
                    <w:t>5</w:t>
                  </w:r>
                </w:p>
              </w:tc>
              <w:tc>
                <w:tcPr>
                  <w:tcW w:w="4334" w:type="dxa"/>
                  <w:tcBorders>
                    <w:top w:val="single" w:color="000000" w:sz="8" w:space="0"/>
                    <w:left w:val="single" w:color="000000" w:sz="8" w:space="0"/>
                    <w:right w:val="single" w:color="000000" w:sz="8" w:space="0"/>
                  </w:tcBorders>
                  <w:vAlign w:val="center"/>
                </w:tcPr>
                <w:p>
                  <w:pPr>
                    <w:jc w:val="both"/>
                    <w:rPr>
                      <w:rFonts w:hint="eastAsia"/>
                      <w:b w:val="0"/>
                      <w:bCs w:val="0"/>
                      <w:sz w:val="21"/>
                      <w:szCs w:val="21"/>
                    </w:rPr>
                  </w:pPr>
                  <w:r>
                    <w:rPr>
                      <w:rFonts w:hint="eastAsia"/>
                      <w:b/>
                      <w:bCs/>
                      <w:sz w:val="21"/>
                      <w:szCs w:val="21"/>
                      <w:lang w:val="en-US" w:eastAsia="zh-CN"/>
                    </w:rPr>
                    <w:t>（一）评分内容</w:t>
                  </w:r>
                </w:p>
                <w:p>
                  <w:pPr>
                    <w:jc w:val="both"/>
                    <w:rPr>
                      <w:rFonts w:hint="default"/>
                      <w:b w:val="0"/>
                      <w:bCs w:val="0"/>
                      <w:sz w:val="21"/>
                      <w:szCs w:val="21"/>
                      <w:lang w:val="en-US"/>
                    </w:rPr>
                  </w:pPr>
                  <w:r>
                    <w:rPr>
                      <w:rFonts w:hint="eastAsia"/>
                      <w:b w:val="0"/>
                      <w:bCs w:val="0"/>
                      <w:sz w:val="21"/>
                      <w:szCs w:val="21"/>
                      <w:lang w:val="en-US" w:eastAsia="zh-CN"/>
                    </w:rPr>
                    <w:t>在预算绩效管理或审计业务质量的评比中，被地市级及以上政府机关或事业单位或企业评为“优秀”的，得5分；被评为“良好”的，得3分；被评为“一般”“中”或“差”的，不得分。</w:t>
                  </w:r>
                </w:p>
                <w:p>
                  <w:pPr>
                    <w:jc w:val="both"/>
                    <w:rPr>
                      <w:rFonts w:hint="eastAsia"/>
                      <w:b/>
                      <w:bCs/>
                      <w:sz w:val="21"/>
                      <w:szCs w:val="21"/>
                    </w:rPr>
                  </w:pPr>
                  <w:r>
                    <w:rPr>
                      <w:rFonts w:hint="eastAsia"/>
                      <w:b/>
                      <w:bCs/>
                      <w:sz w:val="21"/>
                      <w:szCs w:val="21"/>
                    </w:rPr>
                    <w:t>（二）评分标准及依据：</w:t>
                  </w:r>
                </w:p>
                <w:p>
                  <w:pPr>
                    <w:jc w:val="both"/>
                    <w:rPr>
                      <w:rFonts w:hint="default"/>
                      <w:b w:val="0"/>
                      <w:bCs w:val="0"/>
                      <w:sz w:val="21"/>
                      <w:szCs w:val="21"/>
                      <w:lang w:val="en-US"/>
                    </w:rPr>
                  </w:pPr>
                  <w:r>
                    <w:rPr>
                      <w:rFonts w:hint="eastAsia"/>
                      <w:b/>
                      <w:bCs/>
                      <w:sz w:val="21"/>
                      <w:szCs w:val="21"/>
                    </w:rPr>
                    <w:t>1</w:t>
                  </w:r>
                  <w:r>
                    <w:rPr>
                      <w:rFonts w:hint="eastAsia"/>
                      <w:b w:val="0"/>
                      <w:bCs w:val="0"/>
                      <w:sz w:val="21"/>
                      <w:szCs w:val="21"/>
                    </w:rPr>
                    <w:t>.要求提供有效的</w:t>
                  </w:r>
                  <w:r>
                    <w:rPr>
                      <w:rFonts w:hint="eastAsia"/>
                      <w:b w:val="0"/>
                      <w:bCs w:val="0"/>
                      <w:sz w:val="21"/>
                      <w:szCs w:val="21"/>
                      <w:lang w:val="en-US" w:eastAsia="zh-CN"/>
                    </w:rPr>
                    <w:t>证明材料，如奖状、公文、函件等。</w:t>
                  </w:r>
                </w:p>
                <w:p>
                  <w:pPr>
                    <w:spacing w:line="240" w:lineRule="auto"/>
                    <w:jc w:val="both"/>
                    <w:rPr>
                      <w:rFonts w:hint="default" w:eastAsia="宋体"/>
                      <w:b w:val="0"/>
                      <w:bCs w:val="0"/>
                      <w:sz w:val="21"/>
                      <w:szCs w:val="21"/>
                      <w:lang w:val="en-US" w:eastAsia="zh-CN"/>
                    </w:rPr>
                  </w:pPr>
                  <w:r>
                    <w:rPr>
                      <w:rFonts w:hint="eastAsia"/>
                      <w:b w:val="0"/>
                      <w:bCs w:val="0"/>
                      <w:sz w:val="21"/>
                      <w:szCs w:val="21"/>
                    </w:rPr>
                    <w:t>2.以上资料均要求提供扫描件，原件备查</w:t>
                  </w:r>
                  <w:r>
                    <w:rPr>
                      <w:rFonts w:hint="eastAsia"/>
                      <w:b w:val="0"/>
                      <w:bCs w:val="0"/>
                      <w:sz w:val="21"/>
                      <w:szCs w:val="21"/>
                      <w:lang w:eastAsia="zh-CN"/>
                    </w:rPr>
                    <w:t>；</w:t>
                  </w:r>
                  <w:r>
                    <w:rPr>
                      <w:rFonts w:hint="eastAsia"/>
                      <w:b w:val="0"/>
                      <w:bCs w:val="0"/>
                      <w:sz w:val="21"/>
                      <w:szCs w:val="21"/>
                      <w:lang w:val="en-US" w:eastAsia="zh-CN"/>
                    </w:rPr>
                    <w:t>若为网络公告，请截图并附上官网的有效链接。</w:t>
                  </w:r>
                </w:p>
              </w:tc>
              <w:tc>
                <w:tcPr>
                  <w:tcW w:w="1854" w:type="dxa"/>
                  <w:tcBorders>
                    <w:top w:val="single" w:color="000000" w:sz="8" w:space="0"/>
                    <w:left w:val="single" w:color="000000" w:sz="8" w:space="0"/>
                    <w:right w:val="single" w:color="000000" w:sz="8" w:space="0"/>
                  </w:tcBorders>
                  <w:vAlign w:val="center"/>
                </w:tcPr>
                <w:p>
                  <w:pPr>
                    <w:wordWrap w:val="0"/>
                    <w:rPr>
                      <w:rFonts w:hint="default" w:eastAsia="宋体"/>
                      <w:sz w:val="21"/>
                      <w:szCs w:val="21"/>
                      <w:lang w:val="en-US" w:eastAsia="zh-CN"/>
                    </w:rPr>
                  </w:pPr>
                  <w:r>
                    <w:rPr>
                      <w:rFonts w:hint="eastAsia"/>
                      <w:sz w:val="21"/>
                      <w:szCs w:val="21"/>
                    </w:rPr>
                    <w:t>需提供</w:t>
                  </w:r>
                  <w:r>
                    <w:rPr>
                      <w:rFonts w:hint="eastAsia"/>
                      <w:sz w:val="21"/>
                      <w:szCs w:val="21"/>
                      <w:lang w:val="en-US" w:eastAsia="zh-CN"/>
                    </w:rPr>
                    <w:t>评比结果的证明文件，如</w:t>
                  </w:r>
                  <w:r>
                    <w:rPr>
                      <w:rFonts w:hint="eastAsia"/>
                      <w:sz w:val="21"/>
                      <w:szCs w:val="21"/>
                    </w:rPr>
                    <w:t>奖状、公文、函件</w:t>
                  </w:r>
                  <w:r>
                    <w:rPr>
                      <w:rFonts w:hint="eastAsia"/>
                      <w:sz w:val="21"/>
                      <w:szCs w:val="21"/>
                      <w:lang w:val="en-US" w:eastAsia="zh-CN"/>
                    </w:rPr>
                    <w:t>或官网链接</w:t>
                  </w:r>
                  <w:r>
                    <w:rPr>
                      <w:rFonts w:hint="eastAsia"/>
                      <w:sz w:val="21"/>
                      <w:szCs w:val="21"/>
                    </w:rPr>
                    <w:t>等。</w:t>
                  </w:r>
                </w:p>
              </w:tc>
              <w:tc>
                <w:tcPr>
                  <w:tcW w:w="704" w:type="dxa"/>
                  <w:tcBorders>
                    <w:top w:val="single" w:color="000000" w:sz="8" w:space="0"/>
                    <w:left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428" w:type="dxa"/>
                  <w:vMerge w:val="restart"/>
                  <w:tcBorders>
                    <w:left w:val="single" w:color="000000" w:sz="8" w:space="0"/>
                    <w:right w:val="single" w:color="000000" w:sz="8" w:space="0"/>
                  </w:tcBorders>
                  <w:vAlign w:val="center"/>
                </w:tcPr>
                <w:p>
                  <w:pPr>
                    <w:jc w:val="center"/>
                    <w:rPr>
                      <w:b/>
                      <w:bCs/>
                    </w:rPr>
                  </w:pPr>
                  <w:r>
                    <w:rPr>
                      <w:b/>
                      <w:bCs/>
                    </w:rPr>
                    <w:t>3</w:t>
                  </w:r>
                </w:p>
              </w:tc>
              <w:tc>
                <w:tcPr>
                  <w:tcW w:w="2792" w:type="dxa"/>
                  <w:gridSpan w:val="3"/>
                  <w:tcBorders>
                    <w:top w:val="single" w:color="000000" w:sz="8" w:space="0"/>
                    <w:left w:val="single" w:color="000000" w:sz="8" w:space="0"/>
                    <w:bottom w:val="single" w:color="000000" w:sz="8" w:space="0"/>
                    <w:right w:val="single" w:color="000000" w:sz="8" w:space="0"/>
                  </w:tcBorders>
                  <w:vAlign w:val="center"/>
                </w:tcPr>
                <w:p>
                  <w:pPr>
                    <w:jc w:val="center"/>
                    <w:rPr>
                      <w:b/>
                      <w:bCs/>
                    </w:rPr>
                  </w:pPr>
                  <w:r>
                    <w:rPr>
                      <w:b/>
                      <w:bCs/>
                    </w:rPr>
                    <w:t>服务人员</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b/>
                      <w:bCs/>
                      <w:lang w:val="en-US" w:eastAsia="zh-CN"/>
                    </w:rPr>
                  </w:pPr>
                  <w:r>
                    <w:rPr>
                      <w:rFonts w:hint="eastAsia"/>
                      <w:b/>
                      <w:bCs/>
                      <w:lang w:val="en-US" w:eastAsia="zh-CN"/>
                    </w:rPr>
                    <w:t>15</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b/>
                      <w:bCs/>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96" w:hRule="atLeast"/>
                <w:jc w:val="center"/>
              </w:trPr>
              <w:tc>
                <w:tcPr>
                  <w:tcW w:w="428" w:type="dxa"/>
                  <w:vMerge w:val="continue"/>
                  <w:tcBorders>
                    <w:left w:val="single" w:color="000000" w:sz="8" w:space="0"/>
                    <w:right w:val="single" w:color="000000" w:sz="8" w:space="0"/>
                  </w:tcBorders>
                  <w:shd w:val="clear" w:color="auto" w:fill="auto"/>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jc w:val="center"/>
                    <w:rPr>
                      <w:sz w:val="21"/>
                      <w:szCs w:val="21"/>
                    </w:rPr>
                  </w:pPr>
                  <w:r>
                    <w:rPr>
                      <w:sz w:val="21"/>
                      <w:szCs w:val="21"/>
                    </w:rPr>
                    <w:t>序号</w:t>
                  </w:r>
                </w:p>
              </w:tc>
              <w:tc>
                <w:tcPr>
                  <w:tcW w:w="1694"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jc w:val="center"/>
                    <w:rPr>
                      <w:i/>
                      <w:iCs/>
                      <w:sz w:val="21"/>
                      <w:szCs w:val="21"/>
                      <w:u w:val="single"/>
                    </w:rPr>
                  </w:pPr>
                  <w:r>
                    <w:rPr>
                      <w:sz w:val="21"/>
                      <w:szCs w:val="21"/>
                    </w:rPr>
                    <w:t>评分因素</w:t>
                  </w:r>
                </w:p>
              </w:tc>
              <w:tc>
                <w:tcPr>
                  <w:tcW w:w="666"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jc w:val="center"/>
                    <w:rPr>
                      <w:sz w:val="21"/>
                      <w:szCs w:val="21"/>
                    </w:rPr>
                  </w:pPr>
                  <w:r>
                    <w:rPr>
                      <w:rFonts w:hint="eastAsia"/>
                      <w:sz w:val="21"/>
                      <w:szCs w:val="21"/>
                    </w:rPr>
                    <w:t>总分</w:t>
                  </w:r>
                </w:p>
              </w:tc>
              <w:tc>
                <w:tcPr>
                  <w:tcW w:w="4334"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jc w:val="center"/>
                    <w:rPr>
                      <w:sz w:val="21"/>
                      <w:szCs w:val="21"/>
                    </w:rPr>
                  </w:pPr>
                  <w:r>
                    <w:rPr>
                      <w:rFonts w:hint="eastAsia"/>
                      <w:sz w:val="21"/>
                      <w:szCs w:val="21"/>
                    </w:rPr>
                    <w:t>评分准则</w:t>
                  </w:r>
                </w:p>
              </w:tc>
              <w:tc>
                <w:tcPr>
                  <w:tcW w:w="1854" w:type="dxa"/>
                  <w:tcBorders>
                    <w:top w:val="single" w:color="000000" w:sz="8" w:space="0"/>
                    <w:left w:val="single" w:color="000000" w:sz="8" w:space="0"/>
                    <w:bottom w:val="single" w:color="000000" w:sz="8" w:space="0"/>
                    <w:right w:val="single" w:color="000000" w:sz="8" w:space="0"/>
                  </w:tcBorders>
                  <w:shd w:val="clear" w:color="auto" w:fill="DCE6F2"/>
                  <w:vAlign w:val="center"/>
                </w:tcPr>
                <w:p>
                  <w:pPr>
                    <w:jc w:val="center"/>
                    <w:rPr>
                      <w:sz w:val="21"/>
                      <w:szCs w:val="21"/>
                    </w:rPr>
                  </w:pPr>
                  <w:r>
                    <w:rPr>
                      <w:rFonts w:hint="eastAsia"/>
                      <w:sz w:val="21"/>
                      <w:szCs w:val="21"/>
                    </w:rPr>
                    <w:t>备注</w:t>
                  </w:r>
                </w:p>
              </w:tc>
              <w:tc>
                <w:tcPr>
                  <w:tcW w:w="704" w:type="dxa"/>
                  <w:tcBorders>
                    <w:top w:val="single" w:color="000000" w:sz="8" w:space="0"/>
                    <w:left w:val="single" w:color="000000" w:sz="8" w:space="0"/>
                    <w:bottom w:val="single" w:color="000000" w:sz="8" w:space="0"/>
                    <w:right w:val="single" w:color="000000" w:sz="8" w:space="0"/>
                  </w:tcBorders>
                  <w:shd w:val="clear" w:color="auto" w:fill="DCE6F2"/>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1</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sz w:val="21"/>
                      <w:szCs w:val="21"/>
                      <w:lang w:val="en-US" w:eastAsia="zh-CN"/>
                    </w:rPr>
                  </w:pPr>
                  <w:r>
                    <w:rPr>
                      <w:i/>
                      <w:iCs/>
                      <w:sz w:val="21"/>
                      <w:szCs w:val="21"/>
                      <w:u w:val="single"/>
                    </w:rPr>
                    <w:t>拟安排的项目负责人情况</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eastAsia="宋体"/>
                      <w:sz w:val="21"/>
                      <w:szCs w:val="21"/>
                      <w:lang w:eastAsia="zh-CN"/>
                    </w:rPr>
                  </w:pPr>
                  <w:r>
                    <w:rPr>
                      <w:rFonts w:hint="eastAsia"/>
                      <w:sz w:val="21"/>
                      <w:szCs w:val="21"/>
                      <w:lang w:val="en-US" w:eastAsia="zh-CN"/>
                    </w:rPr>
                    <w:t>5</w:t>
                  </w:r>
                </w:p>
              </w:tc>
              <w:tc>
                <w:tcPr>
                  <w:tcW w:w="4334" w:type="dxa"/>
                  <w:tcBorders>
                    <w:top w:val="single" w:color="000000" w:sz="8" w:space="0"/>
                    <w:left w:val="single" w:color="000000" w:sz="8" w:space="0"/>
                    <w:bottom w:val="single" w:color="000000" w:sz="8" w:space="0"/>
                    <w:right w:val="single" w:color="000000" w:sz="8" w:space="0"/>
                  </w:tcBorders>
                  <w:vAlign w:val="center"/>
                </w:tcPr>
                <w:p>
                  <w:pPr>
                    <w:widowControl w:val="0"/>
                    <w:spacing w:line="276" w:lineRule="auto"/>
                    <w:jc w:val="both"/>
                    <w:rPr>
                      <w:rFonts w:hint="default" w:eastAsia="宋体" w:cs="Times New Roman"/>
                      <w:b/>
                      <w:bCs/>
                      <w:kern w:val="2"/>
                      <w:sz w:val="21"/>
                      <w:szCs w:val="21"/>
                      <w:lang w:val="en-US" w:eastAsia="zh-CN"/>
                    </w:rPr>
                  </w:pPr>
                  <w:r>
                    <w:rPr>
                      <w:rFonts w:hint="eastAsia" w:cs="Times New Roman"/>
                      <w:b/>
                      <w:bCs/>
                      <w:kern w:val="2"/>
                      <w:sz w:val="21"/>
                      <w:szCs w:val="21"/>
                      <w:lang w:val="en-US" w:eastAsia="zh-CN"/>
                    </w:rPr>
                    <w:t>（一）评分内容</w:t>
                  </w:r>
                </w:p>
                <w:p>
                  <w:pPr>
                    <w:widowControl w:val="0"/>
                    <w:spacing w:line="276" w:lineRule="auto"/>
                    <w:jc w:val="both"/>
                    <w:rPr>
                      <w:rFonts w:hint="eastAsia" w:cs="Times New Roman"/>
                      <w:kern w:val="2"/>
                      <w:sz w:val="21"/>
                      <w:szCs w:val="21"/>
                    </w:rPr>
                  </w:pPr>
                  <w:r>
                    <w:rPr>
                      <w:rFonts w:hint="eastAsia" w:cs="Times New Roman"/>
                      <w:kern w:val="2"/>
                      <w:sz w:val="21"/>
                      <w:szCs w:val="21"/>
                      <w:lang w:val="en-US" w:eastAsia="zh-CN"/>
                    </w:rPr>
                    <w:t>1.</w:t>
                  </w:r>
                  <w:r>
                    <w:rPr>
                      <w:rFonts w:hint="eastAsia" w:cs="Times New Roman"/>
                      <w:kern w:val="2"/>
                      <w:sz w:val="21"/>
                      <w:szCs w:val="21"/>
                    </w:rPr>
                    <w:t>拟安排项目负责人</w:t>
                  </w:r>
                  <w:r>
                    <w:rPr>
                      <w:rFonts w:hint="eastAsia" w:cs="Times New Roman"/>
                      <w:kern w:val="2"/>
                      <w:sz w:val="21"/>
                      <w:szCs w:val="21"/>
                      <w:lang w:val="en-US" w:eastAsia="zh-CN"/>
                    </w:rPr>
                    <w:t>具备本科及以上学历且</w:t>
                  </w:r>
                  <w:r>
                    <w:rPr>
                      <w:rFonts w:hint="eastAsia" w:cs="Times New Roman"/>
                      <w:kern w:val="2"/>
                      <w:sz w:val="21"/>
                      <w:szCs w:val="21"/>
                    </w:rPr>
                    <w:t>为投标单位自有员工，否则本项不得分。</w:t>
                  </w:r>
                </w:p>
                <w:p>
                  <w:pPr>
                    <w:widowControl w:val="0"/>
                    <w:spacing w:line="276" w:lineRule="auto"/>
                    <w:jc w:val="both"/>
                    <w:rPr>
                      <w:rFonts w:hint="default" w:eastAsia="宋体" w:cs="Times New Roman"/>
                      <w:kern w:val="2"/>
                      <w:sz w:val="21"/>
                      <w:szCs w:val="21"/>
                      <w:lang w:val="en-US" w:eastAsia="zh-CN"/>
                    </w:rPr>
                  </w:pPr>
                  <w:r>
                    <w:rPr>
                      <w:rFonts w:hint="eastAsia" w:cs="Times New Roman"/>
                      <w:kern w:val="2"/>
                      <w:sz w:val="21"/>
                      <w:szCs w:val="21"/>
                      <w:lang w:val="en-US" w:eastAsia="zh-CN"/>
                    </w:rPr>
                    <w:t>2.</w:t>
                  </w:r>
                  <w:r>
                    <w:rPr>
                      <w:rFonts w:hint="eastAsia" w:cs="Times New Roman"/>
                      <w:kern w:val="2"/>
                      <w:sz w:val="21"/>
                      <w:szCs w:val="21"/>
                    </w:rPr>
                    <w:t>具有高级会计师职称或注册会计师资格或注册造价工程师等资质</w:t>
                  </w:r>
                  <w:r>
                    <w:rPr>
                      <w:rFonts w:hint="eastAsia" w:cs="Times New Roman"/>
                      <w:kern w:val="2"/>
                      <w:sz w:val="21"/>
                      <w:szCs w:val="21"/>
                      <w:lang w:eastAsia="zh-CN"/>
                    </w:rPr>
                    <w:t>，</w:t>
                  </w:r>
                  <w:r>
                    <w:rPr>
                      <w:rFonts w:hint="eastAsia" w:cs="Times New Roman"/>
                      <w:kern w:val="2"/>
                      <w:sz w:val="21"/>
                      <w:szCs w:val="21"/>
                      <w:lang w:val="en-US" w:eastAsia="zh-CN"/>
                    </w:rPr>
                    <w:t>得2分；否则不得分。</w:t>
                  </w:r>
                </w:p>
                <w:p>
                  <w:pPr>
                    <w:widowControl w:val="0"/>
                    <w:spacing w:line="276" w:lineRule="auto"/>
                    <w:jc w:val="both"/>
                    <w:rPr>
                      <w:rFonts w:hint="default" w:eastAsia="宋体" w:cs="Times New Roman"/>
                      <w:kern w:val="2"/>
                      <w:sz w:val="21"/>
                      <w:szCs w:val="21"/>
                      <w:lang w:val="en-US" w:eastAsia="zh-CN"/>
                    </w:rPr>
                  </w:pPr>
                  <w:r>
                    <w:rPr>
                      <w:rFonts w:hint="eastAsia" w:cs="Times New Roman"/>
                      <w:kern w:val="2"/>
                      <w:sz w:val="21"/>
                      <w:szCs w:val="21"/>
                      <w:lang w:val="en-US" w:eastAsia="zh-CN"/>
                    </w:rPr>
                    <w:t>3.项目负责人具备5年以上（含5年）政府机关或事业单位的</w:t>
                  </w:r>
                  <w:r>
                    <w:rPr>
                      <w:rFonts w:hint="eastAsia" w:cs="Times New Roman"/>
                      <w:kern w:val="2"/>
                      <w:sz w:val="21"/>
                      <w:szCs w:val="21"/>
                    </w:rPr>
                    <w:t>预算绩效管理</w:t>
                  </w:r>
                  <w:r>
                    <w:rPr>
                      <w:rFonts w:hint="eastAsia" w:cs="Times New Roman"/>
                      <w:kern w:val="2"/>
                      <w:sz w:val="21"/>
                      <w:szCs w:val="21"/>
                      <w:lang w:val="en-US" w:eastAsia="zh-CN"/>
                    </w:rPr>
                    <w:t>经验，得3分；</w:t>
                  </w:r>
                  <w:r>
                    <w:rPr>
                      <w:rFonts w:hint="eastAsia" w:cs="Times New Roman"/>
                      <w:kern w:val="2"/>
                      <w:sz w:val="21"/>
                      <w:szCs w:val="21"/>
                    </w:rPr>
                    <w:t>具有3-5（含3年）年</w:t>
                  </w:r>
                  <w:r>
                    <w:rPr>
                      <w:rFonts w:hint="eastAsia" w:cs="Times New Roman"/>
                      <w:kern w:val="2"/>
                      <w:sz w:val="21"/>
                      <w:szCs w:val="21"/>
                      <w:lang w:val="en-US" w:eastAsia="zh-CN"/>
                    </w:rPr>
                    <w:t>预算绩效管理经验，</w:t>
                  </w:r>
                  <w:r>
                    <w:rPr>
                      <w:rFonts w:hint="eastAsia" w:cs="Times New Roman"/>
                      <w:kern w:val="2"/>
                      <w:sz w:val="21"/>
                      <w:szCs w:val="21"/>
                    </w:rPr>
                    <w:t>得</w:t>
                  </w:r>
                  <w:r>
                    <w:rPr>
                      <w:rFonts w:hint="eastAsia" w:cs="Times New Roman"/>
                      <w:kern w:val="2"/>
                      <w:sz w:val="21"/>
                      <w:szCs w:val="21"/>
                      <w:lang w:val="en-US" w:eastAsia="zh-CN"/>
                    </w:rPr>
                    <w:t>2</w:t>
                  </w:r>
                  <w:r>
                    <w:rPr>
                      <w:rFonts w:hint="eastAsia" w:cs="Times New Roman"/>
                      <w:kern w:val="2"/>
                      <w:sz w:val="21"/>
                      <w:szCs w:val="21"/>
                    </w:rPr>
                    <w:t>分；具有1-3年（含1年）</w:t>
                  </w:r>
                  <w:r>
                    <w:rPr>
                      <w:rFonts w:hint="eastAsia" w:cs="Times New Roman"/>
                      <w:kern w:val="2"/>
                      <w:sz w:val="21"/>
                      <w:szCs w:val="21"/>
                      <w:lang w:val="en-US" w:eastAsia="zh-CN"/>
                    </w:rPr>
                    <w:t>预算绩效管理经验，</w:t>
                  </w:r>
                  <w:r>
                    <w:rPr>
                      <w:rFonts w:hint="eastAsia" w:cs="Times New Roman"/>
                      <w:kern w:val="2"/>
                      <w:sz w:val="21"/>
                      <w:szCs w:val="21"/>
                    </w:rPr>
                    <w:t>得</w:t>
                  </w:r>
                  <w:r>
                    <w:rPr>
                      <w:rFonts w:hint="eastAsia" w:cs="Times New Roman"/>
                      <w:kern w:val="2"/>
                      <w:sz w:val="21"/>
                      <w:szCs w:val="21"/>
                      <w:lang w:val="en-US" w:eastAsia="zh-CN"/>
                    </w:rPr>
                    <w:t>1</w:t>
                  </w:r>
                  <w:r>
                    <w:rPr>
                      <w:rFonts w:hint="eastAsia" w:cs="Times New Roman"/>
                      <w:kern w:val="2"/>
                      <w:sz w:val="21"/>
                      <w:szCs w:val="21"/>
                    </w:rPr>
                    <w:t>分</w:t>
                  </w:r>
                  <w:r>
                    <w:rPr>
                      <w:rFonts w:hint="eastAsia" w:cs="Times New Roman"/>
                      <w:kern w:val="2"/>
                      <w:sz w:val="21"/>
                      <w:szCs w:val="21"/>
                      <w:lang w:eastAsia="zh-CN"/>
                    </w:rPr>
                    <w:t>；</w:t>
                  </w:r>
                  <w:r>
                    <w:rPr>
                      <w:rFonts w:hint="eastAsia" w:cs="Times New Roman"/>
                      <w:kern w:val="2"/>
                      <w:sz w:val="21"/>
                      <w:szCs w:val="21"/>
                      <w:lang w:val="en-US" w:eastAsia="zh-CN"/>
                    </w:rPr>
                    <w:t>具备1年以下的预算绩效管理经验的，不得分。</w:t>
                  </w:r>
                </w:p>
                <w:p>
                  <w:pPr>
                    <w:widowControl w:val="0"/>
                    <w:spacing w:line="276" w:lineRule="auto"/>
                    <w:jc w:val="both"/>
                    <w:rPr>
                      <w:rFonts w:hint="eastAsia" w:eastAsia="宋体" w:cs="Times New Roman"/>
                      <w:b/>
                      <w:bCs/>
                      <w:kern w:val="2"/>
                      <w:sz w:val="21"/>
                      <w:szCs w:val="21"/>
                      <w:lang w:val="en-US" w:eastAsia="zh-CN"/>
                    </w:rPr>
                  </w:pPr>
                  <w:r>
                    <w:rPr>
                      <w:rFonts w:hint="eastAsia" w:cs="Times New Roman"/>
                      <w:b/>
                      <w:bCs/>
                      <w:kern w:val="2"/>
                      <w:sz w:val="21"/>
                      <w:szCs w:val="21"/>
                      <w:lang w:eastAsia="zh-CN"/>
                    </w:rPr>
                    <w:t>（</w:t>
                  </w:r>
                  <w:r>
                    <w:rPr>
                      <w:rFonts w:hint="eastAsia" w:cs="Times New Roman"/>
                      <w:b/>
                      <w:bCs/>
                      <w:kern w:val="2"/>
                      <w:sz w:val="21"/>
                      <w:szCs w:val="21"/>
                      <w:lang w:val="en-US" w:eastAsia="zh-CN"/>
                    </w:rPr>
                    <w:t>二）评分标准及依据：</w:t>
                  </w:r>
                </w:p>
                <w:p>
                  <w:pPr>
                    <w:spacing w:line="276" w:lineRule="auto"/>
                    <w:jc w:val="both"/>
                    <w:rPr>
                      <w:rFonts w:hint="eastAsia"/>
                      <w:kern w:val="2"/>
                      <w:sz w:val="21"/>
                      <w:szCs w:val="21"/>
                    </w:rPr>
                  </w:pPr>
                  <w:r>
                    <w:rPr>
                      <w:rFonts w:hint="eastAsia"/>
                      <w:kern w:val="2"/>
                      <w:sz w:val="21"/>
                      <w:szCs w:val="21"/>
                    </w:rPr>
                    <w:t>1.提供项目负责人通过投标单位缴纳的载有社保部门或税务部门公章的近三个月</w:t>
                  </w:r>
                  <w:r>
                    <w:rPr>
                      <w:rFonts w:hint="eastAsia"/>
                      <w:kern w:val="2"/>
                      <w:sz w:val="21"/>
                      <w:szCs w:val="21"/>
                      <w:lang w:val="en-US" w:eastAsia="zh-CN"/>
                    </w:rPr>
                    <w:t>内</w:t>
                  </w:r>
                  <w:r>
                    <w:rPr>
                      <w:rFonts w:hint="eastAsia"/>
                      <w:kern w:val="2"/>
                      <w:sz w:val="21"/>
                      <w:szCs w:val="21"/>
                    </w:rPr>
                    <w:t>个人社保证明，如供应商为新成立单位且成立时间不足一个月的，可提供加盖公章的情况说明或者证明材料亦视为符合。如为退休返聘人员则提供劳动合同或返聘协议；</w:t>
                  </w:r>
                </w:p>
                <w:p>
                  <w:pPr>
                    <w:spacing w:line="276" w:lineRule="auto"/>
                    <w:jc w:val="both"/>
                    <w:rPr>
                      <w:rFonts w:hint="eastAsia"/>
                      <w:kern w:val="2"/>
                      <w:sz w:val="21"/>
                      <w:szCs w:val="21"/>
                    </w:rPr>
                  </w:pPr>
                  <w:r>
                    <w:rPr>
                      <w:rFonts w:hint="eastAsia"/>
                      <w:kern w:val="2"/>
                      <w:sz w:val="21"/>
                      <w:szCs w:val="21"/>
                    </w:rPr>
                    <w:t>2.如涉及考察人员工作经验，要求提供项目合同关键信息或</w:t>
                  </w:r>
                  <w:bookmarkStart w:id="10" w:name="_GoBack"/>
                  <w:bookmarkEnd w:id="10"/>
                  <w:r>
                    <w:rPr>
                      <w:rFonts w:hint="eastAsia"/>
                      <w:kern w:val="2"/>
                      <w:sz w:val="21"/>
                      <w:szCs w:val="21"/>
                    </w:rPr>
                    <w:t>履约验收文件作为得分依据，通过合同关键信息无法判断是否得分的，还须同时提供合同甲方出具的证明文件。</w:t>
                  </w:r>
                </w:p>
                <w:p>
                  <w:pPr>
                    <w:spacing w:line="276" w:lineRule="auto"/>
                    <w:jc w:val="both"/>
                    <w:rPr>
                      <w:sz w:val="21"/>
                      <w:szCs w:val="21"/>
                    </w:rPr>
                  </w:pPr>
                  <w:r>
                    <w:rPr>
                      <w:rFonts w:hint="eastAsia"/>
                      <w:kern w:val="2"/>
                      <w:sz w:val="21"/>
                      <w:szCs w:val="21"/>
                    </w:rPr>
                    <w:t>3.以上资料均要求提供复印件或扫描件，原件备查。评分中出现无证明资料或专家无法凭所提供资料判断是否得分的情况，一律作不得分处理。</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r>
                    <w:rPr>
                      <w:rFonts w:hint="eastAsia"/>
                      <w:sz w:val="21"/>
                      <w:szCs w:val="21"/>
                    </w:rPr>
                    <w:t>需提供</w:t>
                  </w:r>
                  <w:r>
                    <w:rPr>
                      <w:rFonts w:hint="eastAsia"/>
                      <w:sz w:val="21"/>
                      <w:szCs w:val="21"/>
                      <w:lang w:val="en-US" w:eastAsia="zh-CN"/>
                    </w:rPr>
                    <w:t>近三个月的个人社保记录</w:t>
                  </w:r>
                  <w:r>
                    <w:rPr>
                      <w:rFonts w:hint="eastAsia"/>
                      <w:sz w:val="21"/>
                      <w:szCs w:val="21"/>
                    </w:rPr>
                    <w:t>、</w:t>
                  </w:r>
                  <w:r>
                    <w:rPr>
                      <w:rFonts w:hint="eastAsia"/>
                      <w:sz w:val="21"/>
                      <w:szCs w:val="21"/>
                      <w:lang w:val="en-US" w:eastAsia="zh-CN"/>
                    </w:rPr>
                    <w:t>项目合同关键信息、履约验收资料、学历证书、资质证书</w:t>
                  </w:r>
                  <w:r>
                    <w:rPr>
                      <w:rFonts w:hint="eastAsia"/>
                      <w:sz w:val="21"/>
                      <w:szCs w:val="21"/>
                    </w:rPr>
                    <w:t>等（无需全部提供，能证明即可）</w:t>
                  </w: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2</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rFonts w:hint="eastAsia"/>
                      <w:i/>
                      <w:iCs/>
                      <w:sz w:val="21"/>
                      <w:szCs w:val="21"/>
                      <w:u w:val="single"/>
                    </w:rPr>
                    <w:t>拟安排的项目主要团队成员（主要技术人员）情况（项目负责人除外）</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10</w:t>
                  </w:r>
                </w:p>
              </w:tc>
              <w:tc>
                <w:tcPr>
                  <w:tcW w:w="4334" w:type="dxa"/>
                  <w:tcBorders>
                    <w:top w:val="single" w:color="000000" w:sz="8" w:space="0"/>
                    <w:left w:val="single" w:color="000000" w:sz="8" w:space="0"/>
                    <w:bottom w:val="single" w:color="000000" w:sz="8" w:space="0"/>
                    <w:right w:val="single" w:color="000000" w:sz="8" w:space="0"/>
                  </w:tcBorders>
                  <w:vAlign w:val="center"/>
                </w:tcPr>
                <w:p>
                  <w:pPr>
                    <w:widowControl w:val="0"/>
                    <w:spacing w:line="276" w:lineRule="auto"/>
                    <w:jc w:val="both"/>
                    <w:rPr>
                      <w:rFonts w:hint="default" w:eastAsia="宋体" w:cs="Times New Roman"/>
                      <w:b/>
                      <w:bCs/>
                      <w:kern w:val="2"/>
                      <w:sz w:val="21"/>
                      <w:szCs w:val="21"/>
                      <w:lang w:val="en-US" w:eastAsia="zh-CN"/>
                    </w:rPr>
                  </w:pPr>
                  <w:r>
                    <w:rPr>
                      <w:rFonts w:hint="eastAsia" w:cs="Times New Roman"/>
                      <w:b/>
                      <w:bCs/>
                      <w:kern w:val="2"/>
                      <w:sz w:val="21"/>
                      <w:szCs w:val="21"/>
                      <w:lang w:eastAsia="zh-CN"/>
                    </w:rPr>
                    <w:t>（</w:t>
                  </w:r>
                  <w:r>
                    <w:rPr>
                      <w:rFonts w:hint="eastAsia" w:cs="Times New Roman"/>
                      <w:b/>
                      <w:bCs/>
                      <w:kern w:val="2"/>
                      <w:sz w:val="21"/>
                      <w:szCs w:val="21"/>
                      <w:lang w:val="en-US" w:eastAsia="zh-CN"/>
                    </w:rPr>
                    <w:t>一）评分内容</w:t>
                  </w:r>
                </w:p>
                <w:p>
                  <w:pPr>
                    <w:widowControl/>
                    <w:spacing w:line="276" w:lineRule="auto"/>
                    <w:jc w:val="both"/>
                    <w:rPr>
                      <w:rFonts w:hint="eastAsia" w:cs="宋体"/>
                      <w:kern w:val="2"/>
                      <w:sz w:val="21"/>
                      <w:szCs w:val="21"/>
                      <w:lang w:val="en-US" w:eastAsia="zh-CN"/>
                    </w:rPr>
                  </w:pPr>
                  <w:r>
                    <w:rPr>
                      <w:rFonts w:hint="eastAsia" w:cs="宋体"/>
                      <w:kern w:val="2"/>
                      <w:sz w:val="21"/>
                      <w:szCs w:val="21"/>
                      <w:lang w:val="en-US" w:eastAsia="zh-CN"/>
                    </w:rPr>
                    <w:t>1.</w:t>
                  </w:r>
                  <w:r>
                    <w:rPr>
                      <w:rFonts w:hint="eastAsia" w:cs="Times New Roman"/>
                      <w:kern w:val="2"/>
                      <w:sz w:val="21"/>
                      <w:szCs w:val="21"/>
                    </w:rPr>
                    <w:t>拟安排项目主要团队成员</w:t>
                  </w:r>
                  <w:r>
                    <w:rPr>
                      <w:rFonts w:hint="eastAsia" w:cs="Times New Roman"/>
                      <w:kern w:val="2"/>
                      <w:sz w:val="21"/>
                      <w:szCs w:val="21"/>
                      <w:lang w:val="en-US" w:eastAsia="zh-CN"/>
                    </w:rPr>
                    <w:t>不少于3人，且均为</w:t>
                  </w:r>
                  <w:r>
                    <w:rPr>
                      <w:rFonts w:hint="eastAsia" w:cs="Times New Roman"/>
                      <w:kern w:val="2"/>
                      <w:sz w:val="21"/>
                      <w:szCs w:val="21"/>
                    </w:rPr>
                    <w:t>投标单位自有员工，否则不</w:t>
                  </w:r>
                  <w:r>
                    <w:rPr>
                      <w:rFonts w:hint="eastAsia" w:cs="Times New Roman"/>
                      <w:kern w:val="2"/>
                      <w:sz w:val="21"/>
                      <w:szCs w:val="21"/>
                      <w:lang w:val="en-US" w:eastAsia="zh-CN"/>
                    </w:rPr>
                    <w:t>得分：</w:t>
                  </w:r>
                </w:p>
                <w:p>
                  <w:pPr>
                    <w:widowControl/>
                    <w:spacing w:line="276" w:lineRule="auto"/>
                    <w:jc w:val="both"/>
                    <w:rPr>
                      <w:rFonts w:hint="eastAsia" w:cs="Times New Roman"/>
                      <w:kern w:val="2"/>
                      <w:sz w:val="21"/>
                      <w:szCs w:val="21"/>
                      <w:lang w:val="en-US" w:eastAsia="zh-CN"/>
                    </w:rPr>
                  </w:pPr>
                  <w:r>
                    <w:rPr>
                      <w:rFonts w:hint="eastAsia"/>
                      <w:kern w:val="2"/>
                      <w:sz w:val="21"/>
                      <w:szCs w:val="21"/>
                      <w:lang w:val="en-US" w:eastAsia="zh-CN"/>
                    </w:rPr>
                    <w:t>2.项目主要团队成员具备</w:t>
                  </w:r>
                  <w:r>
                    <w:rPr>
                      <w:rFonts w:hint="eastAsia" w:cs="Times New Roman"/>
                      <w:kern w:val="2"/>
                      <w:sz w:val="21"/>
                      <w:szCs w:val="21"/>
                    </w:rPr>
                    <w:t>3年以上（含3年）政府机关</w:t>
                  </w:r>
                  <w:r>
                    <w:rPr>
                      <w:rFonts w:hint="eastAsia" w:cs="Times New Roman"/>
                      <w:kern w:val="2"/>
                      <w:sz w:val="21"/>
                      <w:szCs w:val="21"/>
                      <w:lang w:val="en-US" w:eastAsia="zh-CN"/>
                    </w:rPr>
                    <w:t>或</w:t>
                  </w:r>
                  <w:r>
                    <w:rPr>
                      <w:rFonts w:hint="eastAsia" w:cs="Times New Roman"/>
                      <w:kern w:val="2"/>
                      <w:sz w:val="21"/>
                      <w:szCs w:val="21"/>
                    </w:rPr>
                    <w:t>事业单位</w:t>
                  </w:r>
                  <w:r>
                    <w:rPr>
                      <w:rFonts w:hint="eastAsia" w:cs="Times New Roman"/>
                      <w:kern w:val="2"/>
                      <w:sz w:val="21"/>
                      <w:szCs w:val="21"/>
                      <w:lang w:val="en-US" w:eastAsia="zh-CN"/>
                    </w:rPr>
                    <w:t>的</w:t>
                  </w:r>
                  <w:r>
                    <w:rPr>
                      <w:rFonts w:hint="eastAsia" w:cs="Times New Roman"/>
                      <w:kern w:val="2"/>
                      <w:sz w:val="21"/>
                      <w:szCs w:val="21"/>
                    </w:rPr>
                    <w:t>预算绩效管理</w:t>
                  </w:r>
                  <w:r>
                    <w:rPr>
                      <w:rFonts w:hint="eastAsia" w:cs="Times New Roman"/>
                      <w:kern w:val="2"/>
                      <w:sz w:val="21"/>
                      <w:szCs w:val="21"/>
                      <w:lang w:val="en-US" w:eastAsia="zh-CN"/>
                    </w:rPr>
                    <w:t>经验，</w:t>
                  </w:r>
                </w:p>
                <w:p>
                  <w:pPr>
                    <w:widowControl/>
                    <w:spacing w:line="276" w:lineRule="auto"/>
                    <w:jc w:val="both"/>
                    <w:rPr>
                      <w:rFonts w:hint="eastAsia" w:cs="Times New Roman"/>
                      <w:kern w:val="2"/>
                      <w:sz w:val="21"/>
                      <w:szCs w:val="21"/>
                      <w:lang w:val="en-US" w:eastAsia="zh-CN"/>
                    </w:rPr>
                  </w:pPr>
                  <w:r>
                    <w:rPr>
                      <w:rFonts w:hint="eastAsia" w:cs="Times New Roman"/>
                      <w:kern w:val="2"/>
                      <w:sz w:val="21"/>
                      <w:szCs w:val="21"/>
                      <w:lang w:val="en-US" w:eastAsia="zh-CN"/>
                    </w:rPr>
                    <w:t>每提供1人，得2分，本小项最高得4分；</w:t>
                  </w:r>
                </w:p>
                <w:p>
                  <w:pPr>
                    <w:widowControl/>
                    <w:spacing w:line="276" w:lineRule="auto"/>
                    <w:jc w:val="both"/>
                    <w:rPr>
                      <w:rFonts w:hint="default" w:eastAsia="宋体" w:cs="Times New Roman"/>
                      <w:kern w:val="2"/>
                      <w:sz w:val="21"/>
                      <w:szCs w:val="21"/>
                      <w:lang w:val="en-US" w:eastAsia="zh-CN"/>
                    </w:rPr>
                  </w:pPr>
                  <w:r>
                    <w:rPr>
                      <w:rFonts w:hint="eastAsia" w:cs="Times New Roman"/>
                      <w:kern w:val="2"/>
                      <w:sz w:val="21"/>
                      <w:szCs w:val="21"/>
                      <w:lang w:val="en-US" w:eastAsia="zh-CN"/>
                    </w:rPr>
                    <w:t>3.</w:t>
                  </w:r>
                  <w:r>
                    <w:rPr>
                      <w:rFonts w:hint="eastAsia" w:cs="Times New Roman"/>
                      <w:kern w:val="2"/>
                      <w:sz w:val="21"/>
                      <w:szCs w:val="21"/>
                    </w:rPr>
                    <w:t>项目主要团队成员具备3年以上（含3年）政府机关或事业单位</w:t>
                  </w:r>
                  <w:r>
                    <w:rPr>
                      <w:rFonts w:hint="eastAsia" w:cs="Times New Roman"/>
                      <w:kern w:val="2"/>
                      <w:sz w:val="21"/>
                      <w:szCs w:val="21"/>
                      <w:lang w:val="en-US" w:eastAsia="zh-CN"/>
                    </w:rPr>
                    <w:t>或企业</w:t>
                  </w:r>
                  <w:r>
                    <w:rPr>
                      <w:rFonts w:hint="eastAsia" w:cs="Times New Roman"/>
                      <w:kern w:val="2"/>
                      <w:sz w:val="21"/>
                      <w:szCs w:val="21"/>
                    </w:rPr>
                    <w:t>的财务监督检查</w:t>
                  </w:r>
                  <w:r>
                    <w:rPr>
                      <w:rFonts w:hint="eastAsia" w:cs="Times New Roman"/>
                      <w:kern w:val="2"/>
                      <w:sz w:val="21"/>
                      <w:szCs w:val="21"/>
                      <w:lang w:val="en-US" w:eastAsia="zh-CN"/>
                    </w:rPr>
                    <w:t>或</w:t>
                  </w:r>
                  <w:r>
                    <w:rPr>
                      <w:rFonts w:hint="eastAsia" w:cs="Times New Roman"/>
                      <w:kern w:val="2"/>
                      <w:sz w:val="21"/>
                      <w:szCs w:val="21"/>
                    </w:rPr>
                    <w:t>财务审计</w:t>
                  </w:r>
                  <w:r>
                    <w:rPr>
                      <w:rFonts w:hint="eastAsia" w:cs="Times New Roman"/>
                      <w:kern w:val="2"/>
                      <w:sz w:val="21"/>
                      <w:szCs w:val="21"/>
                      <w:lang w:eastAsia="zh-CN"/>
                    </w:rPr>
                    <w:t>（</w:t>
                  </w:r>
                  <w:r>
                    <w:rPr>
                      <w:rFonts w:hint="eastAsia" w:cs="Times New Roman"/>
                      <w:kern w:val="2"/>
                      <w:sz w:val="21"/>
                      <w:szCs w:val="21"/>
                      <w:lang w:val="en-US" w:eastAsia="zh-CN"/>
                    </w:rPr>
                    <w:t>含专项审计）经验。</w:t>
                  </w:r>
                  <w:r>
                    <w:rPr>
                      <w:rFonts w:hint="eastAsia" w:cs="Times New Roman"/>
                      <w:kern w:val="2"/>
                      <w:sz w:val="21"/>
                      <w:szCs w:val="21"/>
                    </w:rPr>
                    <w:t>每提供1人得</w:t>
                  </w:r>
                  <w:r>
                    <w:rPr>
                      <w:rFonts w:hint="eastAsia" w:cs="Times New Roman"/>
                      <w:kern w:val="2"/>
                      <w:sz w:val="21"/>
                      <w:szCs w:val="21"/>
                      <w:lang w:val="en-US" w:eastAsia="zh-CN"/>
                    </w:rPr>
                    <w:t>1</w:t>
                  </w:r>
                  <w:r>
                    <w:rPr>
                      <w:rFonts w:hint="eastAsia" w:cs="Times New Roman"/>
                      <w:kern w:val="2"/>
                      <w:sz w:val="21"/>
                      <w:szCs w:val="21"/>
                    </w:rPr>
                    <w:t>分</w:t>
                  </w:r>
                  <w:r>
                    <w:rPr>
                      <w:rFonts w:hint="eastAsia" w:cs="Times New Roman"/>
                      <w:kern w:val="2"/>
                      <w:sz w:val="21"/>
                      <w:szCs w:val="21"/>
                      <w:lang w:eastAsia="zh-CN"/>
                    </w:rPr>
                    <w:t>，</w:t>
                  </w:r>
                  <w:r>
                    <w:rPr>
                      <w:rFonts w:hint="eastAsia" w:cs="Times New Roman"/>
                      <w:kern w:val="2"/>
                      <w:sz w:val="21"/>
                      <w:szCs w:val="21"/>
                      <w:lang w:val="en-US" w:eastAsia="zh-CN"/>
                    </w:rPr>
                    <w:t>本小项最高得2分。</w:t>
                  </w:r>
                </w:p>
                <w:p>
                  <w:pPr>
                    <w:widowControl w:val="0"/>
                    <w:spacing w:line="276" w:lineRule="auto"/>
                    <w:jc w:val="both"/>
                    <w:rPr>
                      <w:rFonts w:hint="eastAsia" w:cs="Times New Roman"/>
                      <w:kern w:val="2"/>
                      <w:sz w:val="21"/>
                      <w:szCs w:val="21"/>
                    </w:rPr>
                  </w:pPr>
                  <w:r>
                    <w:rPr>
                      <w:rFonts w:hint="eastAsia" w:cs="Times New Roman"/>
                      <w:kern w:val="2"/>
                      <w:sz w:val="21"/>
                      <w:szCs w:val="21"/>
                      <w:lang w:val="en-US" w:eastAsia="zh-CN"/>
                    </w:rPr>
                    <w:t>4</w:t>
                  </w:r>
                  <w:r>
                    <w:rPr>
                      <w:rFonts w:hint="eastAsia" w:cs="Times New Roman"/>
                      <w:kern w:val="2"/>
                      <w:sz w:val="21"/>
                      <w:szCs w:val="21"/>
                    </w:rPr>
                    <w:t>.</w:t>
                  </w:r>
                  <w:r>
                    <w:rPr>
                      <w:rFonts w:hint="eastAsia" w:cs="Times New Roman"/>
                      <w:kern w:val="2"/>
                      <w:sz w:val="21"/>
                      <w:szCs w:val="21"/>
                      <w:lang w:val="en-US" w:eastAsia="zh-CN"/>
                    </w:rPr>
                    <w:t>项目小组成员</w:t>
                  </w:r>
                  <w:r>
                    <w:rPr>
                      <w:rFonts w:hint="eastAsia" w:cs="Times New Roman"/>
                      <w:kern w:val="2"/>
                      <w:sz w:val="21"/>
                      <w:szCs w:val="21"/>
                    </w:rPr>
                    <w:t>具有</w:t>
                  </w:r>
                  <w:r>
                    <w:rPr>
                      <w:rFonts w:hint="eastAsia" w:cs="Times New Roman"/>
                      <w:kern w:val="2"/>
                      <w:sz w:val="21"/>
                      <w:szCs w:val="21"/>
                      <w:lang w:val="en-US" w:eastAsia="zh-CN"/>
                    </w:rPr>
                    <w:t>大学本科学历</w:t>
                  </w:r>
                  <w:r>
                    <w:rPr>
                      <w:rFonts w:hint="eastAsia" w:cs="Times New Roman"/>
                      <w:kern w:val="2"/>
                      <w:sz w:val="21"/>
                      <w:szCs w:val="21"/>
                    </w:rPr>
                    <w:t>，每具备</w:t>
                  </w:r>
                  <w:r>
                    <w:rPr>
                      <w:rFonts w:hint="eastAsia" w:cs="Times New Roman"/>
                      <w:kern w:val="2"/>
                      <w:sz w:val="21"/>
                      <w:szCs w:val="21"/>
                      <w:lang w:val="en-US" w:eastAsia="zh-CN"/>
                    </w:rPr>
                    <w:t>1</w:t>
                  </w:r>
                  <w:r>
                    <w:rPr>
                      <w:rFonts w:hint="eastAsia" w:cs="Times New Roman"/>
                      <w:kern w:val="2"/>
                      <w:sz w:val="21"/>
                      <w:szCs w:val="21"/>
                    </w:rPr>
                    <w:t>人得</w:t>
                  </w:r>
                  <w:r>
                    <w:rPr>
                      <w:rFonts w:hint="eastAsia" w:cs="Times New Roman"/>
                      <w:kern w:val="2"/>
                      <w:sz w:val="21"/>
                      <w:szCs w:val="21"/>
                      <w:lang w:val="en-US" w:eastAsia="zh-CN"/>
                    </w:rPr>
                    <w:t>0.5</w:t>
                  </w:r>
                  <w:r>
                    <w:rPr>
                      <w:rFonts w:hint="eastAsia" w:cs="Times New Roman"/>
                      <w:kern w:val="2"/>
                      <w:sz w:val="21"/>
                      <w:szCs w:val="21"/>
                    </w:rPr>
                    <w:t>分，</w:t>
                  </w:r>
                  <w:r>
                    <w:rPr>
                      <w:rFonts w:hint="eastAsia" w:cs="Times New Roman"/>
                      <w:kern w:val="2"/>
                      <w:sz w:val="21"/>
                      <w:szCs w:val="21"/>
                      <w:lang w:val="en-US" w:eastAsia="zh-CN"/>
                    </w:rPr>
                    <w:t>满分1</w:t>
                  </w:r>
                  <w:r>
                    <w:rPr>
                      <w:rFonts w:hint="eastAsia" w:cs="Times New Roman"/>
                      <w:kern w:val="2"/>
                      <w:sz w:val="21"/>
                      <w:szCs w:val="21"/>
                    </w:rPr>
                    <w:t>分</w:t>
                  </w:r>
                  <w:r>
                    <w:rPr>
                      <w:rFonts w:hint="eastAsia" w:cs="Times New Roman"/>
                      <w:kern w:val="2"/>
                      <w:sz w:val="21"/>
                      <w:szCs w:val="21"/>
                      <w:lang w:eastAsia="zh-CN"/>
                    </w:rPr>
                    <w:t>；</w:t>
                  </w:r>
                  <w:r>
                    <w:rPr>
                      <w:rFonts w:hint="eastAsia" w:cs="Times New Roman"/>
                      <w:kern w:val="2"/>
                      <w:sz w:val="21"/>
                      <w:szCs w:val="21"/>
                    </w:rPr>
                    <w:t>项目小组成员最高学历为研究生及以上的，每提供1人得</w:t>
                  </w:r>
                  <w:r>
                    <w:rPr>
                      <w:rFonts w:hint="eastAsia" w:cs="Times New Roman"/>
                      <w:kern w:val="2"/>
                      <w:sz w:val="21"/>
                      <w:szCs w:val="21"/>
                      <w:lang w:val="en-US" w:eastAsia="zh-CN"/>
                    </w:rPr>
                    <w:t>1</w:t>
                  </w:r>
                  <w:r>
                    <w:rPr>
                      <w:rFonts w:hint="eastAsia" w:cs="Times New Roman"/>
                      <w:kern w:val="2"/>
                      <w:sz w:val="21"/>
                      <w:szCs w:val="21"/>
                    </w:rPr>
                    <w:t>分，满分</w:t>
                  </w:r>
                  <w:r>
                    <w:rPr>
                      <w:rFonts w:hint="eastAsia" w:cs="Times New Roman"/>
                      <w:kern w:val="2"/>
                      <w:sz w:val="21"/>
                      <w:szCs w:val="21"/>
                      <w:lang w:val="en-US" w:eastAsia="zh-CN"/>
                    </w:rPr>
                    <w:t>2</w:t>
                  </w:r>
                  <w:r>
                    <w:rPr>
                      <w:rFonts w:hint="eastAsia" w:cs="Times New Roman"/>
                      <w:kern w:val="2"/>
                      <w:sz w:val="21"/>
                      <w:szCs w:val="21"/>
                    </w:rPr>
                    <w:t>分。本小项最高分得</w:t>
                  </w:r>
                  <w:r>
                    <w:rPr>
                      <w:rFonts w:hint="eastAsia" w:cs="Times New Roman"/>
                      <w:kern w:val="2"/>
                      <w:sz w:val="21"/>
                      <w:szCs w:val="21"/>
                      <w:lang w:val="en-US" w:eastAsia="zh-CN"/>
                    </w:rPr>
                    <w:t>2</w:t>
                  </w:r>
                  <w:r>
                    <w:rPr>
                      <w:rFonts w:hint="eastAsia" w:cs="Times New Roman"/>
                      <w:kern w:val="2"/>
                      <w:sz w:val="21"/>
                      <w:szCs w:val="21"/>
                    </w:rPr>
                    <w:t>分；</w:t>
                  </w:r>
                </w:p>
                <w:p>
                  <w:pPr>
                    <w:widowControl w:val="0"/>
                    <w:spacing w:line="276" w:lineRule="auto"/>
                    <w:jc w:val="both"/>
                    <w:rPr>
                      <w:rFonts w:hint="eastAsia" w:cs="Times New Roman"/>
                      <w:kern w:val="2"/>
                      <w:sz w:val="21"/>
                      <w:szCs w:val="21"/>
                    </w:rPr>
                  </w:pPr>
                  <w:r>
                    <w:rPr>
                      <w:rFonts w:hint="eastAsia" w:cs="Times New Roman"/>
                      <w:kern w:val="2"/>
                      <w:sz w:val="21"/>
                      <w:szCs w:val="21"/>
                      <w:lang w:val="en-US" w:eastAsia="zh-CN"/>
                    </w:rPr>
                    <w:t>5.</w:t>
                  </w:r>
                  <w:r>
                    <w:rPr>
                      <w:rFonts w:hint="eastAsia" w:cs="Times New Roman"/>
                      <w:kern w:val="2"/>
                      <w:sz w:val="21"/>
                      <w:szCs w:val="21"/>
                    </w:rPr>
                    <w:t>具有中级或以上会计师职称或具有注册会计师资格</w:t>
                  </w:r>
                  <w:r>
                    <w:rPr>
                      <w:rFonts w:hint="eastAsia" w:cs="Times New Roman"/>
                      <w:kern w:val="2"/>
                      <w:sz w:val="21"/>
                      <w:szCs w:val="21"/>
                      <w:lang w:val="en-US" w:eastAsia="zh-CN"/>
                    </w:rPr>
                    <w:t>或注册造价工程师的</w:t>
                  </w:r>
                  <w:r>
                    <w:rPr>
                      <w:rFonts w:hint="eastAsia" w:cs="Times New Roman"/>
                      <w:kern w:val="2"/>
                      <w:sz w:val="21"/>
                      <w:szCs w:val="21"/>
                    </w:rPr>
                    <w:t>，每具备1人得</w:t>
                  </w:r>
                  <w:r>
                    <w:rPr>
                      <w:rFonts w:hint="eastAsia" w:cs="Times New Roman"/>
                      <w:kern w:val="2"/>
                      <w:sz w:val="21"/>
                      <w:szCs w:val="21"/>
                      <w:lang w:val="en-US" w:eastAsia="zh-CN"/>
                    </w:rPr>
                    <w:t>1</w:t>
                  </w:r>
                  <w:r>
                    <w:rPr>
                      <w:rFonts w:hint="eastAsia" w:cs="Times New Roman"/>
                      <w:kern w:val="2"/>
                      <w:sz w:val="21"/>
                      <w:szCs w:val="21"/>
                    </w:rPr>
                    <w:t>分，最高得</w:t>
                  </w:r>
                  <w:r>
                    <w:rPr>
                      <w:rFonts w:hint="eastAsia" w:cs="Times New Roman"/>
                      <w:kern w:val="2"/>
                      <w:sz w:val="21"/>
                      <w:szCs w:val="21"/>
                      <w:lang w:val="en-US" w:eastAsia="zh-CN"/>
                    </w:rPr>
                    <w:t>2</w:t>
                  </w:r>
                  <w:r>
                    <w:rPr>
                      <w:rFonts w:hint="eastAsia" w:cs="Times New Roman"/>
                      <w:kern w:val="2"/>
                      <w:sz w:val="21"/>
                      <w:szCs w:val="21"/>
                    </w:rPr>
                    <w:t>分。</w:t>
                  </w:r>
                </w:p>
                <w:p>
                  <w:pPr>
                    <w:widowControl w:val="0"/>
                    <w:spacing w:line="276" w:lineRule="auto"/>
                    <w:jc w:val="both"/>
                    <w:rPr>
                      <w:rFonts w:hint="eastAsia" w:eastAsia="宋体" w:cs="Times New Roman"/>
                      <w:kern w:val="2"/>
                      <w:sz w:val="21"/>
                      <w:szCs w:val="21"/>
                      <w:lang w:eastAsia="zh-CN"/>
                    </w:rPr>
                  </w:pPr>
                  <w:r>
                    <w:rPr>
                      <w:rFonts w:hint="eastAsia" w:cs="Times New Roman"/>
                      <w:kern w:val="2"/>
                      <w:sz w:val="21"/>
                      <w:szCs w:val="21"/>
                    </w:rPr>
                    <w:t>注：项目主要团队成员同一人可重复计分</w:t>
                  </w:r>
                  <w:r>
                    <w:rPr>
                      <w:rFonts w:hint="eastAsia" w:cs="Times New Roman"/>
                      <w:kern w:val="2"/>
                      <w:sz w:val="21"/>
                      <w:szCs w:val="21"/>
                      <w:lang w:eastAsia="zh-CN"/>
                    </w:rPr>
                    <w:t>。</w:t>
                  </w:r>
                </w:p>
                <w:p>
                  <w:pPr>
                    <w:widowControl w:val="0"/>
                    <w:spacing w:line="276" w:lineRule="auto"/>
                    <w:jc w:val="both"/>
                    <w:rPr>
                      <w:rFonts w:cs="Times New Roman"/>
                      <w:b/>
                      <w:kern w:val="2"/>
                      <w:sz w:val="21"/>
                      <w:szCs w:val="21"/>
                    </w:rPr>
                  </w:pPr>
                  <w:r>
                    <w:rPr>
                      <w:rFonts w:hint="eastAsia" w:cs="Times New Roman"/>
                      <w:b/>
                      <w:kern w:val="2"/>
                      <w:sz w:val="21"/>
                      <w:szCs w:val="21"/>
                      <w:lang w:eastAsia="zh-CN"/>
                    </w:rPr>
                    <w:t>（</w:t>
                  </w:r>
                  <w:r>
                    <w:rPr>
                      <w:rFonts w:hint="eastAsia" w:cs="Times New Roman"/>
                      <w:b/>
                      <w:kern w:val="2"/>
                      <w:sz w:val="21"/>
                      <w:szCs w:val="21"/>
                      <w:lang w:val="en-US" w:eastAsia="zh-CN"/>
                    </w:rPr>
                    <w:t>二）评分标准及依据</w:t>
                  </w:r>
                </w:p>
                <w:p>
                  <w:pPr>
                    <w:jc w:val="both"/>
                    <w:rPr>
                      <w:rFonts w:hint="eastAsia"/>
                      <w:kern w:val="2"/>
                      <w:sz w:val="21"/>
                      <w:szCs w:val="21"/>
                    </w:rPr>
                  </w:pPr>
                  <w:r>
                    <w:rPr>
                      <w:rFonts w:hint="eastAsia"/>
                      <w:kern w:val="2"/>
                      <w:sz w:val="21"/>
                      <w:szCs w:val="21"/>
                      <w:lang w:val="en-US" w:eastAsia="zh-CN"/>
                    </w:rPr>
                    <w:t>1.</w:t>
                  </w:r>
                  <w:r>
                    <w:rPr>
                      <w:rFonts w:hint="eastAsia"/>
                      <w:kern w:val="2"/>
                      <w:sz w:val="21"/>
                      <w:szCs w:val="21"/>
                    </w:rPr>
                    <w:t>证书需提供复印件加盖投标人公章（或官方网站截图），原件备查；</w:t>
                  </w:r>
                </w:p>
                <w:p>
                  <w:pPr>
                    <w:jc w:val="both"/>
                    <w:rPr>
                      <w:rFonts w:hint="eastAsia"/>
                      <w:kern w:val="2"/>
                      <w:sz w:val="21"/>
                      <w:szCs w:val="21"/>
                    </w:rPr>
                  </w:pPr>
                  <w:r>
                    <w:rPr>
                      <w:rFonts w:hint="eastAsia"/>
                      <w:kern w:val="2"/>
                      <w:sz w:val="21"/>
                      <w:szCs w:val="21"/>
                      <w:lang w:eastAsia="zh-CN"/>
                    </w:rPr>
                    <w:t>2</w:t>
                  </w:r>
                  <w:r>
                    <w:rPr>
                      <w:rFonts w:hint="eastAsia"/>
                      <w:kern w:val="2"/>
                      <w:sz w:val="21"/>
                      <w:szCs w:val="21"/>
                      <w:lang w:val="en-US" w:eastAsia="zh-CN"/>
                    </w:rPr>
                    <w:t>.</w:t>
                  </w:r>
                  <w:r>
                    <w:rPr>
                      <w:rFonts w:hint="eastAsia"/>
                      <w:kern w:val="2"/>
                      <w:sz w:val="21"/>
                      <w:szCs w:val="21"/>
                    </w:rPr>
                    <w:t>工作经验需提供项目合同文件关键页复印件加盖投标人公章作为依据，或甲方出具的证明文件；</w:t>
                  </w:r>
                </w:p>
                <w:p>
                  <w:pPr>
                    <w:jc w:val="both"/>
                    <w:rPr>
                      <w:sz w:val="21"/>
                      <w:szCs w:val="21"/>
                    </w:rPr>
                  </w:pPr>
                  <w:r>
                    <w:rPr>
                      <w:rFonts w:hint="eastAsia"/>
                      <w:kern w:val="2"/>
                      <w:sz w:val="21"/>
                      <w:szCs w:val="21"/>
                      <w:lang w:eastAsia="zh-CN"/>
                    </w:rPr>
                    <w:t>3</w:t>
                  </w:r>
                  <w:r>
                    <w:rPr>
                      <w:rFonts w:hint="eastAsia"/>
                      <w:kern w:val="2"/>
                      <w:sz w:val="21"/>
                      <w:szCs w:val="21"/>
                      <w:lang w:val="en-US" w:eastAsia="zh-CN"/>
                    </w:rPr>
                    <w:t>.</w:t>
                  </w:r>
                  <w:r>
                    <w:rPr>
                      <w:rFonts w:hint="eastAsia"/>
                      <w:kern w:val="2"/>
                      <w:sz w:val="21"/>
                      <w:szCs w:val="21"/>
                    </w:rPr>
                    <w:t>需提供近</w:t>
                  </w:r>
                  <w:r>
                    <w:rPr>
                      <w:rFonts w:hint="eastAsia"/>
                      <w:kern w:val="2"/>
                      <w:sz w:val="21"/>
                      <w:szCs w:val="21"/>
                      <w:lang w:val="en-US" w:eastAsia="zh-CN"/>
                    </w:rPr>
                    <w:t>三</w:t>
                  </w:r>
                  <w:r>
                    <w:rPr>
                      <w:rFonts w:hint="eastAsia"/>
                      <w:kern w:val="2"/>
                      <w:sz w:val="21"/>
                      <w:szCs w:val="21"/>
                    </w:rPr>
                    <w:t>个月的社保缴纳证明。提供相应的职称证书或学历证书复印件加盖单位公章，不提供不得分。</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r>
                    <w:rPr>
                      <w:rFonts w:hint="eastAsia"/>
                      <w:sz w:val="21"/>
                      <w:szCs w:val="21"/>
                    </w:rPr>
                    <w:t>需提供近三个月的个人社保记录、项目合同关键信息、履约验收资料</w:t>
                  </w:r>
                  <w:r>
                    <w:rPr>
                      <w:rFonts w:hint="eastAsia"/>
                      <w:sz w:val="21"/>
                      <w:szCs w:val="21"/>
                      <w:lang w:eastAsia="zh-CN"/>
                    </w:rPr>
                    <w:t>、</w:t>
                  </w:r>
                  <w:r>
                    <w:rPr>
                      <w:rFonts w:hint="eastAsia"/>
                      <w:sz w:val="21"/>
                      <w:szCs w:val="21"/>
                      <w:lang w:val="en-US" w:eastAsia="zh-CN"/>
                    </w:rPr>
                    <w:t>学历证书、资质证书</w:t>
                  </w:r>
                  <w:r>
                    <w:rPr>
                      <w:rFonts w:hint="eastAsia"/>
                      <w:sz w:val="21"/>
                      <w:szCs w:val="21"/>
                    </w:rPr>
                    <w:t>等（无需全部提供，能证明即可）</w:t>
                  </w: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428" w:type="dxa"/>
                  <w:vMerge w:val="restart"/>
                  <w:tcBorders>
                    <w:top w:val="single" w:color="000000" w:sz="8" w:space="0"/>
                    <w:left w:val="single" w:color="000000" w:sz="8" w:space="0"/>
                    <w:right w:val="single" w:color="000000" w:sz="8" w:space="0"/>
                  </w:tcBorders>
                  <w:vAlign w:val="center"/>
                </w:tcPr>
                <w:p>
                  <w:pPr>
                    <w:wordWrap w:val="0"/>
                    <w:jc w:val="center"/>
                    <w:rPr>
                      <w:b/>
                      <w:bCs/>
                    </w:rPr>
                  </w:pPr>
                  <w:r>
                    <w:rPr>
                      <w:rFonts w:hint="eastAsia"/>
                      <w:b/>
                      <w:bCs/>
                    </w:rPr>
                    <w:t>4</w:t>
                  </w:r>
                </w:p>
              </w:tc>
              <w:tc>
                <w:tcPr>
                  <w:tcW w:w="2792"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b/>
                      <w:bCs/>
                    </w:rPr>
                    <w:t>技术</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b/>
                      <w:bCs/>
                      <w:lang w:val="en-US" w:eastAsia="zh-CN"/>
                    </w:rPr>
                  </w:pPr>
                  <w:r>
                    <w:rPr>
                      <w:rFonts w:hint="eastAsia"/>
                      <w:b/>
                      <w:bCs/>
                      <w:lang w:val="en-US" w:eastAsia="zh-CN"/>
                    </w:rPr>
                    <w:t>30</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b/>
                      <w:bCs/>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0" w:hRule="atLeast"/>
                <w:jc w:val="center"/>
              </w:trPr>
              <w:tc>
                <w:tcPr>
                  <w:tcW w:w="428" w:type="dxa"/>
                  <w:vMerge w:val="continue"/>
                  <w:tcBorders>
                    <w:left w:val="single" w:color="000000" w:sz="8" w:space="0"/>
                    <w:right w:val="single" w:color="000000" w:sz="8" w:space="0"/>
                  </w:tcBorders>
                  <w:shd w:val="clear" w:color="auto" w:fill="E6EFFA"/>
                  <w:vAlign w:val="center"/>
                </w:tcPr>
                <w:p>
                  <w:pPr>
                    <w:jc w:val="center"/>
                    <w:rPr>
                      <w:b/>
                      <w:bCs/>
                    </w:rPr>
                  </w:pPr>
                </w:p>
              </w:tc>
              <w:tc>
                <w:tcPr>
                  <w:tcW w:w="43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序号</w:t>
                  </w:r>
                </w:p>
              </w:tc>
              <w:tc>
                <w:tcPr>
                  <w:tcW w:w="169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总分</w:t>
                  </w:r>
                </w:p>
              </w:tc>
              <w:tc>
                <w:tcPr>
                  <w:tcW w:w="433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评分准则</w:t>
                  </w:r>
                </w:p>
              </w:tc>
              <w:tc>
                <w:tcPr>
                  <w:tcW w:w="185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sz w:val="21"/>
                      <w:szCs w:val="21"/>
                    </w:rPr>
                  </w:pPr>
                  <w:r>
                    <w:rPr>
                      <w:rFonts w:hint="eastAsia"/>
                      <w:sz w:val="21"/>
                      <w:szCs w:val="21"/>
                    </w:rPr>
                    <w:t>备注</w:t>
                  </w:r>
                </w:p>
              </w:tc>
              <w:tc>
                <w:tcPr>
                  <w:tcW w:w="7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59"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rFonts w:hint="eastAsia"/>
                      <w:sz w:val="21"/>
                      <w:szCs w:val="21"/>
                    </w:rPr>
                    <w:t>1</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eastAsia="宋体"/>
                      <w:i/>
                      <w:iCs/>
                      <w:sz w:val="21"/>
                      <w:szCs w:val="21"/>
                      <w:u w:val="single"/>
                      <w:lang w:eastAsia="zh-CN"/>
                    </w:rPr>
                  </w:pPr>
                  <w:r>
                    <w:rPr>
                      <w:rFonts w:hint="eastAsia"/>
                      <w:i/>
                      <w:iCs/>
                      <w:sz w:val="21"/>
                      <w:szCs w:val="21"/>
                      <w:u w:val="single"/>
                      <w:lang w:val="en-US" w:eastAsia="zh-CN"/>
                    </w:rPr>
                    <w:t>实施方案</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sz w:val="21"/>
                      <w:szCs w:val="21"/>
                      <w:lang w:val="en-US" w:eastAsia="zh-CN"/>
                    </w:rPr>
                  </w:pPr>
                  <w:r>
                    <w:rPr>
                      <w:rFonts w:hint="eastAsia"/>
                      <w:sz w:val="21"/>
                      <w:szCs w:val="21"/>
                      <w:lang w:val="en-US" w:eastAsia="zh-CN"/>
                    </w:rPr>
                    <w:t>15</w:t>
                  </w:r>
                </w:p>
              </w:tc>
              <w:tc>
                <w:tcPr>
                  <w:tcW w:w="4334"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b/>
                      <w:bCs/>
                      <w:sz w:val="21"/>
                      <w:szCs w:val="21"/>
                    </w:rPr>
                  </w:pPr>
                  <w:r>
                    <w:rPr>
                      <w:rFonts w:hint="eastAsia"/>
                      <w:b/>
                      <w:bCs/>
                      <w:sz w:val="21"/>
                      <w:szCs w:val="21"/>
                      <w:lang w:eastAsia="zh-CN"/>
                    </w:rPr>
                    <w:t>（</w:t>
                  </w:r>
                  <w:r>
                    <w:rPr>
                      <w:rFonts w:hint="eastAsia"/>
                      <w:b/>
                      <w:bCs/>
                      <w:sz w:val="21"/>
                      <w:szCs w:val="21"/>
                    </w:rPr>
                    <w:t>一）评分内容：</w:t>
                  </w:r>
                </w:p>
                <w:p>
                  <w:pPr>
                    <w:jc w:val="both"/>
                    <w:rPr>
                      <w:rFonts w:hint="eastAsia"/>
                      <w:sz w:val="21"/>
                      <w:szCs w:val="21"/>
                    </w:rPr>
                  </w:pPr>
                  <w:r>
                    <w:rPr>
                      <w:rFonts w:hint="eastAsia"/>
                      <w:sz w:val="21"/>
                      <w:szCs w:val="21"/>
                    </w:rPr>
                    <w:t>针对本项目需求内容制定工作实施方案，包括</w:t>
                  </w:r>
                  <w:r>
                    <w:rPr>
                      <w:rFonts w:hint="eastAsia"/>
                      <w:sz w:val="21"/>
                      <w:szCs w:val="21"/>
                      <w:lang w:val="en-US" w:eastAsia="zh-CN"/>
                    </w:rPr>
                    <w:t>日常监督、财务核查以及预算绩效管理服务等三</w:t>
                  </w:r>
                  <w:r>
                    <w:rPr>
                      <w:rFonts w:hint="eastAsia"/>
                      <w:sz w:val="21"/>
                      <w:szCs w:val="21"/>
                    </w:rPr>
                    <w:t>部分内容。</w:t>
                  </w:r>
                </w:p>
                <w:p>
                  <w:pPr>
                    <w:jc w:val="both"/>
                    <w:rPr>
                      <w:rFonts w:hint="eastAsia"/>
                      <w:b/>
                      <w:bCs/>
                      <w:sz w:val="21"/>
                      <w:szCs w:val="21"/>
                    </w:rPr>
                  </w:pPr>
                  <w:r>
                    <w:rPr>
                      <w:rFonts w:hint="eastAsia"/>
                      <w:b/>
                      <w:bCs/>
                      <w:sz w:val="21"/>
                      <w:szCs w:val="21"/>
                    </w:rPr>
                    <w:t>（二）评分标准及依据：</w:t>
                  </w:r>
                </w:p>
                <w:p>
                  <w:pPr>
                    <w:jc w:val="both"/>
                    <w:rPr>
                      <w:rFonts w:hint="eastAsia"/>
                      <w:sz w:val="21"/>
                      <w:szCs w:val="21"/>
                    </w:rPr>
                  </w:pPr>
                  <w:r>
                    <w:rPr>
                      <w:rFonts w:hint="eastAsia"/>
                      <w:sz w:val="21"/>
                      <w:szCs w:val="21"/>
                    </w:rPr>
                    <w:t>满足以上</w:t>
                  </w:r>
                  <w:r>
                    <w:rPr>
                      <w:rFonts w:hint="eastAsia"/>
                      <w:sz w:val="21"/>
                      <w:szCs w:val="21"/>
                      <w:lang w:val="en-US" w:eastAsia="zh-CN"/>
                    </w:rPr>
                    <w:t>3</w:t>
                  </w:r>
                  <w:r>
                    <w:rPr>
                      <w:rFonts w:hint="eastAsia"/>
                      <w:sz w:val="21"/>
                      <w:szCs w:val="21"/>
                    </w:rPr>
                    <w:t>项得6分，满足以上</w:t>
                  </w:r>
                  <w:r>
                    <w:rPr>
                      <w:rFonts w:hint="eastAsia"/>
                      <w:sz w:val="21"/>
                      <w:szCs w:val="21"/>
                      <w:lang w:eastAsia="zh-CN"/>
                    </w:rPr>
                    <w:t>2</w:t>
                  </w:r>
                  <w:r>
                    <w:rPr>
                      <w:rFonts w:hint="eastAsia"/>
                      <w:sz w:val="21"/>
                      <w:szCs w:val="21"/>
                    </w:rPr>
                    <w:t>项得</w:t>
                  </w:r>
                  <w:r>
                    <w:rPr>
                      <w:rFonts w:hint="eastAsia"/>
                      <w:sz w:val="21"/>
                      <w:szCs w:val="21"/>
                      <w:lang w:val="en-US" w:eastAsia="zh-CN"/>
                    </w:rPr>
                    <w:t>4</w:t>
                  </w:r>
                  <w:r>
                    <w:rPr>
                      <w:rFonts w:hint="eastAsia"/>
                      <w:sz w:val="21"/>
                      <w:szCs w:val="21"/>
                    </w:rPr>
                    <w:t>分；</w:t>
                  </w:r>
                  <w:r>
                    <w:rPr>
                      <w:rFonts w:hint="eastAsia"/>
                      <w:sz w:val="21"/>
                      <w:szCs w:val="21"/>
                      <w:lang w:val="en-US" w:eastAsia="zh-CN"/>
                    </w:rPr>
                    <w:t>满足以上1项，得2分；</w:t>
                  </w:r>
                  <w:r>
                    <w:rPr>
                      <w:rFonts w:hint="eastAsia"/>
                      <w:sz w:val="21"/>
                      <w:szCs w:val="21"/>
                    </w:rPr>
                    <w:t>未满足不得分。</w:t>
                  </w:r>
                </w:p>
                <w:p>
                  <w:pPr>
                    <w:jc w:val="both"/>
                    <w:rPr>
                      <w:rFonts w:hint="eastAsia"/>
                      <w:sz w:val="21"/>
                      <w:szCs w:val="21"/>
                    </w:rPr>
                  </w:pPr>
                  <w:r>
                    <w:rPr>
                      <w:rFonts w:hint="eastAsia"/>
                      <w:sz w:val="21"/>
                      <w:szCs w:val="21"/>
                    </w:rPr>
                    <w:t>在此基础上，专家根据各供应商的具体响应内容按照量化的评审因素指标进一步评审。</w:t>
                  </w:r>
                </w:p>
                <w:p>
                  <w:pPr>
                    <w:jc w:val="both"/>
                    <w:rPr>
                      <w:rFonts w:hint="eastAsia"/>
                      <w:sz w:val="21"/>
                      <w:szCs w:val="21"/>
                    </w:rPr>
                  </w:pPr>
                  <w:r>
                    <w:rPr>
                      <w:rFonts w:hint="eastAsia"/>
                      <w:sz w:val="21"/>
                      <w:szCs w:val="21"/>
                    </w:rPr>
                    <w:t>优：以上</w:t>
                  </w:r>
                  <w:r>
                    <w:rPr>
                      <w:rFonts w:hint="eastAsia"/>
                      <w:sz w:val="21"/>
                      <w:szCs w:val="21"/>
                      <w:lang w:eastAsia="zh-CN"/>
                    </w:rPr>
                    <w:t>3</w:t>
                  </w:r>
                  <w:r>
                    <w:rPr>
                      <w:rFonts w:hint="eastAsia"/>
                      <w:sz w:val="21"/>
                      <w:szCs w:val="21"/>
                    </w:rPr>
                    <w:t>项内容全面、结构完整、可操作性强，符合行政单位实际、具体工作方案流程清晰，合理化建议可行、工作计划科学合理，服务保障措施到位，加9分；</w:t>
                  </w:r>
                </w:p>
                <w:p>
                  <w:pPr>
                    <w:jc w:val="both"/>
                    <w:rPr>
                      <w:rFonts w:hint="eastAsia"/>
                      <w:sz w:val="21"/>
                      <w:szCs w:val="21"/>
                    </w:rPr>
                  </w:pPr>
                  <w:r>
                    <w:rPr>
                      <w:rFonts w:hint="eastAsia"/>
                      <w:sz w:val="21"/>
                      <w:szCs w:val="21"/>
                    </w:rPr>
                    <w:t>良：以上</w:t>
                  </w:r>
                  <w:r>
                    <w:rPr>
                      <w:rFonts w:hint="eastAsia"/>
                      <w:sz w:val="21"/>
                      <w:szCs w:val="21"/>
                      <w:lang w:eastAsia="zh-CN"/>
                    </w:rPr>
                    <w:t>3</w:t>
                  </w:r>
                  <w:r>
                    <w:rPr>
                      <w:rFonts w:hint="eastAsia"/>
                      <w:sz w:val="21"/>
                      <w:szCs w:val="21"/>
                    </w:rPr>
                    <w:t>项内容比较全面、结构完整、可操作性比较强，比较符合行政单位实际、具体工作方案流程比较清晰，合理化建议比较可行、工作计划科学比较合理，服务保障措施比较到位，加6分；</w:t>
                  </w:r>
                </w:p>
                <w:p>
                  <w:pPr>
                    <w:jc w:val="both"/>
                    <w:rPr>
                      <w:rFonts w:hint="eastAsia"/>
                      <w:sz w:val="21"/>
                      <w:szCs w:val="21"/>
                    </w:rPr>
                  </w:pPr>
                  <w:r>
                    <w:rPr>
                      <w:rFonts w:hint="eastAsia"/>
                      <w:sz w:val="21"/>
                      <w:szCs w:val="21"/>
                    </w:rPr>
                    <w:t>中：以上内容结构一般、可操作性一般，符合行政单位实际情况一般、具体工作方案流程一般，合理化建议一般、工作计划一般，服务保障措施一般，加3分；</w:t>
                  </w:r>
                </w:p>
                <w:p>
                  <w:pPr>
                    <w:jc w:val="both"/>
                    <w:rPr>
                      <w:rFonts w:hint="eastAsia"/>
                      <w:sz w:val="21"/>
                      <w:szCs w:val="21"/>
                    </w:rPr>
                  </w:pPr>
                  <w:r>
                    <w:rPr>
                      <w:rFonts w:hint="eastAsia"/>
                      <w:sz w:val="21"/>
                      <w:szCs w:val="21"/>
                    </w:rPr>
                    <w:t>差：以上内容不全面、结构不完整、可操作性差，不符合行政单位实际、具体工作方案流程不清晰，合理化建议不可行、工作计划科学不合理，服务保障措施不到位，得0分。</w:t>
                  </w:r>
                </w:p>
                <w:p>
                  <w:pPr>
                    <w:wordWrap w:val="0"/>
                    <w:jc w:val="both"/>
                    <w:rPr>
                      <w:sz w:val="21"/>
                      <w:szCs w:val="21"/>
                    </w:rPr>
                  </w:pPr>
                  <w:r>
                    <w:rPr>
                      <w:rFonts w:hint="eastAsia"/>
                      <w:sz w:val="21"/>
                      <w:szCs w:val="21"/>
                    </w:rPr>
                    <w:t>如果评审为差，请书面说明理由，并记录存档。</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sz w:val="21"/>
                      <w:szCs w:val="21"/>
                    </w:rPr>
                  </w:pP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i/>
                      <w:iCs/>
                      <w:sz w:val="21"/>
                      <w:szCs w:val="21"/>
                      <w:u w:val="single"/>
                    </w:rPr>
                  </w:pPr>
                  <w:r>
                    <w:rPr>
                      <w:rFonts w:hint="eastAsia"/>
                      <w:i/>
                      <w:iCs/>
                      <w:sz w:val="21"/>
                      <w:szCs w:val="21"/>
                      <w:u w:val="single"/>
                    </w:rPr>
                    <w:t>项目重难点分析、应对措施及相关的合理化建议</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eastAsia="宋体"/>
                      <w:sz w:val="21"/>
                      <w:szCs w:val="21"/>
                      <w:lang w:val="en-US" w:eastAsia="zh-CN"/>
                    </w:rPr>
                  </w:pPr>
                  <w:r>
                    <w:rPr>
                      <w:rFonts w:hint="eastAsia"/>
                      <w:sz w:val="21"/>
                      <w:szCs w:val="21"/>
                      <w:lang w:val="en-US" w:eastAsia="zh-CN"/>
                    </w:rPr>
                    <w:t>10</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both"/>
                    <w:rPr>
                      <w:rFonts w:hint="eastAsia"/>
                      <w:b/>
                      <w:bCs/>
                      <w:sz w:val="21"/>
                      <w:szCs w:val="21"/>
                    </w:rPr>
                  </w:pPr>
                  <w:r>
                    <w:rPr>
                      <w:rFonts w:hint="eastAsia"/>
                      <w:b/>
                      <w:bCs/>
                      <w:sz w:val="21"/>
                      <w:szCs w:val="21"/>
                    </w:rPr>
                    <w:t>（一）评分内容：</w:t>
                  </w:r>
                </w:p>
                <w:p>
                  <w:pPr>
                    <w:wordWrap w:val="0"/>
                    <w:jc w:val="both"/>
                    <w:rPr>
                      <w:rFonts w:hint="eastAsia"/>
                      <w:sz w:val="21"/>
                      <w:szCs w:val="21"/>
                    </w:rPr>
                  </w:pPr>
                  <w:r>
                    <w:rPr>
                      <w:rFonts w:hint="eastAsia"/>
                      <w:sz w:val="21"/>
                      <w:szCs w:val="21"/>
                    </w:rPr>
                    <w:t xml:space="preserve">投标人需项目重点难点分析、应对措施及相关的合理化建议，内容包括: </w:t>
                  </w:r>
                </w:p>
                <w:p>
                  <w:pPr>
                    <w:wordWrap w:val="0"/>
                    <w:jc w:val="both"/>
                    <w:rPr>
                      <w:rFonts w:hint="default" w:eastAsia="宋体"/>
                      <w:sz w:val="21"/>
                      <w:szCs w:val="21"/>
                      <w:lang w:val="en-US" w:eastAsia="zh-CN"/>
                    </w:rPr>
                  </w:pPr>
                  <w:r>
                    <w:rPr>
                      <w:rFonts w:hint="eastAsia"/>
                      <w:sz w:val="21"/>
                      <w:szCs w:val="21"/>
                    </w:rPr>
                    <w:t>1.</w:t>
                  </w:r>
                  <w:r>
                    <w:rPr>
                      <w:rFonts w:hint="eastAsia"/>
                      <w:sz w:val="21"/>
                      <w:szCs w:val="21"/>
                      <w:lang w:val="en-US" w:eastAsia="zh-CN"/>
                    </w:rPr>
                    <w:t>分析项目需求；</w:t>
                  </w:r>
                </w:p>
                <w:p>
                  <w:pPr>
                    <w:wordWrap w:val="0"/>
                    <w:jc w:val="both"/>
                    <w:rPr>
                      <w:rFonts w:hint="eastAsia"/>
                      <w:sz w:val="21"/>
                      <w:szCs w:val="21"/>
                    </w:rPr>
                  </w:pPr>
                  <w:r>
                    <w:rPr>
                      <w:rFonts w:hint="eastAsia"/>
                      <w:sz w:val="21"/>
                      <w:szCs w:val="21"/>
                      <w:lang w:val="en-US" w:eastAsia="zh-CN"/>
                    </w:rPr>
                    <w:t>2.</w:t>
                  </w:r>
                  <w:r>
                    <w:rPr>
                      <w:rFonts w:hint="eastAsia"/>
                      <w:sz w:val="21"/>
                      <w:szCs w:val="21"/>
                    </w:rPr>
                    <w:t xml:space="preserve">项目重点难点分析； </w:t>
                  </w:r>
                </w:p>
                <w:p>
                  <w:pPr>
                    <w:wordWrap w:val="0"/>
                    <w:jc w:val="both"/>
                    <w:rPr>
                      <w:rFonts w:hint="eastAsia"/>
                      <w:sz w:val="21"/>
                      <w:szCs w:val="21"/>
                    </w:rPr>
                  </w:pPr>
                  <w:r>
                    <w:rPr>
                      <w:rFonts w:hint="eastAsia"/>
                      <w:sz w:val="21"/>
                      <w:szCs w:val="21"/>
                      <w:lang w:val="en-US" w:eastAsia="zh-CN"/>
                    </w:rPr>
                    <w:t>3</w:t>
                  </w:r>
                  <w:r>
                    <w:rPr>
                      <w:rFonts w:hint="eastAsia"/>
                      <w:sz w:val="21"/>
                      <w:szCs w:val="21"/>
                    </w:rPr>
                    <w:t xml:space="preserve">.项目重点难点应对措施； </w:t>
                  </w:r>
                </w:p>
                <w:p>
                  <w:pPr>
                    <w:wordWrap w:val="0"/>
                    <w:jc w:val="both"/>
                    <w:rPr>
                      <w:rFonts w:hint="eastAsia"/>
                      <w:sz w:val="21"/>
                      <w:szCs w:val="21"/>
                    </w:rPr>
                  </w:pPr>
                  <w:r>
                    <w:rPr>
                      <w:rFonts w:hint="eastAsia"/>
                      <w:sz w:val="21"/>
                      <w:szCs w:val="21"/>
                      <w:lang w:val="en-US" w:eastAsia="zh-CN"/>
                    </w:rPr>
                    <w:t>4.</w:t>
                  </w:r>
                  <w:r>
                    <w:rPr>
                      <w:rFonts w:hint="eastAsia"/>
                      <w:sz w:val="21"/>
                      <w:szCs w:val="21"/>
                    </w:rPr>
                    <w:t xml:space="preserve">相关的合理化建议。 </w:t>
                  </w:r>
                </w:p>
                <w:p>
                  <w:pPr>
                    <w:wordWrap w:val="0"/>
                    <w:jc w:val="both"/>
                    <w:rPr>
                      <w:rFonts w:hint="eastAsia"/>
                      <w:b/>
                      <w:bCs/>
                      <w:sz w:val="21"/>
                      <w:szCs w:val="21"/>
                    </w:rPr>
                  </w:pPr>
                  <w:r>
                    <w:rPr>
                      <w:rFonts w:hint="eastAsia"/>
                      <w:b/>
                      <w:bCs/>
                      <w:sz w:val="21"/>
                      <w:szCs w:val="21"/>
                    </w:rPr>
                    <w:t>（二）评分标准及依据：</w:t>
                  </w:r>
                </w:p>
                <w:p>
                  <w:pPr>
                    <w:wordWrap w:val="0"/>
                    <w:jc w:val="both"/>
                    <w:rPr>
                      <w:rFonts w:hint="eastAsia"/>
                      <w:sz w:val="21"/>
                      <w:szCs w:val="21"/>
                    </w:rPr>
                  </w:pPr>
                  <w:r>
                    <w:rPr>
                      <w:rFonts w:hint="eastAsia"/>
                      <w:sz w:val="21"/>
                      <w:szCs w:val="21"/>
                    </w:rPr>
                    <w:t>满足以上</w:t>
                  </w:r>
                  <w:r>
                    <w:rPr>
                      <w:rFonts w:hint="eastAsia"/>
                      <w:sz w:val="21"/>
                      <w:szCs w:val="21"/>
                      <w:lang w:val="en-US" w:eastAsia="zh-CN"/>
                    </w:rPr>
                    <w:t>4</w:t>
                  </w:r>
                  <w:r>
                    <w:rPr>
                      <w:rFonts w:hint="eastAsia"/>
                      <w:sz w:val="21"/>
                      <w:szCs w:val="21"/>
                    </w:rPr>
                    <w:t>项得</w:t>
                  </w:r>
                  <w:r>
                    <w:rPr>
                      <w:rFonts w:hint="eastAsia"/>
                      <w:sz w:val="21"/>
                      <w:szCs w:val="21"/>
                      <w:lang w:val="en-US" w:eastAsia="zh-CN"/>
                    </w:rPr>
                    <w:t>4</w:t>
                  </w:r>
                  <w:r>
                    <w:rPr>
                      <w:rFonts w:hint="eastAsia"/>
                      <w:sz w:val="21"/>
                      <w:szCs w:val="21"/>
                    </w:rPr>
                    <w:t>分，</w:t>
                  </w:r>
                  <w:r>
                    <w:rPr>
                      <w:rFonts w:hint="eastAsia"/>
                      <w:sz w:val="21"/>
                      <w:szCs w:val="21"/>
                      <w:lang w:val="en-US" w:eastAsia="zh-CN"/>
                    </w:rPr>
                    <w:t>满足以上3项得3分、</w:t>
                  </w:r>
                  <w:r>
                    <w:rPr>
                      <w:rFonts w:hint="eastAsia"/>
                      <w:sz w:val="21"/>
                      <w:szCs w:val="21"/>
                    </w:rPr>
                    <w:t>满足以上2项得</w:t>
                  </w:r>
                  <w:r>
                    <w:rPr>
                      <w:rFonts w:hint="eastAsia"/>
                      <w:sz w:val="21"/>
                      <w:szCs w:val="21"/>
                      <w:lang w:val="en-US" w:eastAsia="zh-CN"/>
                    </w:rPr>
                    <w:t>2</w:t>
                  </w:r>
                  <w:r>
                    <w:rPr>
                      <w:rFonts w:hint="eastAsia"/>
                      <w:sz w:val="21"/>
                      <w:szCs w:val="21"/>
                    </w:rPr>
                    <w:t>分，满足以上1项得</w:t>
                  </w:r>
                  <w:r>
                    <w:rPr>
                      <w:rFonts w:hint="eastAsia"/>
                      <w:sz w:val="21"/>
                      <w:szCs w:val="21"/>
                      <w:lang w:val="en-US" w:eastAsia="zh-CN"/>
                    </w:rPr>
                    <w:t>1</w:t>
                  </w:r>
                  <w:r>
                    <w:rPr>
                      <w:rFonts w:hint="eastAsia"/>
                      <w:sz w:val="21"/>
                      <w:szCs w:val="21"/>
                    </w:rPr>
                    <w:t xml:space="preserve">分；未满足不得分。 </w:t>
                  </w:r>
                </w:p>
                <w:p>
                  <w:pPr>
                    <w:wordWrap w:val="0"/>
                    <w:jc w:val="both"/>
                    <w:rPr>
                      <w:rFonts w:hint="eastAsia"/>
                      <w:sz w:val="21"/>
                      <w:szCs w:val="21"/>
                    </w:rPr>
                  </w:pPr>
                  <w:r>
                    <w:rPr>
                      <w:rFonts w:hint="eastAsia"/>
                      <w:sz w:val="21"/>
                      <w:szCs w:val="21"/>
                    </w:rPr>
                    <w:t xml:space="preserve">在此基础上，专家根据各供应商的具体响应内容按照量化的评审因素指标进一步评审。 </w:t>
                  </w:r>
                </w:p>
                <w:p>
                  <w:pPr>
                    <w:wordWrap w:val="0"/>
                    <w:jc w:val="both"/>
                    <w:rPr>
                      <w:rFonts w:hint="eastAsia"/>
                      <w:sz w:val="21"/>
                      <w:szCs w:val="21"/>
                    </w:rPr>
                  </w:pPr>
                  <w:r>
                    <w:rPr>
                      <w:rFonts w:hint="eastAsia"/>
                      <w:sz w:val="21"/>
                      <w:szCs w:val="21"/>
                    </w:rPr>
                    <w:t>优：以上项目重点难点分析、应对措施及相关的合理化建议的三点内容涵盖招标需求内容各环、针对每个重难点提出的应对方案针对性强和可操作性强，加</w:t>
                  </w:r>
                  <w:r>
                    <w:rPr>
                      <w:rFonts w:hint="eastAsia"/>
                      <w:sz w:val="21"/>
                      <w:szCs w:val="21"/>
                      <w:lang w:val="en-US" w:eastAsia="zh-CN"/>
                    </w:rPr>
                    <w:t>6</w:t>
                  </w:r>
                  <w:r>
                    <w:rPr>
                      <w:rFonts w:hint="eastAsia"/>
                      <w:sz w:val="21"/>
                      <w:szCs w:val="21"/>
                    </w:rPr>
                    <w:t xml:space="preserve">分； </w:t>
                  </w:r>
                </w:p>
                <w:p>
                  <w:pPr>
                    <w:wordWrap w:val="0"/>
                    <w:jc w:val="both"/>
                    <w:rPr>
                      <w:rFonts w:hint="eastAsia"/>
                      <w:sz w:val="21"/>
                      <w:szCs w:val="21"/>
                    </w:rPr>
                  </w:pPr>
                  <w:r>
                    <w:rPr>
                      <w:rFonts w:hint="eastAsia"/>
                      <w:sz w:val="21"/>
                      <w:szCs w:val="21"/>
                    </w:rPr>
                    <w:t>良：以上项目重点难点分析、应对措施及相关的合理化建议的三点内容涵盖招标需求内容各环、针对每个重难点提出的应对方案针对性较强、可操作性较强，加</w:t>
                  </w:r>
                  <w:r>
                    <w:rPr>
                      <w:rFonts w:hint="eastAsia"/>
                      <w:sz w:val="21"/>
                      <w:szCs w:val="21"/>
                      <w:lang w:val="en-US" w:eastAsia="zh-CN"/>
                    </w:rPr>
                    <w:t>4</w:t>
                  </w:r>
                  <w:r>
                    <w:rPr>
                      <w:rFonts w:hint="eastAsia"/>
                      <w:sz w:val="21"/>
                      <w:szCs w:val="21"/>
                    </w:rPr>
                    <w:t xml:space="preserve">分； </w:t>
                  </w:r>
                </w:p>
                <w:p>
                  <w:pPr>
                    <w:wordWrap w:val="0"/>
                    <w:jc w:val="both"/>
                    <w:rPr>
                      <w:rFonts w:hint="eastAsia"/>
                      <w:sz w:val="21"/>
                      <w:szCs w:val="21"/>
                    </w:rPr>
                  </w:pPr>
                  <w:r>
                    <w:rPr>
                      <w:rFonts w:hint="eastAsia"/>
                      <w:sz w:val="21"/>
                      <w:szCs w:val="21"/>
                    </w:rPr>
                    <w:t>中：以上项目重点难点分析、应对措施及相关的合理化建议的三点内容涵盖招标需求内容各环、针对每个重难点提的应对方案针对性一般、可操作性一般，加</w:t>
                  </w:r>
                  <w:r>
                    <w:rPr>
                      <w:rFonts w:hint="eastAsia"/>
                      <w:sz w:val="21"/>
                      <w:szCs w:val="21"/>
                      <w:lang w:val="en-US" w:eastAsia="zh-CN"/>
                    </w:rPr>
                    <w:t>2</w:t>
                  </w:r>
                  <w:r>
                    <w:rPr>
                      <w:rFonts w:hint="eastAsia"/>
                      <w:sz w:val="21"/>
                      <w:szCs w:val="21"/>
                    </w:rPr>
                    <w:t xml:space="preserve">分； </w:t>
                  </w:r>
                </w:p>
                <w:p>
                  <w:pPr>
                    <w:wordWrap w:val="0"/>
                    <w:jc w:val="both"/>
                    <w:rPr>
                      <w:rFonts w:hint="eastAsia"/>
                      <w:sz w:val="21"/>
                      <w:szCs w:val="21"/>
                    </w:rPr>
                  </w:pPr>
                  <w:r>
                    <w:rPr>
                      <w:rFonts w:hint="eastAsia"/>
                      <w:sz w:val="21"/>
                      <w:szCs w:val="21"/>
                    </w:rPr>
                    <w:t>差：项目重点难点分析、应对措施及相关的合理化建议内容不科学、不完整、针对性较弱，得0 分。</w:t>
                  </w:r>
                </w:p>
                <w:p>
                  <w:pPr>
                    <w:wordWrap w:val="0"/>
                    <w:jc w:val="both"/>
                    <w:rPr>
                      <w:rFonts w:hint="eastAsia"/>
                      <w:sz w:val="21"/>
                      <w:szCs w:val="21"/>
                    </w:rPr>
                  </w:pPr>
                  <w:r>
                    <w:rPr>
                      <w:rFonts w:hint="eastAsia"/>
                      <w:sz w:val="21"/>
                      <w:szCs w:val="21"/>
                    </w:rPr>
                    <w:t>如果评审为差，请书面说明理由，并记录存档。</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47" w:hRule="atLeast"/>
                <w:jc w:val="center"/>
              </w:trPr>
              <w:tc>
                <w:tcPr>
                  <w:tcW w:w="428" w:type="dxa"/>
                  <w:vMerge w:val="continue"/>
                  <w:tcBorders>
                    <w:left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sz w:val="21"/>
                      <w:szCs w:val="21"/>
                    </w:rPr>
                  </w:pP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i/>
                      <w:iCs/>
                      <w:sz w:val="21"/>
                      <w:szCs w:val="21"/>
                      <w:u w:val="single"/>
                    </w:rPr>
                  </w:pPr>
                  <w:r>
                    <w:rPr>
                      <w:rFonts w:hint="eastAsia"/>
                      <w:i/>
                      <w:iCs/>
                      <w:sz w:val="21"/>
                      <w:szCs w:val="21"/>
                      <w:u w:val="single"/>
                    </w:rPr>
                    <w:t>质量保障措施及方案</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eastAsia="宋体"/>
                      <w:sz w:val="21"/>
                      <w:szCs w:val="21"/>
                      <w:lang w:val="en-US" w:eastAsia="zh-CN"/>
                    </w:rPr>
                  </w:pPr>
                  <w:r>
                    <w:rPr>
                      <w:rFonts w:hint="eastAsia"/>
                      <w:sz w:val="21"/>
                      <w:szCs w:val="21"/>
                      <w:lang w:val="en-US" w:eastAsia="zh-CN"/>
                    </w:rPr>
                    <w:t>5</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both"/>
                    <w:rPr>
                      <w:rFonts w:hint="eastAsia"/>
                      <w:b/>
                      <w:bCs/>
                      <w:sz w:val="21"/>
                      <w:szCs w:val="21"/>
                    </w:rPr>
                  </w:pPr>
                  <w:r>
                    <w:rPr>
                      <w:rFonts w:hint="eastAsia"/>
                      <w:b/>
                      <w:bCs/>
                      <w:sz w:val="21"/>
                      <w:szCs w:val="21"/>
                      <w:lang w:eastAsia="zh-CN"/>
                    </w:rPr>
                    <w:t>（</w:t>
                  </w:r>
                  <w:r>
                    <w:rPr>
                      <w:rFonts w:hint="eastAsia"/>
                      <w:b/>
                      <w:bCs/>
                      <w:sz w:val="21"/>
                      <w:szCs w:val="21"/>
                    </w:rPr>
                    <w:t>一）评分内容：</w:t>
                  </w:r>
                </w:p>
                <w:p>
                  <w:pPr>
                    <w:wordWrap w:val="0"/>
                    <w:jc w:val="both"/>
                    <w:rPr>
                      <w:rFonts w:hint="eastAsia"/>
                      <w:sz w:val="21"/>
                      <w:szCs w:val="21"/>
                    </w:rPr>
                  </w:pPr>
                  <w:r>
                    <w:rPr>
                      <w:rFonts w:hint="eastAsia"/>
                      <w:sz w:val="21"/>
                      <w:szCs w:val="21"/>
                    </w:rPr>
                    <w:t>对人员配置、完成时间、预期成果、信息保密</w:t>
                  </w:r>
                  <w:r>
                    <w:rPr>
                      <w:rFonts w:hint="eastAsia"/>
                      <w:sz w:val="21"/>
                      <w:szCs w:val="21"/>
                      <w:lang w:eastAsia="zh-CN"/>
                    </w:rPr>
                    <w:t>、</w:t>
                  </w:r>
                  <w:r>
                    <w:rPr>
                      <w:rFonts w:hint="eastAsia"/>
                      <w:sz w:val="21"/>
                      <w:szCs w:val="21"/>
                      <w:lang w:val="en-US" w:eastAsia="zh-CN"/>
                    </w:rPr>
                    <w:t>售后</w:t>
                  </w:r>
                  <w:r>
                    <w:rPr>
                      <w:rFonts w:hint="eastAsia"/>
                      <w:sz w:val="21"/>
                      <w:szCs w:val="21"/>
                    </w:rPr>
                    <w:t>等提出保障措施及方案。</w:t>
                  </w:r>
                </w:p>
                <w:p>
                  <w:pPr>
                    <w:wordWrap w:val="0"/>
                    <w:jc w:val="both"/>
                    <w:rPr>
                      <w:rFonts w:hint="eastAsia"/>
                      <w:b/>
                      <w:bCs/>
                      <w:sz w:val="21"/>
                      <w:szCs w:val="21"/>
                    </w:rPr>
                  </w:pPr>
                  <w:r>
                    <w:rPr>
                      <w:rFonts w:hint="eastAsia"/>
                      <w:b/>
                      <w:bCs/>
                      <w:sz w:val="21"/>
                      <w:szCs w:val="21"/>
                    </w:rPr>
                    <w:t>（二）评分标准及依据：</w:t>
                  </w:r>
                </w:p>
                <w:p>
                  <w:pPr>
                    <w:wordWrap w:val="0"/>
                    <w:jc w:val="both"/>
                    <w:rPr>
                      <w:rFonts w:hint="default" w:eastAsia="宋体"/>
                      <w:sz w:val="21"/>
                      <w:szCs w:val="21"/>
                      <w:lang w:val="en-US" w:eastAsia="zh-CN"/>
                    </w:rPr>
                  </w:pPr>
                  <w:r>
                    <w:rPr>
                      <w:rFonts w:hint="eastAsia"/>
                      <w:sz w:val="21"/>
                      <w:szCs w:val="21"/>
                    </w:rPr>
                    <w:t>专家根据各供应商的具体响应内容</w:t>
                  </w:r>
                  <w:r>
                    <w:rPr>
                      <w:rFonts w:hint="eastAsia"/>
                      <w:sz w:val="21"/>
                      <w:szCs w:val="21"/>
                      <w:lang w:val="en-US" w:eastAsia="zh-CN"/>
                    </w:rPr>
                    <w:t>评分，评审为</w:t>
                  </w:r>
                  <w:r>
                    <w:rPr>
                      <w:rFonts w:hint="eastAsia"/>
                      <w:sz w:val="21"/>
                      <w:szCs w:val="21"/>
                    </w:rPr>
                    <w:t>优</w:t>
                  </w:r>
                  <w:r>
                    <w:rPr>
                      <w:rFonts w:hint="eastAsia"/>
                      <w:sz w:val="21"/>
                      <w:szCs w:val="21"/>
                      <w:lang w:val="en-US" w:eastAsia="zh-CN"/>
                    </w:rPr>
                    <w:t>的，得5分；良的，得3分；中的，得1分；差的，不得分。</w:t>
                  </w:r>
                </w:p>
                <w:p>
                  <w:pPr>
                    <w:wordWrap w:val="0"/>
                    <w:jc w:val="both"/>
                    <w:rPr>
                      <w:rFonts w:hint="eastAsia"/>
                      <w:sz w:val="21"/>
                      <w:szCs w:val="21"/>
                    </w:rPr>
                  </w:pPr>
                  <w:r>
                    <w:rPr>
                      <w:rFonts w:hint="eastAsia"/>
                      <w:sz w:val="21"/>
                      <w:szCs w:val="21"/>
                    </w:rPr>
                    <w:t>如果评审为差，请书面说明理由，并记录存档。</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428"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rFonts w:hint="eastAsia"/>
                      <w:b/>
                      <w:bCs/>
                    </w:rPr>
                    <w:t>5</w:t>
                  </w:r>
                </w:p>
              </w:tc>
              <w:tc>
                <w:tcPr>
                  <w:tcW w:w="2792"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b/>
                      <w:bCs/>
                    </w:rPr>
                    <w:t>诚信情况</w:t>
                  </w:r>
                </w:p>
              </w:tc>
              <w:tc>
                <w:tcPr>
                  <w:tcW w:w="433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r>
                    <w:rPr>
                      <w:rFonts w:hint="eastAsia"/>
                      <w:b/>
                      <w:bCs/>
                    </w:rPr>
                    <w:t>5</w:t>
                  </w:r>
                </w:p>
              </w:tc>
              <w:tc>
                <w:tcPr>
                  <w:tcW w:w="1854" w:type="dxa"/>
                  <w:tcBorders>
                    <w:top w:val="single" w:color="000000" w:sz="8" w:space="0"/>
                    <w:left w:val="single" w:color="000000" w:sz="8" w:space="0"/>
                    <w:bottom w:val="single" w:color="000000" w:sz="8" w:space="0"/>
                    <w:right w:val="single" w:color="000000" w:sz="8" w:space="0"/>
                  </w:tcBorders>
                  <w:vAlign w:val="center"/>
                </w:tcPr>
                <w:p>
                  <w:pPr>
                    <w:wordWrap w:val="0"/>
                    <w:rPr>
                      <w:b/>
                      <w:bCs/>
                    </w:rPr>
                  </w:pP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3" w:hRule="atLeast"/>
                <w:jc w:val="center"/>
              </w:trPr>
              <w:tc>
                <w:tcPr>
                  <w:tcW w:w="428"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b/>
                      <w:bCs/>
                    </w:rPr>
                  </w:pPr>
                </w:p>
              </w:tc>
              <w:tc>
                <w:tcPr>
                  <w:tcW w:w="43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序号</w:t>
                  </w:r>
                </w:p>
              </w:tc>
              <w:tc>
                <w:tcPr>
                  <w:tcW w:w="169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评分因素</w:t>
                  </w: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总分</w:t>
                  </w:r>
                </w:p>
              </w:tc>
              <w:tc>
                <w:tcPr>
                  <w:tcW w:w="433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sz w:val="21"/>
                      <w:szCs w:val="21"/>
                    </w:rPr>
                    <w:t>评分准则</w:t>
                  </w:r>
                </w:p>
              </w:tc>
              <w:tc>
                <w:tcPr>
                  <w:tcW w:w="185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sz w:val="21"/>
                      <w:szCs w:val="21"/>
                    </w:rPr>
                  </w:pPr>
                  <w:r>
                    <w:rPr>
                      <w:rFonts w:hint="eastAsia"/>
                      <w:sz w:val="21"/>
                      <w:szCs w:val="21"/>
                    </w:rPr>
                    <w:t>备注</w:t>
                  </w:r>
                </w:p>
              </w:tc>
              <w:tc>
                <w:tcPr>
                  <w:tcW w:w="7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sz w:val="21"/>
                      <w:szCs w:val="21"/>
                    </w:rPr>
                  </w:pPr>
                  <w:r>
                    <w:rPr>
                      <w:rFonts w:hint="eastAsia"/>
                      <w:sz w:val="21"/>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428"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b/>
                      <w:bCs/>
                    </w:rPr>
                  </w:pPr>
                </w:p>
              </w:tc>
              <w:tc>
                <w:tcPr>
                  <w:tcW w:w="432"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sz w:val="21"/>
                      <w:szCs w:val="21"/>
                    </w:rPr>
                    <w:t>1</w:t>
                  </w:r>
                </w:p>
              </w:tc>
              <w:tc>
                <w:tcPr>
                  <w:tcW w:w="169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rFonts w:hint="eastAsia"/>
                      <w:i/>
                      <w:iCs/>
                      <w:sz w:val="21"/>
                      <w:szCs w:val="21"/>
                      <w:u w:val="single"/>
                    </w:rPr>
                    <w:t>诚信管理情况</w:t>
                  </w:r>
                </w:p>
              </w:tc>
              <w:tc>
                <w:tcPr>
                  <w:tcW w:w="666"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rFonts w:hint="eastAsia"/>
                      <w:sz w:val="21"/>
                      <w:szCs w:val="21"/>
                    </w:rPr>
                    <w:t>5分</w:t>
                  </w:r>
                </w:p>
              </w:tc>
              <w:tc>
                <w:tcPr>
                  <w:tcW w:w="4334" w:type="dxa"/>
                  <w:tcBorders>
                    <w:top w:val="single" w:color="000000" w:sz="8" w:space="0"/>
                    <w:left w:val="single" w:color="000000" w:sz="8" w:space="0"/>
                    <w:bottom w:val="single" w:color="000000" w:sz="8" w:space="0"/>
                    <w:right w:val="single" w:color="000000" w:sz="8" w:space="0"/>
                  </w:tcBorders>
                  <w:vAlign w:val="center"/>
                </w:tcPr>
                <w:p>
                  <w:pPr>
                    <w:jc w:val="both"/>
                    <w:rPr>
                      <w:sz w:val="21"/>
                      <w:szCs w:val="21"/>
                    </w:rPr>
                  </w:pPr>
                  <w:r>
                    <w:rPr>
                      <w:rFonts w:hint="eastAsia"/>
                      <w:sz w:val="21"/>
                      <w:szCs w:val="21"/>
                    </w:rPr>
                    <w:t>根据《深圳市财政委员会关于加强招投标评审环节诚信管理的通知》（深财购[2013]27号）的要求，投标单位在参与政府采购活动中存在诚信相关问题且在主管部门相关处理措施实施期限内的，本项不得分，否则得满分。</w:t>
                  </w:r>
                </w:p>
              </w:tc>
              <w:tc>
                <w:tcPr>
                  <w:tcW w:w="1854"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sz w:val="21"/>
                      <w:szCs w:val="21"/>
                    </w:rPr>
                  </w:pPr>
                  <w:r>
                    <w:rPr>
                      <w:rFonts w:hint="eastAsia"/>
                      <w:sz w:val="21"/>
                      <w:szCs w:val="21"/>
                    </w:rPr>
                    <w:t>投标单位自行提供证明材料</w:t>
                  </w:r>
                </w:p>
                <w:p>
                  <w:pPr>
                    <w:jc w:val="both"/>
                  </w:pPr>
                  <w:r>
                    <w:rPr>
                      <w:rFonts w:hint="eastAsia" w:cs="宋体"/>
                      <w:b w:val="0"/>
                      <w:bCs w:val="0"/>
                      <w:sz w:val="21"/>
                      <w:szCs w:val="21"/>
                    </w:rPr>
                    <w:t>注：以提供《企业诚信声明与承诺》（按投标文件格式所附格式填写）为准，提供的资料字迹模糊或未按要求提供的不得分。</w:t>
                  </w:r>
                </w:p>
              </w:tc>
              <w:tc>
                <w:tcPr>
                  <w:tcW w:w="704" w:type="dxa"/>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2" w:hRule="atLeast"/>
                <w:jc w:val="center"/>
              </w:trPr>
              <w:tc>
                <w:tcPr>
                  <w:tcW w:w="3220"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sz w:val="21"/>
                      <w:szCs w:val="21"/>
                    </w:rPr>
                  </w:pPr>
                  <w:r>
                    <w:rPr>
                      <w:rFonts w:hint="eastAsia"/>
                      <w:sz w:val="21"/>
                      <w:szCs w:val="21"/>
                    </w:rPr>
                    <w:t>总分</w:t>
                  </w:r>
                </w:p>
              </w:tc>
              <w:tc>
                <w:tcPr>
                  <w:tcW w:w="6892" w:type="dxa"/>
                  <w:gridSpan w:val="3"/>
                  <w:tcBorders>
                    <w:top w:val="single" w:color="000000" w:sz="8" w:space="0"/>
                    <w:left w:val="single" w:color="000000" w:sz="8" w:space="0"/>
                    <w:bottom w:val="single" w:color="000000" w:sz="8" w:space="0"/>
                    <w:right w:val="single" w:color="000000" w:sz="8" w:space="0"/>
                  </w:tcBorders>
                  <w:vAlign w:val="center"/>
                </w:tcPr>
                <w:p>
                  <w:pPr>
                    <w:wordWrap w:val="0"/>
                    <w:rPr>
                      <w:sz w:val="21"/>
                      <w:szCs w:val="21"/>
                    </w:rPr>
                  </w:pPr>
                </w:p>
              </w:tc>
            </w:tr>
          </w:tbl>
          <w:p>
            <w:pPr>
              <w:pStyle w:val="14"/>
              <w:rPr>
                <w:sz w:val="21"/>
                <w:szCs w:val="21"/>
              </w:rPr>
            </w:pPr>
            <w:r>
              <w:rPr>
                <w:sz w:val="21"/>
                <w:szCs w:val="21"/>
              </w:rPr>
              <w:t xml:space="preserve"> </w:t>
            </w:r>
          </w:p>
        </w:tc>
      </w:tr>
    </w:tbl>
    <w:p>
      <w:pPr>
        <w:pStyle w:val="14"/>
        <w:jc w:val="center"/>
        <w:outlineLvl w:val="1"/>
        <w:rPr>
          <w:rFonts w:hint="eastAsia" w:ascii="Times New Roman" w:hAnsi="Times New Roman"/>
          <w:b/>
          <w:bCs/>
          <w:kern w:val="44"/>
          <w:sz w:val="32"/>
          <w:szCs w:val="52"/>
        </w:rPr>
      </w:pPr>
    </w:p>
    <w:p>
      <w:pPr>
        <w:pStyle w:val="14"/>
        <w:jc w:val="center"/>
        <w:outlineLvl w:val="1"/>
        <w:rPr>
          <w:rFonts w:hint="eastAsia" w:ascii="Times New Roman" w:hAnsi="Times New Roman"/>
          <w:b/>
          <w:bCs/>
          <w:kern w:val="44"/>
          <w:sz w:val="32"/>
          <w:szCs w:val="52"/>
        </w:rPr>
      </w:pP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第四章 服务合同模板</w:t>
      </w:r>
    </w:p>
    <w:p>
      <w:pPr>
        <w:pStyle w:val="16"/>
        <w:ind w:firstLine="442"/>
        <w:rPr>
          <w:rFonts w:hint="default" w:ascii="黑体" w:eastAsia="黑体"/>
          <w:kern w:val="10"/>
          <w:sz w:val="44"/>
          <w:szCs w:val="44"/>
        </w:rPr>
      </w:pPr>
      <w:r>
        <w:rPr>
          <w:rFonts w:ascii="黑体" w:eastAsia="黑体"/>
          <w:kern w:val="10"/>
          <w:sz w:val="44"/>
          <w:szCs w:val="44"/>
        </w:rPr>
        <w:t>详见附件</w:t>
      </w:r>
    </w:p>
    <w:p>
      <w:pPr>
        <w:spacing w:line="500" w:lineRule="exact"/>
        <w:ind w:firstLine="480" w:firstLineChars="200"/>
        <w:rPr>
          <w:snapToGrid w:val="0"/>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pStyle w:val="14"/>
        <w:jc w:val="center"/>
        <w:outlineLvl w:val="1"/>
        <w:rPr>
          <w:rFonts w:ascii="Times New Roman" w:hAnsi="Times New Roman"/>
          <w:b/>
          <w:bCs/>
          <w:kern w:val="44"/>
          <w:sz w:val="32"/>
          <w:szCs w:val="52"/>
        </w:rPr>
      </w:pPr>
      <w:r>
        <w:rPr>
          <w:rFonts w:hint="eastAsia" w:ascii="Times New Roman" w:hAnsi="Times New Roman"/>
          <w:b/>
          <w:bCs/>
          <w:kern w:val="44"/>
          <w:sz w:val="32"/>
          <w:szCs w:val="52"/>
        </w:rPr>
        <w:t>第五章  投标文件格式</w:t>
      </w:r>
    </w:p>
    <w:p>
      <w:pPr>
        <w:pStyle w:val="3"/>
        <w:spacing w:before="120" w:after="120" w:line="600" w:lineRule="exact"/>
        <w:jc w:val="both"/>
        <w:rPr>
          <w:b/>
          <w:bCs/>
        </w:rPr>
      </w:pPr>
      <w:r>
        <w:rPr>
          <w:rFonts w:hint="eastAsia"/>
          <w:b/>
          <w:bCs/>
        </w:rPr>
        <w:t>一、招标文件响应声明书</w:t>
      </w:r>
      <w:r>
        <w:rPr>
          <w:rFonts w:hint="eastAsia"/>
          <w:b/>
          <w:bCs/>
          <w:highlight w:val="none"/>
        </w:rPr>
        <w:t>模板版</w:t>
      </w:r>
    </w:p>
    <w:p/>
    <w:p>
      <w:pPr>
        <w:autoSpaceDE w:val="0"/>
        <w:autoSpaceDN w:val="0"/>
        <w:adjustRightInd w:val="0"/>
        <w:snapToGrid w:val="0"/>
        <w:spacing w:line="300" w:lineRule="auto"/>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（招标单位）</w:t>
      </w:r>
      <w:r>
        <w:rPr>
          <w:rFonts w:hint="eastAsia" w:ascii="仿宋_GB2312" w:hAnsi="仿宋_GB2312" w:eastAsia="仿宋_GB2312" w:cs="仿宋_GB2312"/>
        </w:rPr>
        <w:t>：</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u w:val="single"/>
        </w:rPr>
        <w:t>（投标单位全称）</w:t>
      </w:r>
      <w:r>
        <w:rPr>
          <w:rFonts w:hint="eastAsia" w:ascii="仿宋_GB2312" w:hAnsi="仿宋_GB2312" w:eastAsia="仿宋_GB2312" w:cs="仿宋_GB2312"/>
        </w:rPr>
        <w:t>授权</w:t>
      </w:r>
      <w:r>
        <w:rPr>
          <w:rFonts w:hint="eastAsia" w:ascii="仿宋_GB2312" w:hAnsi="仿宋_GB2312" w:eastAsia="仿宋_GB2312" w:cs="仿宋_GB2312"/>
          <w:u w:val="single"/>
        </w:rPr>
        <w:t>（全名、职务）</w:t>
      </w:r>
      <w:r>
        <w:rPr>
          <w:rFonts w:hint="eastAsia" w:ascii="仿宋_GB2312" w:hAnsi="仿宋_GB2312" w:eastAsia="仿宋_GB2312" w:cs="仿宋_GB2312"/>
        </w:rPr>
        <w:t>为全权代表，参加贵方组织的</w:t>
      </w:r>
      <w:r>
        <w:rPr>
          <w:rFonts w:hint="eastAsia" w:ascii="仿宋_GB2312" w:hAnsi="仿宋_GB2312" w:eastAsia="仿宋_GB2312" w:cs="仿宋_GB2312"/>
          <w:u w:val="single"/>
        </w:rPr>
        <w:t>（项目）</w:t>
      </w:r>
      <w:r>
        <w:rPr>
          <w:rFonts w:hint="eastAsia" w:ascii="仿宋_GB2312" w:hAnsi="仿宋_GB2312" w:eastAsia="仿宋_GB2312" w:cs="仿宋_GB2312"/>
        </w:rPr>
        <w:t>招标活动并投标，根据贵方</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的招标文件，我方针对该项目的投标报价为人民币</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元（大写：</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元）服务周期为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日历天。</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为此：</w:t>
      </w:r>
    </w:p>
    <w:p>
      <w:pPr>
        <w:numPr>
          <w:ilvl w:val="0"/>
          <w:numId w:val="1"/>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我方已详细阅读了全部招标文件，包括修改文件（如有）及全部参考资料和附件。我们完全理解并同意放弃对这方面有不明及误解的权利。愿意接受招标文件中的各项要求。</w:t>
      </w:r>
    </w:p>
    <w:p>
      <w:pPr>
        <w:numPr>
          <w:ilvl w:val="0"/>
          <w:numId w:val="1"/>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我方提供招标文件要求的全部资料，并保证真实性、合法性。</w:t>
      </w:r>
    </w:p>
    <w:p>
      <w:pPr>
        <w:numPr>
          <w:ilvl w:val="0"/>
          <w:numId w:val="1"/>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若中标，我方将按照招标文件规定，履行合同责任和义务。</w:t>
      </w:r>
    </w:p>
    <w:p>
      <w:pPr>
        <w:numPr>
          <w:ilvl w:val="0"/>
          <w:numId w:val="1"/>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询价响应书自开标日起有效期为30天。</w:t>
      </w:r>
    </w:p>
    <w:p>
      <w:pPr>
        <w:numPr>
          <w:ilvl w:val="0"/>
          <w:numId w:val="1"/>
        </w:num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我方与本招标文件响应有关的一切正式往来通讯请寄：</w:t>
      </w:r>
    </w:p>
    <w:p>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地址：                邮编：</w:t>
      </w:r>
    </w:p>
    <w:p>
      <w:pPr>
        <w:autoSpaceDE w:val="0"/>
        <w:autoSpaceDN w:val="0"/>
        <w:adjustRightInd w:val="0"/>
        <w:snapToGrid w:val="0"/>
        <w:spacing w:line="300" w:lineRule="auto"/>
        <w:ind w:firstLine="960" w:firstLineChars="400"/>
        <w:rPr>
          <w:rFonts w:ascii="仿宋_GB2312" w:hAnsi="仿宋_GB2312" w:eastAsia="仿宋_GB2312" w:cs="仿宋_GB2312"/>
          <w:u w:val="single"/>
        </w:rPr>
      </w:pPr>
      <w:r>
        <w:rPr>
          <w:rFonts w:hint="eastAsia" w:ascii="仿宋_GB2312" w:hAnsi="仿宋_GB2312" w:eastAsia="仿宋_GB2312" w:cs="仿宋_GB2312"/>
        </w:rPr>
        <w:t>电话：                传真：</w:t>
      </w:r>
    </w:p>
    <w:p>
      <w:pPr>
        <w:numPr>
          <w:ilvl w:val="0"/>
          <w:numId w:val="1"/>
        </w:numPr>
        <w:autoSpaceDE w:val="0"/>
        <w:autoSpaceDN w:val="0"/>
        <w:adjustRightInd w:val="0"/>
        <w:snapToGrid w:val="0"/>
        <w:spacing w:line="300" w:lineRule="auto"/>
        <w:ind w:firstLine="560"/>
        <w:rPr>
          <w:rFonts w:ascii="仿宋_GB2312" w:hAnsi="仿宋_GB2312" w:eastAsia="仿宋_GB2312" w:cs="仿宋_GB2312"/>
        </w:rPr>
      </w:pPr>
      <w:r>
        <w:rPr>
          <w:rFonts w:hint="eastAsia" w:ascii="仿宋_GB2312" w:hAnsi="仿宋_GB2312" w:eastAsia="仿宋_GB2312" w:cs="仿宋_GB2312"/>
        </w:rPr>
        <w:t>我方同意招标单位不一定接受最低报价的投标。</w:t>
      </w:r>
    </w:p>
    <w:p>
      <w:pPr>
        <w:autoSpaceDE w:val="0"/>
        <w:autoSpaceDN w:val="0"/>
        <w:adjustRightInd w:val="0"/>
        <w:snapToGrid w:val="0"/>
        <w:spacing w:line="300" w:lineRule="auto"/>
        <w:rPr>
          <w:rFonts w:ascii="仿宋_GB2312" w:hAnsi="仿宋_GB2312" w:eastAsia="仿宋_GB2312" w:cs="仿宋_GB2312"/>
        </w:rPr>
      </w:pPr>
    </w:p>
    <w:p>
      <w:pPr>
        <w:autoSpaceDE w:val="0"/>
        <w:autoSpaceDN w:val="0"/>
        <w:adjustRightInd w:val="0"/>
        <w:snapToGrid w:val="0"/>
        <w:spacing w:line="300" w:lineRule="auto"/>
        <w:rPr>
          <w:rFonts w:ascii="仿宋_GB2312" w:hAnsi="仿宋_GB2312" w:eastAsia="仿宋_GB2312" w:cs="仿宋_GB2312"/>
        </w:rPr>
      </w:pPr>
    </w:p>
    <w:p>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投标单位名称（公章）：</w:t>
      </w:r>
    </w:p>
    <w:p>
      <w:pPr>
        <w:autoSpaceDE w:val="0"/>
        <w:autoSpaceDN w:val="0"/>
        <w:adjustRightInd w:val="0"/>
        <w:snapToGrid w:val="0"/>
        <w:spacing w:line="30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rPr>
        <w:t>授权代表签字：</w:t>
      </w:r>
    </w:p>
    <w:p>
      <w:pPr>
        <w:autoSpaceDE w:val="0"/>
        <w:autoSpaceDN w:val="0"/>
        <w:adjustRightInd w:val="0"/>
        <w:snapToGrid w:val="0"/>
        <w:spacing w:line="300" w:lineRule="auto"/>
        <w:ind w:firstLine="480" w:firstLineChars="200"/>
        <w:rPr>
          <w:rFonts w:ascii="仿宋_GB2312" w:hAnsi="仿宋_GB2312" w:eastAsia="仿宋_GB2312" w:cs="仿宋_GB2312"/>
        </w:rPr>
      </w:pPr>
      <w:r>
        <w:rPr>
          <w:rFonts w:hint="eastAsia" w:ascii="仿宋_GB2312" w:hAnsi="仿宋_GB2312" w:eastAsia="仿宋_GB2312" w:cs="仿宋_GB2312"/>
        </w:rPr>
        <w:t xml:space="preserve">投标响应日期：  </w:t>
      </w:r>
    </w:p>
    <w:p>
      <w:pPr>
        <w:pStyle w:val="3"/>
        <w:spacing w:before="120" w:after="120" w:line="600" w:lineRule="exact"/>
        <w:ind w:left="480" w:leftChars="200"/>
        <w:rPr>
          <w:sz w:val="22"/>
          <w:szCs w:val="18"/>
        </w:rPr>
      </w:pPr>
    </w:p>
    <w:p/>
    <w:p/>
    <w:p/>
    <w:p>
      <w:pPr>
        <w:pStyle w:val="5"/>
        <w:ind w:firstLine="480"/>
      </w:pPr>
    </w:p>
    <w:p>
      <w:pPr>
        <w:pStyle w:val="3"/>
        <w:spacing w:before="120" w:after="120" w:line="600" w:lineRule="exact"/>
        <w:ind w:left="480" w:leftChars="200"/>
        <w:jc w:val="left"/>
        <w:rPr>
          <w:b/>
          <w:bCs/>
        </w:rPr>
      </w:pPr>
      <w:r>
        <w:rPr>
          <w:rFonts w:hint="eastAsia"/>
          <w:b/>
          <w:bCs/>
        </w:rPr>
        <w:t>二、投标一览表</w:t>
      </w:r>
    </w:p>
    <w:p>
      <w:pPr>
        <w:spacing w:line="600" w:lineRule="exact"/>
        <w:ind w:left="480" w:leftChars="200"/>
        <w:rPr>
          <w:rStyle w:val="37"/>
          <w:rFonts w:ascii="仿宋_GB2312" w:hAnsi="仿宋_GB2312" w:eastAsia="仿宋_GB2312" w:cs="仿宋_GB2312"/>
          <w:sz w:val="24"/>
          <w:szCs w:val="24"/>
          <w:u w:val="single"/>
        </w:rPr>
      </w:pPr>
      <w:r>
        <w:rPr>
          <w:rStyle w:val="37"/>
          <w:rFonts w:hint="eastAsia" w:ascii="仿宋_GB2312" w:hAnsi="仿宋_GB2312" w:eastAsia="仿宋_GB2312" w:cs="仿宋_GB2312"/>
          <w:sz w:val="24"/>
          <w:szCs w:val="24"/>
        </w:rPr>
        <w:t>项目名称：</w:t>
      </w:r>
    </w:p>
    <w:p>
      <w:pPr>
        <w:spacing w:line="600" w:lineRule="exact"/>
        <w:ind w:left="480" w:leftChars="200"/>
        <w:rPr>
          <w:rStyle w:val="37"/>
          <w:rFonts w:ascii="仿宋_GB2312" w:hAnsi="仿宋_GB2312" w:eastAsia="仿宋_GB2312" w:cs="仿宋_GB2312"/>
          <w:sz w:val="24"/>
          <w:szCs w:val="24"/>
        </w:rPr>
      </w:pPr>
      <w:r>
        <w:rPr>
          <w:rStyle w:val="37"/>
          <w:rFonts w:hint="eastAsia" w:ascii="仿宋_GB2312" w:hAnsi="仿宋_GB2312" w:eastAsia="仿宋_GB2312" w:cs="仿宋_GB2312"/>
          <w:sz w:val="24"/>
          <w:szCs w:val="24"/>
        </w:rPr>
        <w:t>投标单位名称：</w:t>
      </w:r>
    </w:p>
    <w:tbl>
      <w:tblPr>
        <w:tblStyle w:val="18"/>
        <w:tblW w:w="8522" w:type="dxa"/>
        <w:jc w:val="center"/>
        <w:tblLayout w:type="fixed"/>
        <w:tblCellMar>
          <w:top w:w="0" w:type="dxa"/>
          <w:left w:w="108" w:type="dxa"/>
          <w:bottom w:w="0" w:type="dxa"/>
          <w:right w:w="108" w:type="dxa"/>
        </w:tblCellMar>
      </w:tblPr>
      <w:tblGrid>
        <w:gridCol w:w="5407"/>
        <w:gridCol w:w="1816"/>
        <w:gridCol w:w="1299"/>
      </w:tblGrid>
      <w:tr>
        <w:tblPrEx>
          <w:tblCellMar>
            <w:top w:w="0" w:type="dxa"/>
            <w:left w:w="108" w:type="dxa"/>
            <w:bottom w:w="0" w:type="dxa"/>
            <w:right w:w="108" w:type="dxa"/>
          </w:tblCellMar>
        </w:tblPrEx>
        <w:trPr>
          <w:cantSplit/>
          <w:trHeight w:val="490" w:hRule="atLeast"/>
          <w:jc w:val="center"/>
        </w:trPr>
        <w:tc>
          <w:tcPr>
            <w:tcW w:w="5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项目名称</w:t>
            </w:r>
          </w:p>
        </w:tc>
        <w:tc>
          <w:tcPr>
            <w:tcW w:w="1816" w:type="dxa"/>
            <w:tcBorders>
              <w:top w:val="single" w:color="auto" w:sz="4" w:space="0"/>
              <w:left w:val="nil"/>
              <w:bottom w:val="single" w:color="auto" w:sz="4" w:space="0"/>
              <w:right w:val="single" w:color="auto" w:sz="4" w:space="0"/>
            </w:tcBorders>
            <w:vAlign w:val="center"/>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投标总价</w:t>
            </w:r>
          </w:p>
        </w:tc>
        <w:tc>
          <w:tcPr>
            <w:tcW w:w="1299" w:type="dxa"/>
            <w:tcBorders>
              <w:top w:val="single" w:color="auto" w:sz="4" w:space="0"/>
              <w:left w:val="nil"/>
              <w:bottom w:val="single" w:color="auto" w:sz="4" w:space="0"/>
              <w:right w:val="single" w:color="auto" w:sz="4" w:space="0"/>
            </w:tcBorders>
            <w:vAlign w:val="center"/>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备注</w:t>
            </w:r>
          </w:p>
        </w:tc>
      </w:tr>
      <w:tr>
        <w:tblPrEx>
          <w:tblCellMar>
            <w:top w:w="0" w:type="dxa"/>
            <w:left w:w="108" w:type="dxa"/>
            <w:bottom w:w="0" w:type="dxa"/>
            <w:right w:w="108" w:type="dxa"/>
          </w:tblCellMar>
        </w:tblPrEx>
        <w:trPr>
          <w:cantSplit/>
          <w:trHeight w:val="762" w:hRule="atLeast"/>
          <w:jc w:val="center"/>
        </w:trPr>
        <w:tc>
          <w:tcPr>
            <w:tcW w:w="5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37"/>
              </w:rPr>
            </w:pPr>
          </w:p>
        </w:tc>
        <w:tc>
          <w:tcPr>
            <w:tcW w:w="1816" w:type="dxa"/>
            <w:tcBorders>
              <w:top w:val="single" w:color="auto" w:sz="4" w:space="0"/>
              <w:left w:val="nil"/>
              <w:bottom w:val="single" w:color="auto" w:sz="4" w:space="0"/>
              <w:right w:val="single" w:color="auto" w:sz="4" w:space="0"/>
            </w:tcBorders>
            <w:vAlign w:val="center"/>
          </w:tcPr>
          <w:p>
            <w:pPr>
              <w:spacing w:line="400" w:lineRule="exact"/>
              <w:jc w:val="center"/>
              <w:rPr>
                <w:rStyle w:val="37"/>
              </w:rPr>
            </w:pPr>
          </w:p>
        </w:tc>
        <w:tc>
          <w:tcPr>
            <w:tcW w:w="1299" w:type="dxa"/>
            <w:tcBorders>
              <w:top w:val="single" w:color="auto" w:sz="4" w:space="0"/>
              <w:left w:val="nil"/>
              <w:bottom w:val="single" w:color="auto" w:sz="4" w:space="0"/>
              <w:right w:val="single" w:color="auto" w:sz="4" w:space="0"/>
            </w:tcBorders>
            <w:vAlign w:val="center"/>
          </w:tcPr>
          <w:p>
            <w:pPr>
              <w:spacing w:line="400" w:lineRule="exact"/>
              <w:jc w:val="center"/>
              <w:rPr>
                <w:rStyle w:val="37"/>
              </w:rPr>
            </w:pPr>
          </w:p>
        </w:tc>
      </w:tr>
    </w:tbl>
    <w:p>
      <w:pPr>
        <w:spacing w:line="600" w:lineRule="exact"/>
        <w:ind w:left="480" w:leftChars="200"/>
        <w:rPr>
          <w:rStyle w:val="37"/>
          <w:rFonts w:ascii="仿宋_GB2312" w:hAnsi="仿宋_GB2312" w:eastAsia="仿宋_GB2312" w:cs="仿宋_GB2312"/>
          <w:szCs w:val="24"/>
        </w:rPr>
      </w:pPr>
      <w:r>
        <w:rPr>
          <w:rStyle w:val="37"/>
          <w:rFonts w:ascii="仿宋_GB2312" w:hAnsi="仿宋_GB2312" w:eastAsia="仿宋_GB2312" w:cs="仿宋_GB2312"/>
          <w:szCs w:val="24"/>
        </w:rPr>
        <w:t>拟安排的项目负责人情况（仅限</w:t>
      </w:r>
      <w:r>
        <w:rPr>
          <w:rStyle w:val="37"/>
          <w:rFonts w:hint="eastAsia" w:ascii="仿宋_GB2312" w:hAnsi="仿宋_GB2312" w:eastAsia="仿宋_GB2312" w:cs="仿宋_GB2312"/>
          <w:szCs w:val="24"/>
        </w:rPr>
        <w:t>1人）</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序号</w:t>
            </w:r>
          </w:p>
        </w:tc>
        <w:tc>
          <w:tcPr>
            <w:tcW w:w="1601"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姓名</w:t>
            </w:r>
          </w:p>
        </w:tc>
        <w:tc>
          <w:tcPr>
            <w:tcW w:w="2141"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职称</w:t>
            </w:r>
          </w:p>
        </w:tc>
        <w:tc>
          <w:tcPr>
            <w:tcW w:w="2190" w:type="dxa"/>
            <w:vAlign w:val="center"/>
          </w:tcPr>
          <w:p>
            <w:pPr>
              <w:widowControl w:val="0"/>
              <w:spacing w:line="400" w:lineRule="exact"/>
              <w:jc w:val="center"/>
              <w:rPr>
                <w:rStyle w:val="37"/>
                <w:rFonts w:ascii="仿宋_GB2312" w:hAnsi="仿宋_GB2312" w:eastAsia="仿宋_GB2312" w:cs="仿宋_GB2312"/>
              </w:rPr>
            </w:pPr>
            <w:r>
              <w:rPr>
                <w:rStyle w:val="37"/>
                <w:rFonts w:ascii="仿宋_GB2312" w:hAnsi="仿宋_GB2312" w:eastAsia="仿宋_GB2312" w:cs="仿宋_GB2312"/>
              </w:rPr>
              <w:t>学历</w:t>
            </w:r>
          </w:p>
        </w:tc>
        <w:tc>
          <w:tcPr>
            <w:tcW w:w="1594"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1</w:t>
            </w:r>
          </w:p>
        </w:tc>
        <w:tc>
          <w:tcPr>
            <w:tcW w:w="1601" w:type="dxa"/>
          </w:tcPr>
          <w:p>
            <w:pPr>
              <w:spacing w:line="400" w:lineRule="exact"/>
              <w:jc w:val="center"/>
              <w:rPr>
                <w:rStyle w:val="37"/>
                <w:rFonts w:ascii="仿宋_GB2312" w:hAnsi="仿宋_GB2312" w:eastAsia="仿宋_GB2312" w:cs="仿宋_GB2312"/>
              </w:rPr>
            </w:pPr>
          </w:p>
        </w:tc>
        <w:tc>
          <w:tcPr>
            <w:tcW w:w="2141" w:type="dxa"/>
          </w:tcPr>
          <w:p>
            <w:pPr>
              <w:spacing w:line="400" w:lineRule="exact"/>
              <w:jc w:val="center"/>
              <w:rPr>
                <w:rStyle w:val="37"/>
                <w:rFonts w:ascii="仿宋_GB2312" w:hAnsi="仿宋_GB2312" w:eastAsia="仿宋_GB2312" w:cs="仿宋_GB2312"/>
              </w:rPr>
            </w:pPr>
          </w:p>
        </w:tc>
        <w:tc>
          <w:tcPr>
            <w:tcW w:w="2190" w:type="dxa"/>
          </w:tcPr>
          <w:p>
            <w:pPr>
              <w:spacing w:line="400" w:lineRule="exact"/>
              <w:jc w:val="center"/>
              <w:rPr>
                <w:rStyle w:val="37"/>
                <w:rFonts w:ascii="仿宋_GB2312" w:hAnsi="仿宋_GB2312" w:eastAsia="仿宋_GB2312" w:cs="仿宋_GB2312"/>
              </w:rPr>
            </w:pPr>
          </w:p>
        </w:tc>
        <w:tc>
          <w:tcPr>
            <w:tcW w:w="1594" w:type="dxa"/>
          </w:tcPr>
          <w:p>
            <w:pPr>
              <w:spacing w:line="400" w:lineRule="exact"/>
              <w:jc w:val="center"/>
              <w:rPr>
                <w:rStyle w:val="37"/>
                <w:rFonts w:ascii="仿宋_GB2312" w:hAnsi="仿宋_GB2312" w:eastAsia="仿宋_GB2312" w:cs="仿宋_GB2312"/>
              </w:rPr>
            </w:pPr>
          </w:p>
        </w:tc>
      </w:tr>
    </w:tbl>
    <w:p>
      <w:pPr>
        <w:spacing w:line="600" w:lineRule="exact"/>
        <w:ind w:left="480" w:leftChars="200"/>
        <w:rPr>
          <w:rStyle w:val="37"/>
          <w:rFonts w:ascii="仿宋_GB2312" w:hAnsi="仿宋_GB2312" w:eastAsia="仿宋_GB2312" w:cs="仿宋_GB2312"/>
          <w:szCs w:val="24"/>
        </w:rPr>
      </w:pPr>
      <w:r>
        <w:rPr>
          <w:rStyle w:val="37"/>
          <w:rFonts w:hint="eastAsia" w:ascii="仿宋_GB2312" w:hAnsi="仿宋_GB2312" w:eastAsia="仿宋_GB2312" w:cs="仿宋_GB2312"/>
          <w:szCs w:val="24"/>
        </w:rPr>
        <w:t>拟</w:t>
      </w:r>
      <w:r>
        <w:rPr>
          <w:rStyle w:val="37"/>
          <w:rFonts w:ascii="仿宋_GB2312" w:hAnsi="仿宋_GB2312" w:eastAsia="仿宋_GB2312" w:cs="仿宋_GB2312"/>
          <w:szCs w:val="24"/>
        </w:rPr>
        <w:t>安排的项目团队成员（项目负责人除外）情况</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序号</w:t>
            </w:r>
          </w:p>
        </w:tc>
        <w:tc>
          <w:tcPr>
            <w:tcW w:w="1601"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姓名</w:t>
            </w:r>
          </w:p>
        </w:tc>
        <w:tc>
          <w:tcPr>
            <w:tcW w:w="2141"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职称</w:t>
            </w:r>
          </w:p>
        </w:tc>
        <w:tc>
          <w:tcPr>
            <w:tcW w:w="2190" w:type="dxa"/>
            <w:vAlign w:val="center"/>
          </w:tcPr>
          <w:p>
            <w:pPr>
              <w:widowControl w:val="0"/>
              <w:spacing w:line="400" w:lineRule="exact"/>
              <w:jc w:val="center"/>
              <w:rPr>
                <w:rStyle w:val="37"/>
                <w:rFonts w:ascii="仿宋_GB2312" w:hAnsi="仿宋_GB2312" w:eastAsia="仿宋_GB2312" w:cs="仿宋_GB2312"/>
              </w:rPr>
            </w:pPr>
            <w:r>
              <w:rPr>
                <w:rStyle w:val="37"/>
                <w:rFonts w:ascii="仿宋_GB2312" w:hAnsi="仿宋_GB2312" w:eastAsia="仿宋_GB2312" w:cs="仿宋_GB2312"/>
              </w:rPr>
              <w:t>学历</w:t>
            </w:r>
          </w:p>
        </w:tc>
        <w:tc>
          <w:tcPr>
            <w:tcW w:w="1594" w:type="dxa"/>
            <w:vAlign w:val="center"/>
          </w:tcPr>
          <w:p>
            <w:pPr>
              <w:widowControl w:val="0"/>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1</w:t>
            </w:r>
          </w:p>
        </w:tc>
        <w:tc>
          <w:tcPr>
            <w:tcW w:w="1601" w:type="dxa"/>
          </w:tcPr>
          <w:p>
            <w:pPr>
              <w:spacing w:line="400" w:lineRule="exact"/>
              <w:jc w:val="center"/>
              <w:rPr>
                <w:rStyle w:val="37"/>
                <w:rFonts w:ascii="仿宋_GB2312" w:hAnsi="仿宋_GB2312" w:eastAsia="仿宋_GB2312" w:cs="仿宋_GB2312"/>
              </w:rPr>
            </w:pPr>
          </w:p>
        </w:tc>
        <w:tc>
          <w:tcPr>
            <w:tcW w:w="2141" w:type="dxa"/>
          </w:tcPr>
          <w:p>
            <w:pPr>
              <w:spacing w:line="400" w:lineRule="exact"/>
              <w:jc w:val="center"/>
              <w:rPr>
                <w:rStyle w:val="37"/>
                <w:rFonts w:ascii="仿宋_GB2312" w:hAnsi="仿宋_GB2312" w:eastAsia="仿宋_GB2312" w:cs="仿宋_GB2312"/>
              </w:rPr>
            </w:pPr>
          </w:p>
        </w:tc>
        <w:tc>
          <w:tcPr>
            <w:tcW w:w="2190" w:type="dxa"/>
          </w:tcPr>
          <w:p>
            <w:pPr>
              <w:spacing w:line="400" w:lineRule="exact"/>
              <w:jc w:val="center"/>
              <w:rPr>
                <w:rStyle w:val="37"/>
                <w:rFonts w:ascii="仿宋_GB2312" w:hAnsi="仿宋_GB2312" w:eastAsia="仿宋_GB2312" w:cs="仿宋_GB2312"/>
              </w:rPr>
            </w:pPr>
          </w:p>
        </w:tc>
        <w:tc>
          <w:tcPr>
            <w:tcW w:w="1594" w:type="dxa"/>
          </w:tcPr>
          <w:p>
            <w:pPr>
              <w:spacing w:line="400" w:lineRule="exact"/>
              <w:jc w:val="center"/>
              <w:rPr>
                <w:rStyle w:val="37"/>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2</w:t>
            </w:r>
          </w:p>
        </w:tc>
        <w:tc>
          <w:tcPr>
            <w:tcW w:w="1601" w:type="dxa"/>
          </w:tcPr>
          <w:p>
            <w:pPr>
              <w:spacing w:line="400" w:lineRule="exact"/>
              <w:jc w:val="center"/>
              <w:rPr>
                <w:rStyle w:val="37"/>
                <w:rFonts w:ascii="仿宋_GB2312" w:hAnsi="仿宋_GB2312" w:eastAsia="仿宋_GB2312" w:cs="仿宋_GB2312"/>
              </w:rPr>
            </w:pPr>
          </w:p>
        </w:tc>
        <w:tc>
          <w:tcPr>
            <w:tcW w:w="2141" w:type="dxa"/>
          </w:tcPr>
          <w:p>
            <w:pPr>
              <w:spacing w:line="400" w:lineRule="exact"/>
              <w:jc w:val="center"/>
              <w:rPr>
                <w:rStyle w:val="37"/>
                <w:rFonts w:ascii="仿宋_GB2312" w:hAnsi="仿宋_GB2312" w:eastAsia="仿宋_GB2312" w:cs="仿宋_GB2312"/>
              </w:rPr>
            </w:pPr>
          </w:p>
        </w:tc>
        <w:tc>
          <w:tcPr>
            <w:tcW w:w="2190" w:type="dxa"/>
          </w:tcPr>
          <w:p>
            <w:pPr>
              <w:spacing w:line="400" w:lineRule="exact"/>
              <w:jc w:val="center"/>
              <w:rPr>
                <w:rStyle w:val="37"/>
                <w:rFonts w:ascii="仿宋_GB2312" w:hAnsi="仿宋_GB2312" w:eastAsia="仿宋_GB2312" w:cs="仿宋_GB2312"/>
              </w:rPr>
            </w:pPr>
          </w:p>
        </w:tc>
        <w:tc>
          <w:tcPr>
            <w:tcW w:w="1594" w:type="dxa"/>
          </w:tcPr>
          <w:p>
            <w:pPr>
              <w:spacing w:line="400" w:lineRule="exact"/>
              <w:jc w:val="center"/>
              <w:rPr>
                <w:rStyle w:val="37"/>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6" w:type="dxa"/>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3</w:t>
            </w:r>
          </w:p>
        </w:tc>
        <w:tc>
          <w:tcPr>
            <w:tcW w:w="1601" w:type="dxa"/>
          </w:tcPr>
          <w:p>
            <w:pPr>
              <w:spacing w:line="400" w:lineRule="exact"/>
              <w:jc w:val="center"/>
              <w:rPr>
                <w:rStyle w:val="37"/>
                <w:rFonts w:ascii="仿宋_GB2312" w:hAnsi="仿宋_GB2312" w:eastAsia="仿宋_GB2312" w:cs="仿宋_GB2312"/>
              </w:rPr>
            </w:pPr>
          </w:p>
        </w:tc>
        <w:tc>
          <w:tcPr>
            <w:tcW w:w="2141" w:type="dxa"/>
          </w:tcPr>
          <w:p>
            <w:pPr>
              <w:spacing w:line="400" w:lineRule="exact"/>
              <w:jc w:val="center"/>
              <w:rPr>
                <w:rStyle w:val="37"/>
                <w:rFonts w:ascii="仿宋_GB2312" w:hAnsi="仿宋_GB2312" w:eastAsia="仿宋_GB2312" w:cs="仿宋_GB2312"/>
              </w:rPr>
            </w:pPr>
          </w:p>
        </w:tc>
        <w:tc>
          <w:tcPr>
            <w:tcW w:w="2190" w:type="dxa"/>
          </w:tcPr>
          <w:p>
            <w:pPr>
              <w:spacing w:line="400" w:lineRule="exact"/>
              <w:jc w:val="center"/>
              <w:rPr>
                <w:rStyle w:val="37"/>
                <w:rFonts w:ascii="仿宋_GB2312" w:hAnsi="仿宋_GB2312" w:eastAsia="仿宋_GB2312" w:cs="仿宋_GB2312"/>
              </w:rPr>
            </w:pPr>
          </w:p>
        </w:tc>
        <w:tc>
          <w:tcPr>
            <w:tcW w:w="1594" w:type="dxa"/>
          </w:tcPr>
          <w:p>
            <w:pPr>
              <w:spacing w:line="400" w:lineRule="exact"/>
              <w:jc w:val="center"/>
              <w:rPr>
                <w:rStyle w:val="37"/>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96" w:type="dxa"/>
          </w:tcPr>
          <w:p>
            <w:pPr>
              <w:spacing w:line="400" w:lineRule="exact"/>
              <w:jc w:val="center"/>
              <w:rPr>
                <w:rStyle w:val="37"/>
                <w:rFonts w:ascii="仿宋_GB2312" w:hAnsi="仿宋_GB2312" w:eastAsia="仿宋_GB2312" w:cs="仿宋_GB2312"/>
              </w:rPr>
            </w:pPr>
            <w:r>
              <w:rPr>
                <w:rStyle w:val="37"/>
                <w:rFonts w:hint="eastAsia" w:ascii="仿宋_GB2312" w:hAnsi="仿宋_GB2312" w:eastAsia="仿宋_GB2312" w:cs="仿宋_GB2312"/>
              </w:rPr>
              <w:t>…</w:t>
            </w:r>
          </w:p>
        </w:tc>
        <w:tc>
          <w:tcPr>
            <w:tcW w:w="1601" w:type="dxa"/>
          </w:tcPr>
          <w:p>
            <w:pPr>
              <w:spacing w:line="400" w:lineRule="exact"/>
              <w:jc w:val="center"/>
              <w:rPr>
                <w:rStyle w:val="37"/>
                <w:rFonts w:ascii="仿宋_GB2312" w:hAnsi="仿宋_GB2312" w:eastAsia="仿宋_GB2312" w:cs="仿宋_GB2312"/>
              </w:rPr>
            </w:pPr>
          </w:p>
        </w:tc>
        <w:tc>
          <w:tcPr>
            <w:tcW w:w="2141" w:type="dxa"/>
          </w:tcPr>
          <w:p>
            <w:pPr>
              <w:spacing w:line="400" w:lineRule="exact"/>
              <w:jc w:val="center"/>
              <w:rPr>
                <w:rStyle w:val="37"/>
                <w:rFonts w:ascii="仿宋_GB2312" w:hAnsi="仿宋_GB2312" w:eastAsia="仿宋_GB2312" w:cs="仿宋_GB2312"/>
              </w:rPr>
            </w:pPr>
          </w:p>
        </w:tc>
        <w:tc>
          <w:tcPr>
            <w:tcW w:w="2190" w:type="dxa"/>
          </w:tcPr>
          <w:p>
            <w:pPr>
              <w:spacing w:line="400" w:lineRule="exact"/>
              <w:jc w:val="center"/>
              <w:rPr>
                <w:rStyle w:val="37"/>
                <w:rFonts w:ascii="仿宋_GB2312" w:hAnsi="仿宋_GB2312" w:eastAsia="仿宋_GB2312" w:cs="仿宋_GB2312"/>
              </w:rPr>
            </w:pPr>
          </w:p>
        </w:tc>
        <w:tc>
          <w:tcPr>
            <w:tcW w:w="1594" w:type="dxa"/>
          </w:tcPr>
          <w:p>
            <w:pPr>
              <w:spacing w:line="400" w:lineRule="exact"/>
              <w:jc w:val="center"/>
              <w:rPr>
                <w:rStyle w:val="37"/>
                <w:rFonts w:ascii="仿宋_GB2312" w:hAnsi="仿宋_GB2312" w:eastAsia="仿宋_GB2312" w:cs="仿宋_GB2312"/>
              </w:rPr>
            </w:pPr>
          </w:p>
        </w:tc>
      </w:tr>
    </w:tbl>
    <w:p>
      <w:pPr>
        <w:spacing w:line="400" w:lineRule="exact"/>
        <w:ind w:firstLine="480" w:firstLineChars="200"/>
        <w:rPr>
          <w:rStyle w:val="37"/>
          <w:rFonts w:ascii="仿宋_GB2312" w:hAnsi="仿宋_GB2312" w:eastAsia="仿宋_GB2312" w:cs="仿宋_GB2312"/>
          <w:sz w:val="24"/>
          <w:szCs w:val="24"/>
        </w:rPr>
      </w:pPr>
      <w:r>
        <w:rPr>
          <w:rStyle w:val="37"/>
          <w:rFonts w:hint="eastAsia" w:ascii="仿宋_GB2312" w:hAnsi="仿宋_GB2312" w:eastAsia="仿宋_GB2312" w:cs="仿宋_GB2312"/>
          <w:sz w:val="24"/>
          <w:szCs w:val="24"/>
        </w:rPr>
        <w:t>注：</w:t>
      </w:r>
    </w:p>
    <w:p>
      <w:pPr>
        <w:spacing w:line="400" w:lineRule="exact"/>
        <w:ind w:firstLine="480" w:firstLineChars="200"/>
        <w:rPr>
          <w:rStyle w:val="37"/>
          <w:rFonts w:ascii="仿宋_GB2312" w:hAnsi="仿宋_GB2312" w:eastAsia="仿宋_GB2312" w:cs="仿宋_GB2312"/>
          <w:sz w:val="24"/>
          <w:szCs w:val="24"/>
        </w:rPr>
      </w:pPr>
      <w:r>
        <w:rPr>
          <w:rStyle w:val="37"/>
          <w:rFonts w:hint="eastAsia" w:ascii="仿宋_GB2312" w:hAnsi="仿宋_GB2312" w:eastAsia="仿宋_GB2312" w:cs="仿宋_GB2312"/>
          <w:sz w:val="24"/>
          <w:szCs w:val="24"/>
        </w:rPr>
        <w:t>1.请按以上表格填写相关内容，并明确内容相关证明材料在投标文件中的页码。</w:t>
      </w:r>
    </w:p>
    <w:p>
      <w:pPr>
        <w:spacing w:line="400" w:lineRule="exact"/>
        <w:ind w:firstLine="480" w:firstLineChars="200"/>
        <w:rPr>
          <w:rStyle w:val="37"/>
          <w:rFonts w:ascii="仿宋_GB2312" w:hAnsi="仿宋_GB2312" w:eastAsia="仿宋_GB2312" w:cs="仿宋_GB2312"/>
          <w:sz w:val="24"/>
          <w:szCs w:val="24"/>
        </w:rPr>
      </w:pPr>
      <w:r>
        <w:rPr>
          <w:rStyle w:val="37"/>
          <w:rFonts w:ascii="仿宋_GB2312" w:hAnsi="仿宋_GB2312" w:eastAsia="仿宋_GB2312" w:cs="仿宋_GB2312"/>
          <w:sz w:val="24"/>
          <w:szCs w:val="24"/>
        </w:rPr>
        <w:t>2.</w:t>
      </w:r>
      <w:r>
        <w:rPr>
          <w:rStyle w:val="37"/>
          <w:rFonts w:hint="eastAsia" w:ascii="仿宋_GB2312" w:hAnsi="仿宋_GB2312" w:eastAsia="仿宋_GB2312" w:cs="仿宋_GB2312"/>
          <w:sz w:val="24"/>
          <w:szCs w:val="24"/>
        </w:rPr>
        <w:t>要求提供投标单位工作单位所开出的在职证明，并承诺该员工在本公司</w:t>
      </w:r>
      <w:r>
        <w:rPr>
          <w:rStyle w:val="37"/>
          <w:rFonts w:ascii="仿宋_GB2312" w:hAnsi="仿宋_GB2312" w:eastAsia="仿宋_GB2312" w:cs="仿宋_GB2312"/>
          <w:sz w:val="24"/>
          <w:szCs w:val="24"/>
        </w:rPr>
        <w:t>截标前</w:t>
      </w:r>
      <w:r>
        <w:rPr>
          <w:rStyle w:val="37"/>
          <w:rFonts w:hint="eastAsia" w:ascii="仿宋_GB2312" w:hAnsi="仿宋_GB2312" w:eastAsia="仿宋_GB2312" w:cs="仿宋_GB2312"/>
          <w:sz w:val="24"/>
          <w:szCs w:val="24"/>
        </w:rPr>
        <w:t>任职并在本公司连续缴纳社保3个月以上作为得分依据</w:t>
      </w:r>
      <w:r>
        <w:rPr>
          <w:rStyle w:val="37"/>
          <w:rFonts w:ascii="仿宋_GB2312" w:hAnsi="仿宋_GB2312" w:eastAsia="仿宋_GB2312" w:cs="仿宋_GB2312"/>
          <w:sz w:val="24"/>
          <w:szCs w:val="24"/>
        </w:rPr>
        <w:t>，否则不得分。</w:t>
      </w:r>
    </w:p>
    <w:p>
      <w:pPr>
        <w:spacing w:line="400" w:lineRule="exact"/>
        <w:ind w:firstLine="480" w:firstLineChars="200"/>
        <w:rPr>
          <w:rFonts w:ascii="仿宋_GB2312" w:hAnsi="仿宋_GB2312" w:eastAsia="仿宋_GB2312" w:cs="仿宋_GB2312"/>
        </w:rPr>
      </w:pPr>
      <w:r>
        <w:rPr>
          <w:rStyle w:val="37"/>
          <w:rFonts w:ascii="仿宋_GB2312" w:hAnsi="仿宋_GB2312" w:eastAsia="仿宋_GB2312" w:cs="仿宋_GB2312"/>
          <w:sz w:val="24"/>
          <w:szCs w:val="24"/>
        </w:rPr>
        <w:t>3.</w:t>
      </w:r>
      <w:r>
        <w:rPr>
          <w:rStyle w:val="37"/>
          <w:rFonts w:hint="eastAsia" w:ascii="仿宋_GB2312" w:hAnsi="仿宋_GB2312" w:eastAsia="仿宋_GB2312" w:cs="仿宋_GB2312"/>
          <w:sz w:val="24"/>
          <w:szCs w:val="24"/>
        </w:rPr>
        <w:t>提供相关职业资格证书、</w:t>
      </w:r>
      <w:r>
        <w:rPr>
          <w:rStyle w:val="37"/>
          <w:rFonts w:ascii="仿宋_GB2312" w:hAnsi="仿宋_GB2312" w:eastAsia="仿宋_GB2312" w:cs="仿宋_GB2312"/>
          <w:sz w:val="24"/>
          <w:szCs w:val="24"/>
        </w:rPr>
        <w:t>职称证书、</w:t>
      </w:r>
      <w:r>
        <w:rPr>
          <w:rStyle w:val="37"/>
          <w:rFonts w:hint="eastAsia" w:ascii="仿宋_GB2312" w:hAnsi="仿宋_GB2312" w:eastAsia="仿宋_GB2312" w:cs="仿宋_GB2312"/>
          <w:sz w:val="24"/>
          <w:szCs w:val="24"/>
        </w:rPr>
        <w:t>工作经验证明材料扫描件及能证明相关人员经验的政府类项目相关证明文件扫描件，原件备查。以合同签订时间为准，工作经验证明材料为项目合同关键信息或合同甲方出具的证明文件。</w:t>
      </w:r>
    </w:p>
    <w:p>
      <w:pPr>
        <w:spacing w:line="360" w:lineRule="auto"/>
        <w:ind w:left="480" w:leftChars="200"/>
        <w:rPr>
          <w:rFonts w:ascii="仿宋_GB2312" w:hAnsi="仿宋_GB2312" w:eastAsia="仿宋_GB2312" w:cs="仿宋_GB2312"/>
        </w:rPr>
      </w:pPr>
      <w:r>
        <w:rPr>
          <w:rFonts w:hint="eastAsia" w:ascii="仿宋_GB2312" w:hAnsi="仿宋_GB2312" w:eastAsia="仿宋_GB2312" w:cs="仿宋_GB2312"/>
        </w:rPr>
        <w:t>4.附价格核算明细及依据。</w:t>
      </w:r>
    </w:p>
    <w:p>
      <w:pPr>
        <w:spacing w:line="360" w:lineRule="auto"/>
        <w:ind w:left="480" w:leftChars="200"/>
        <w:rPr>
          <w:rFonts w:ascii="仿宋_GB2312" w:hAnsi="仿宋_GB2312" w:eastAsia="仿宋_GB2312" w:cs="仿宋_GB2312"/>
        </w:rPr>
      </w:pPr>
    </w:p>
    <w:p>
      <w:pPr>
        <w:spacing w:line="360" w:lineRule="exact"/>
        <w:ind w:left="480" w:leftChars="200"/>
        <w:rPr>
          <w:rStyle w:val="37"/>
          <w:rFonts w:ascii="仿宋_GB2312" w:hAnsi="仿宋_GB2312" w:eastAsia="仿宋_GB2312" w:cs="仿宋_GB2312"/>
          <w:sz w:val="24"/>
          <w:szCs w:val="24"/>
        </w:rPr>
      </w:pPr>
      <w:r>
        <w:rPr>
          <w:rStyle w:val="37"/>
          <w:rFonts w:hint="eastAsia" w:ascii="仿宋_GB2312" w:hAnsi="仿宋_GB2312" w:eastAsia="仿宋_GB2312" w:cs="仿宋_GB2312"/>
          <w:sz w:val="24"/>
          <w:szCs w:val="24"/>
        </w:rPr>
        <w:t xml:space="preserve">投标单位代表签字:             </w:t>
      </w:r>
    </w:p>
    <w:p>
      <w:pPr>
        <w:spacing w:line="360" w:lineRule="exact"/>
        <w:rPr>
          <w:rStyle w:val="37"/>
          <w:rFonts w:ascii="仿宋_GB2312" w:hAnsi="仿宋_GB2312" w:eastAsia="仿宋_GB2312" w:cs="仿宋_GB2312"/>
          <w:sz w:val="24"/>
          <w:szCs w:val="24"/>
        </w:rPr>
      </w:pPr>
    </w:p>
    <w:p>
      <w:pPr>
        <w:spacing w:line="360" w:lineRule="exact"/>
        <w:ind w:left="480" w:leftChars="200"/>
        <w:rPr>
          <w:sz w:val="22"/>
          <w:szCs w:val="22"/>
        </w:rPr>
      </w:pPr>
      <w:r>
        <w:rPr>
          <w:rStyle w:val="37"/>
          <w:rFonts w:hint="eastAsia" w:ascii="仿宋_GB2312" w:hAnsi="仿宋_GB2312" w:eastAsia="仿宋_GB2312" w:cs="仿宋_GB2312"/>
          <w:sz w:val="24"/>
          <w:szCs w:val="24"/>
        </w:rPr>
        <w:t>单位盖章：</w:t>
      </w:r>
    </w:p>
    <w:p>
      <w:pPr>
        <w:pStyle w:val="5"/>
        <w:ind w:firstLine="440"/>
        <w:rPr>
          <w:sz w:val="22"/>
          <w:szCs w:val="22"/>
        </w:rPr>
      </w:pPr>
    </w:p>
    <w:p>
      <w:pPr>
        <w:pStyle w:val="5"/>
        <w:ind w:firstLine="480"/>
        <w:rPr>
          <w:rFonts w:hint="eastAsia" w:ascii="仿宋_GB2312" w:hAnsi="仿宋_GB2312" w:eastAsia="仿宋_GB2312" w:cs="仿宋_GB2312"/>
        </w:rPr>
      </w:pPr>
      <w:r>
        <w:rPr>
          <w:rFonts w:hint="eastAsia" w:ascii="仿宋_GB2312" w:hAnsi="仿宋_GB2312" w:eastAsia="仿宋_GB2312" w:cs="仿宋_GB2312"/>
        </w:rPr>
        <w:t>日期：</w:t>
      </w:r>
    </w:p>
    <w:p>
      <w:pPr>
        <w:pStyle w:val="3"/>
        <w:spacing w:before="120" w:after="120" w:line="600" w:lineRule="exact"/>
        <w:jc w:val="left"/>
        <w:rPr>
          <w:b/>
          <w:bCs/>
          <w:sz w:val="28"/>
          <w:szCs w:val="28"/>
        </w:rPr>
      </w:pPr>
      <w:r>
        <w:rPr>
          <w:rFonts w:hint="eastAsia"/>
          <w:b/>
          <w:bCs/>
        </w:rPr>
        <w:t>三、投标单位资格证明文件</w:t>
      </w:r>
    </w:p>
    <w:p>
      <w:pPr>
        <w:spacing w:line="360" w:lineRule="auto"/>
        <w:rPr>
          <w:rFonts w:ascii="仿宋_GB2312" w:hAnsi="仿宋_GB2312" w:eastAsia="仿宋_GB2312" w:cs="仿宋_GB2312"/>
        </w:rPr>
      </w:pPr>
      <w:r>
        <w:rPr>
          <w:rFonts w:hint="eastAsia" w:ascii="仿宋_GB2312" w:hAnsi="仿宋_GB2312" w:eastAsia="仿宋_GB2312" w:cs="仿宋_GB2312"/>
        </w:rPr>
        <w:t>1、执业许可证、税务登记证、组织机构代码证；</w:t>
      </w:r>
    </w:p>
    <w:p>
      <w:pPr>
        <w:spacing w:line="360" w:lineRule="auto"/>
        <w:rPr>
          <w:rFonts w:ascii="仿宋_GB2312" w:hAnsi="仿宋_GB2312" w:eastAsia="仿宋_GB2312" w:cs="仿宋_GB2312"/>
        </w:rPr>
      </w:pPr>
      <w:r>
        <w:rPr>
          <w:rFonts w:hint="eastAsia" w:ascii="仿宋_GB2312" w:hAnsi="仿宋_GB2312" w:eastAsia="仿宋_GB2312" w:cs="仿宋_GB2312"/>
        </w:rPr>
        <w:t>2、法定代表人身份证明书、法定代表人授权委托书；</w:t>
      </w:r>
    </w:p>
    <w:p>
      <w:pPr>
        <w:spacing w:line="360" w:lineRule="auto"/>
        <w:rPr>
          <w:rFonts w:ascii="仿宋_GB2312" w:hAnsi="仿宋_GB2312" w:eastAsia="仿宋_GB2312" w:cs="仿宋_GB2312"/>
        </w:rPr>
      </w:pPr>
      <w:r>
        <w:rPr>
          <w:rFonts w:hint="eastAsia" w:ascii="仿宋_GB2312" w:hAnsi="仿宋_GB2312" w:eastAsia="仿宋_GB2312" w:cs="仿宋_GB2312"/>
        </w:rPr>
        <w:t>3、项目负责人资质证明文件及社保证明；</w:t>
      </w:r>
    </w:p>
    <w:p>
      <w:pPr>
        <w:spacing w:line="360" w:lineRule="auto"/>
        <w:rPr>
          <w:rFonts w:ascii="仿宋_GB2312" w:hAnsi="仿宋_GB2312" w:eastAsia="仿宋_GB2312" w:cs="仿宋_GB2312"/>
        </w:rPr>
      </w:pPr>
      <w:r>
        <w:rPr>
          <w:rFonts w:hint="eastAsia" w:ascii="仿宋_GB2312" w:hAnsi="仿宋_GB2312" w:eastAsia="仿宋_GB2312" w:cs="仿宋_GB2312"/>
        </w:rPr>
        <w:t>4、项目服务人员资质文件及社保证明。</w:t>
      </w:r>
    </w:p>
    <w:p>
      <w:pPr>
        <w:spacing w:line="360" w:lineRule="auto"/>
        <w:rPr>
          <w:rFonts w:ascii="仿宋_GB2312" w:hAnsi="仿宋_GB2312" w:eastAsia="仿宋_GB2312" w:cs="仿宋_GB2312"/>
        </w:rPr>
      </w:pPr>
    </w:p>
    <w:p>
      <w:pPr>
        <w:spacing w:line="360" w:lineRule="auto"/>
        <w:rPr>
          <w:rFonts w:ascii="仿宋_GB2312" w:hAnsi="仿宋_GB2312" w:eastAsia="仿宋_GB2312" w:cs="仿宋_GB2312"/>
        </w:rPr>
      </w:pPr>
    </w:p>
    <w:p>
      <w:pPr>
        <w:spacing w:line="360" w:lineRule="auto"/>
        <w:rPr>
          <w:rFonts w:ascii="仿宋_GB2312" w:hAnsi="仿宋_GB2312" w:eastAsia="仿宋_GB2312" w:cs="仿宋_GB2312"/>
        </w:rPr>
      </w:pPr>
      <w:r>
        <w:rPr>
          <w:rFonts w:hint="eastAsia" w:ascii="仿宋_GB2312" w:hAnsi="仿宋_GB2312" w:eastAsia="仿宋_GB2312" w:cs="仿宋_GB2312"/>
        </w:rPr>
        <w:t>投标单位代表签字:</w:t>
      </w:r>
    </w:p>
    <w:p>
      <w:pPr>
        <w:spacing w:line="360" w:lineRule="auto"/>
        <w:rPr>
          <w:rFonts w:ascii="仿宋_GB2312" w:hAnsi="仿宋_GB2312" w:eastAsia="仿宋_GB2312" w:cs="仿宋_GB2312"/>
        </w:rPr>
      </w:pPr>
    </w:p>
    <w:p>
      <w:pPr>
        <w:spacing w:line="360" w:lineRule="auto"/>
        <w:rPr>
          <w:rFonts w:ascii="仿宋_GB2312" w:hAnsi="仿宋_GB2312" w:eastAsia="仿宋_GB2312" w:cs="仿宋_GB2312"/>
        </w:rPr>
      </w:pPr>
      <w:r>
        <w:rPr>
          <w:rFonts w:hint="eastAsia" w:ascii="仿宋_GB2312" w:hAnsi="仿宋_GB2312" w:eastAsia="仿宋_GB2312" w:cs="仿宋_GB2312"/>
        </w:rPr>
        <w:t>单位盖章：</w:t>
      </w:r>
    </w:p>
    <w:p>
      <w:pPr>
        <w:spacing w:line="360" w:lineRule="auto"/>
        <w:rPr>
          <w:rFonts w:ascii="仿宋" w:hAnsi="仿宋" w:eastAsia="仿宋"/>
          <w:sz w:val="22"/>
          <w:szCs w:val="22"/>
        </w:rPr>
      </w:pPr>
    </w:p>
    <w:p>
      <w:pPr>
        <w:pStyle w:val="5"/>
        <w:ind w:firstLine="440"/>
        <w:rPr>
          <w:rFonts w:ascii="仿宋" w:hAnsi="仿宋" w:eastAsia="仿宋"/>
          <w:sz w:val="22"/>
          <w:szCs w:val="22"/>
        </w:rPr>
      </w:pPr>
    </w:p>
    <w:p>
      <w:pPr>
        <w:pStyle w:val="5"/>
        <w:ind w:firstLine="0" w:firstLineChars="0"/>
        <w:rPr>
          <w:rFonts w:ascii="仿宋_GB2312" w:hAnsi="仿宋_GB2312" w:eastAsia="仿宋_GB2312" w:cs="仿宋_GB2312"/>
        </w:rPr>
      </w:pPr>
      <w:r>
        <w:rPr>
          <w:rFonts w:hint="eastAsia" w:ascii="仿宋_GB2312" w:hAnsi="仿宋_GB2312" w:eastAsia="仿宋_GB2312" w:cs="仿宋_GB2312"/>
        </w:rPr>
        <w:t>日期：</w:t>
      </w:r>
    </w:p>
    <w:p>
      <w:pPr>
        <w:pStyle w:val="5"/>
        <w:ind w:firstLine="440"/>
        <w:rPr>
          <w:rFonts w:ascii="仿宋" w:hAnsi="仿宋" w:eastAsia="仿宋"/>
          <w:sz w:val="22"/>
          <w:szCs w:val="22"/>
        </w:rPr>
      </w:pPr>
    </w:p>
    <w:p>
      <w:pPr>
        <w:rPr>
          <w:rFonts w:ascii="仿宋" w:hAnsi="仿宋" w:eastAsia="仿宋"/>
          <w:sz w:val="22"/>
          <w:szCs w:val="22"/>
        </w:rPr>
      </w:pPr>
    </w:p>
    <w:p>
      <w:pPr>
        <w:pStyle w:val="16"/>
        <w:ind w:firstLine="221"/>
        <w:rPr>
          <w:rFonts w:ascii="仿宋" w:hAnsi="仿宋" w:eastAsia="仿宋"/>
          <w:sz w:val="22"/>
          <w:szCs w:val="22"/>
        </w:rPr>
      </w:pPr>
    </w:p>
    <w:p>
      <w:pPr>
        <w:pStyle w:val="16"/>
        <w:ind w:firstLine="221"/>
        <w:rPr>
          <w:rFonts w:ascii="仿宋" w:hAnsi="仿宋" w:eastAsia="仿宋"/>
          <w:sz w:val="22"/>
          <w:szCs w:val="22"/>
        </w:rPr>
      </w:pPr>
    </w:p>
    <w:p>
      <w:pPr>
        <w:pStyle w:val="16"/>
        <w:ind w:firstLine="221"/>
        <w:rPr>
          <w:rFonts w:ascii="仿宋" w:hAnsi="仿宋" w:eastAsia="仿宋"/>
          <w:sz w:val="22"/>
          <w:szCs w:val="22"/>
        </w:rPr>
      </w:pPr>
    </w:p>
    <w:p>
      <w:pPr>
        <w:pStyle w:val="16"/>
        <w:ind w:firstLine="221"/>
        <w:rPr>
          <w:rFonts w:ascii="仿宋" w:hAnsi="仿宋" w:eastAsia="仿宋"/>
          <w:sz w:val="22"/>
          <w:szCs w:val="22"/>
        </w:rPr>
      </w:pPr>
    </w:p>
    <w:p>
      <w:pPr>
        <w:pStyle w:val="16"/>
        <w:ind w:firstLine="221"/>
        <w:rPr>
          <w:rFonts w:ascii="仿宋" w:hAnsi="仿宋" w:eastAsia="仿宋"/>
          <w:sz w:val="22"/>
          <w:szCs w:val="22"/>
        </w:rPr>
      </w:pPr>
    </w:p>
    <w:p>
      <w:pPr>
        <w:rPr>
          <w:rFonts w:ascii="仿宋" w:hAnsi="仿宋" w:eastAsia="仿宋"/>
          <w:sz w:val="22"/>
          <w:szCs w:val="22"/>
        </w:rPr>
      </w:pPr>
    </w:p>
    <w:p>
      <w:pPr>
        <w:pStyle w:val="16"/>
        <w:rPr>
          <w:rFonts w:ascii="仿宋" w:hAnsi="仿宋" w:eastAsia="仿宋"/>
          <w:sz w:val="22"/>
          <w:szCs w:val="22"/>
        </w:rPr>
      </w:pPr>
    </w:p>
    <w:p>
      <w:pPr>
        <w:pStyle w:val="16"/>
        <w:rPr>
          <w:rFonts w:ascii="仿宋" w:hAnsi="仿宋" w:eastAsia="仿宋"/>
          <w:sz w:val="22"/>
          <w:szCs w:val="22"/>
        </w:rPr>
      </w:pPr>
    </w:p>
    <w:p>
      <w:pPr>
        <w:pStyle w:val="16"/>
        <w:rPr>
          <w:rFonts w:ascii="仿宋" w:hAnsi="仿宋" w:eastAsia="仿宋"/>
          <w:sz w:val="22"/>
          <w:szCs w:val="22"/>
        </w:rPr>
      </w:pPr>
    </w:p>
    <w:p>
      <w:pPr>
        <w:rPr>
          <w:sz w:val="22"/>
          <w:szCs w:val="22"/>
        </w:rPr>
      </w:pPr>
    </w:p>
    <w:p>
      <w:pPr>
        <w:spacing w:line="360" w:lineRule="auto"/>
        <w:jc w:val="both"/>
        <w:rPr>
          <w:b/>
          <w:bCs/>
        </w:rPr>
      </w:pPr>
      <w:r>
        <w:rPr>
          <w:rFonts w:hint="eastAsia" w:ascii="楷体_GB2312"/>
          <w:b/>
          <w:bCs/>
        </w:rPr>
        <w:t>四、《政府采购投标及履约承诺函》</w:t>
      </w:r>
    </w:p>
    <w:p>
      <w:pPr>
        <w:jc w:val="center"/>
        <w:rPr>
          <w:b/>
          <w:bCs/>
        </w:rPr>
      </w:pPr>
    </w:p>
    <w:p>
      <w:r>
        <w:rPr>
          <w:rFonts w:hint="eastAsia"/>
        </w:rPr>
        <w:t>致：深圳市南山区住房和建设局</w:t>
      </w:r>
    </w:p>
    <w:p>
      <w:pPr>
        <w:ind w:firstLine="480" w:firstLineChars="200"/>
      </w:pPr>
      <w:r>
        <w:rPr>
          <w:rFonts w:hint="eastAsia"/>
        </w:rPr>
        <w:t>我公司承诺：</w:t>
      </w:r>
    </w:p>
    <w:p>
      <w:pPr>
        <w:ind w:firstLine="480" w:firstLineChars="200"/>
      </w:pPr>
      <w:r>
        <w:rPr>
          <w:rFonts w:hint="eastAsia"/>
        </w:rPr>
        <w:t>1.我公司本招标项目所提供的货物或服务未侵犯他人知识产权。</w:t>
      </w:r>
    </w:p>
    <w:p>
      <w:pPr>
        <w:ind w:firstLine="480" w:firstLineChars="200"/>
      </w:pPr>
      <w:r>
        <w:rPr>
          <w:rFonts w:hint="eastAsia"/>
        </w:rPr>
        <w:t>2.我公司参与本项目投标前三年内，在经营活动中没有重大违法记录。</w:t>
      </w:r>
    </w:p>
    <w:p>
      <w:pPr>
        <w:ind w:firstLine="480" w:firstLineChars="200"/>
      </w:pPr>
      <w:r>
        <w:rPr>
          <w:rFonts w:hint="eastAsia"/>
        </w:rPr>
        <w:t>3.我公司参与本项目政府采购活动时不存在被有关部门禁止参与政府采购活动且在有效期内的情况。</w:t>
      </w:r>
    </w:p>
    <w:p>
      <w:pPr>
        <w:ind w:firstLine="480" w:firstLineChars="200"/>
      </w:pPr>
      <w:r>
        <w:rPr>
          <w:rFonts w:hint="eastAsia"/>
        </w:rPr>
        <w:t>4.我公司具备《中华人民共和国政府采购法》第二十二条第一款的条件。</w:t>
      </w:r>
    </w:p>
    <w:p>
      <w:pPr>
        <w:ind w:firstLine="480" w:firstLineChars="200"/>
      </w:pPr>
      <w:r>
        <w:rPr>
          <w:rFonts w:hint="eastAsia"/>
        </w:rPr>
        <w:t>5.我公司未被列入失信被执行人、重大税收违法案件当事人名单、政府采购严重违法失信行为记录名单。</w:t>
      </w:r>
    </w:p>
    <w:p>
      <w:pPr>
        <w:ind w:firstLine="480" w:firstLineChars="200"/>
      </w:pPr>
      <w:r>
        <w:rPr>
          <w:rFonts w:hint="eastAsia"/>
        </w:rPr>
        <w:t>6.我公司参与该项目投标，严格遵循公平竞争的原则，不恶意串通，不妨碍其他投标单位的竞争行为，不损害招标单位或者其他投标单位的合法权益。我公司已清楚，如违反上述要求，将作投标无效处理。</w:t>
      </w:r>
    </w:p>
    <w:p>
      <w:pPr>
        <w:ind w:firstLine="480" w:firstLineChars="200"/>
      </w:pPr>
      <w:r>
        <w:rPr>
          <w:rFonts w:hint="eastAsia"/>
        </w:rPr>
        <w:t>7.我公司如果中标，做到守信，不弄虚作假，依照本项目招标文件需求内容、签署的采购合同及本公司在投标中所作的一切承诺履约。</w:t>
      </w:r>
    </w:p>
    <w:p>
      <w:pPr>
        <w:ind w:firstLine="480" w:firstLineChars="200"/>
      </w:pPr>
      <w:r>
        <w:rPr>
          <w:rFonts w:hint="eastAsia"/>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单位的报价时，我公司清楚，本项目将成为重点监管、重点验收项目，我公司将按时保质保量完成，并全力配合有关监管、验收工作；若我公司未按上述要求履约，我公司愿意接受主管部门的处理处罚。</w:t>
      </w:r>
    </w:p>
    <w:p>
      <w:pPr>
        <w:ind w:firstLine="480" w:firstLineChars="200"/>
      </w:pPr>
      <w:r>
        <w:rPr>
          <w:rFonts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80" w:firstLineChars="200"/>
      </w:pPr>
      <w:r>
        <w:rPr>
          <w:rFonts w:hint="eastAsia"/>
        </w:rPr>
        <w:t>10.我公司承诺不转包、非法分包。</w:t>
      </w:r>
    </w:p>
    <w:p>
      <w:pPr>
        <w:ind w:firstLine="480" w:firstLineChars="200"/>
      </w:pPr>
      <w:r>
        <w:rPr>
          <w:rFonts w:hint="eastAsia"/>
        </w:rPr>
        <w:t>以上承诺，如有违反，愿依照国家相关法律处理，并承担由此给招标单位带来的损失。</w:t>
      </w:r>
    </w:p>
    <w:p>
      <w:pPr>
        <w:ind w:firstLine="480" w:firstLineChars="200"/>
      </w:pPr>
      <w:r>
        <w:rPr>
          <w:rFonts w:hint="eastAsia"/>
        </w:rPr>
        <w:t xml:space="preserve">投标单位：                       单位地址：               </w:t>
      </w:r>
    </w:p>
    <w:p>
      <w:pPr>
        <w:ind w:firstLine="480" w:firstLineChars="200"/>
      </w:pPr>
      <w:r>
        <w:rPr>
          <w:rFonts w:hint="eastAsia"/>
        </w:rPr>
        <w:t xml:space="preserve">法定代表人或其委托代理人：                   </w:t>
      </w:r>
    </w:p>
    <w:p>
      <w:pPr>
        <w:ind w:firstLine="480" w:firstLineChars="200"/>
      </w:pPr>
      <w:r>
        <w:rPr>
          <w:rFonts w:hint="eastAsia"/>
        </w:rPr>
        <w:t>日期：    年    月    日</w:t>
      </w:r>
    </w:p>
    <w:p>
      <w:pPr>
        <w:ind w:firstLine="420" w:firstLineChars="200"/>
        <w:rPr>
          <w:sz w:val="21"/>
          <w:szCs w:val="21"/>
        </w:rPr>
      </w:pPr>
    </w:p>
    <w:p>
      <w:pPr>
        <w:rPr>
          <w:sz w:val="21"/>
          <w:szCs w:val="21"/>
        </w:rPr>
      </w:pPr>
    </w:p>
    <w:p>
      <w:pPr>
        <w:rPr>
          <w:b/>
          <w:bCs/>
          <w:sz w:val="22"/>
          <w:szCs w:val="22"/>
        </w:rPr>
      </w:pPr>
      <w:r>
        <w:rPr>
          <w:rFonts w:hint="eastAsia"/>
          <w:b/>
          <w:bCs/>
          <w:sz w:val="21"/>
          <w:szCs w:val="21"/>
        </w:rPr>
        <w:t>备注：本函所称的“公司”由各投标单位根据自身主体性质进行修改。</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五</w:t>
      </w:r>
      <w:r>
        <w:rPr>
          <w:rFonts w:ascii="Times New Roman" w:hAnsi="Times New Roman" w:cs="Times New Roman"/>
          <w:b/>
          <w:bCs/>
          <w:szCs w:val="20"/>
        </w:rPr>
        <w:t>、</w:t>
      </w:r>
      <w:r>
        <w:rPr>
          <w:rFonts w:hint="eastAsia" w:ascii="Times New Roman" w:hAnsi="Times New Roman" w:cs="Times New Roman"/>
          <w:b/>
          <w:bCs/>
          <w:szCs w:val="20"/>
        </w:rPr>
        <w:t>项目</w:t>
      </w:r>
      <w:r>
        <w:rPr>
          <w:rFonts w:ascii="Times New Roman" w:hAnsi="Times New Roman" w:cs="Times New Roman"/>
          <w:b/>
          <w:bCs/>
          <w:szCs w:val="20"/>
        </w:rPr>
        <w:t>服务方案</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六</w:t>
      </w:r>
      <w:r>
        <w:rPr>
          <w:rFonts w:ascii="Times New Roman" w:hAnsi="Times New Roman" w:cs="Times New Roman"/>
          <w:b/>
          <w:bCs/>
          <w:szCs w:val="20"/>
        </w:rPr>
        <w:t>、项目重点难点分析、应对措施及相关的合理化建议（格式自定）</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rPr>
        <w:t>七</w:t>
      </w:r>
      <w:r>
        <w:rPr>
          <w:rFonts w:ascii="Times New Roman" w:hAnsi="Times New Roman" w:cs="Times New Roman"/>
          <w:b/>
          <w:bCs/>
          <w:szCs w:val="20"/>
        </w:rPr>
        <w:t>、质量（完成时间、</w:t>
      </w:r>
      <w:r>
        <w:rPr>
          <w:rFonts w:hint="eastAsia" w:ascii="Times New Roman" w:hAnsi="Times New Roman" w:cs="Times New Roman"/>
          <w:b/>
          <w:bCs/>
          <w:szCs w:val="20"/>
        </w:rPr>
        <w:t>预期成果、信息保密</w:t>
      </w:r>
      <w:r>
        <w:rPr>
          <w:rFonts w:ascii="Times New Roman" w:hAnsi="Times New Roman" w:cs="Times New Roman"/>
          <w:b/>
          <w:bCs/>
          <w:szCs w:val="20"/>
        </w:rPr>
        <w:t>）保障措施及方案（格式自定）</w:t>
      </w:r>
    </w:p>
    <w:p>
      <w:pPr>
        <w:keepNext/>
        <w:keepLines/>
        <w:widowControl w:val="0"/>
        <w:adjustRightInd w:val="0"/>
        <w:spacing w:before="156" w:beforeLines="50" w:after="156" w:afterLines="50"/>
        <w:textAlignment w:val="baseline"/>
        <w:outlineLvl w:val="1"/>
        <w:rPr>
          <w:rFonts w:ascii="黑体" w:hAnsi="黑体" w:eastAsia="黑体"/>
          <w:sz w:val="40"/>
          <w:szCs w:val="40"/>
        </w:rPr>
      </w:pPr>
      <w:r>
        <w:rPr>
          <w:rFonts w:hint="eastAsia" w:ascii="Times New Roman" w:hAnsi="Times New Roman" w:cs="Times New Roman"/>
          <w:b/>
          <w:bCs/>
          <w:szCs w:val="20"/>
        </w:rPr>
        <w:t>八、</w:t>
      </w:r>
      <w:r>
        <w:rPr>
          <w:rFonts w:ascii="Times New Roman" w:hAnsi="Times New Roman" w:cs="Times New Roman"/>
          <w:b/>
          <w:bCs/>
          <w:szCs w:val="20"/>
        </w:rPr>
        <w:t>其他招标文件要求的资料或</w:t>
      </w:r>
      <w:r>
        <w:rPr>
          <w:rFonts w:hint="eastAsia" w:ascii="Times New Roman" w:hAnsi="Times New Roman" w:cs="Times New Roman"/>
          <w:b/>
          <w:bCs/>
          <w:szCs w:val="20"/>
        </w:rPr>
        <w:t>投标单位</w:t>
      </w:r>
      <w:r>
        <w:rPr>
          <w:rFonts w:ascii="Times New Roman" w:hAnsi="Times New Roman" w:cs="Times New Roman"/>
          <w:b/>
          <w:bCs/>
          <w:szCs w:val="20"/>
        </w:rPr>
        <w:t>认为需要补充的资料（格式自定）</w:t>
      </w:r>
      <w:bookmarkStart w:id="9" w:name="bt合同的授予"/>
      <w:bookmarkEnd w:id="9"/>
    </w:p>
    <w:p>
      <w:pPr>
        <w:pStyle w:val="5"/>
        <w:ind w:firstLine="0" w:firstLineChars="0"/>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20"/>
  <w:drawingGridVerticalSpacing w:val="231"/>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NDQ2ODdiYTM5MjQ1YTM0NWY1OWJmZmVlNmNmMDIifQ=="/>
  </w:docVars>
  <w:rsids>
    <w:rsidRoot w:val="00CC7304"/>
    <w:rsid w:val="000234C3"/>
    <w:rsid w:val="000963FD"/>
    <w:rsid w:val="000C595A"/>
    <w:rsid w:val="00142C27"/>
    <w:rsid w:val="00174FCF"/>
    <w:rsid w:val="00193EB4"/>
    <w:rsid w:val="002A089C"/>
    <w:rsid w:val="00380292"/>
    <w:rsid w:val="00405B13"/>
    <w:rsid w:val="005B44C0"/>
    <w:rsid w:val="005C45C4"/>
    <w:rsid w:val="00600464"/>
    <w:rsid w:val="00B2119C"/>
    <w:rsid w:val="00BB3013"/>
    <w:rsid w:val="00BD1416"/>
    <w:rsid w:val="00BD3263"/>
    <w:rsid w:val="00CC7304"/>
    <w:rsid w:val="00EA3519"/>
    <w:rsid w:val="00EB6B2E"/>
    <w:rsid w:val="00F95A79"/>
    <w:rsid w:val="00FB042E"/>
    <w:rsid w:val="01D7180B"/>
    <w:rsid w:val="025246F3"/>
    <w:rsid w:val="02D77195"/>
    <w:rsid w:val="034A0D04"/>
    <w:rsid w:val="04C201B1"/>
    <w:rsid w:val="04C5265C"/>
    <w:rsid w:val="05BE38F3"/>
    <w:rsid w:val="06242589"/>
    <w:rsid w:val="066E3FCC"/>
    <w:rsid w:val="0679550B"/>
    <w:rsid w:val="073A5FB2"/>
    <w:rsid w:val="07B715E0"/>
    <w:rsid w:val="087D574D"/>
    <w:rsid w:val="08981E86"/>
    <w:rsid w:val="092005E6"/>
    <w:rsid w:val="0BF55E04"/>
    <w:rsid w:val="0C0D1E6B"/>
    <w:rsid w:val="0C652C55"/>
    <w:rsid w:val="0CCD2BFC"/>
    <w:rsid w:val="0D013451"/>
    <w:rsid w:val="0D2A43ED"/>
    <w:rsid w:val="0DDC7D69"/>
    <w:rsid w:val="0E957BF6"/>
    <w:rsid w:val="0EBB3ACE"/>
    <w:rsid w:val="0ED47BAC"/>
    <w:rsid w:val="0F6C4202"/>
    <w:rsid w:val="0FB90604"/>
    <w:rsid w:val="0FD8389A"/>
    <w:rsid w:val="10543666"/>
    <w:rsid w:val="10BF28F1"/>
    <w:rsid w:val="113F2005"/>
    <w:rsid w:val="1156044C"/>
    <w:rsid w:val="117E1141"/>
    <w:rsid w:val="12A55C1E"/>
    <w:rsid w:val="139A16C4"/>
    <w:rsid w:val="13FBA413"/>
    <w:rsid w:val="13FD47D1"/>
    <w:rsid w:val="14105DF2"/>
    <w:rsid w:val="142E35FB"/>
    <w:rsid w:val="15232D98"/>
    <w:rsid w:val="154E7F91"/>
    <w:rsid w:val="15580CB8"/>
    <w:rsid w:val="16875F4F"/>
    <w:rsid w:val="18EC7517"/>
    <w:rsid w:val="190B634A"/>
    <w:rsid w:val="191154AB"/>
    <w:rsid w:val="19AF2CFA"/>
    <w:rsid w:val="1A0F59AA"/>
    <w:rsid w:val="1B8B0C96"/>
    <w:rsid w:val="1C0F5A31"/>
    <w:rsid w:val="1C172A31"/>
    <w:rsid w:val="1D4A609D"/>
    <w:rsid w:val="1E1B1B53"/>
    <w:rsid w:val="1E473DD9"/>
    <w:rsid w:val="1F2FD277"/>
    <w:rsid w:val="1F8220ED"/>
    <w:rsid w:val="1FF45C16"/>
    <w:rsid w:val="1FF733C9"/>
    <w:rsid w:val="20BE5F5F"/>
    <w:rsid w:val="22501CD2"/>
    <w:rsid w:val="22995ED7"/>
    <w:rsid w:val="229C0D22"/>
    <w:rsid w:val="23117A19"/>
    <w:rsid w:val="23F7E3CA"/>
    <w:rsid w:val="24367587"/>
    <w:rsid w:val="25412922"/>
    <w:rsid w:val="258E0FA3"/>
    <w:rsid w:val="27DF3D16"/>
    <w:rsid w:val="28563A46"/>
    <w:rsid w:val="28981DED"/>
    <w:rsid w:val="29DB64BF"/>
    <w:rsid w:val="29EE671F"/>
    <w:rsid w:val="2A270B69"/>
    <w:rsid w:val="2A382E47"/>
    <w:rsid w:val="2C8B5A40"/>
    <w:rsid w:val="2CE56ADE"/>
    <w:rsid w:val="2CED274B"/>
    <w:rsid w:val="2D377CB9"/>
    <w:rsid w:val="2D592010"/>
    <w:rsid w:val="2DF04122"/>
    <w:rsid w:val="2F192F3F"/>
    <w:rsid w:val="2F7942AA"/>
    <w:rsid w:val="2F9A4600"/>
    <w:rsid w:val="2F9C0DF1"/>
    <w:rsid w:val="2FBA248F"/>
    <w:rsid w:val="3002684D"/>
    <w:rsid w:val="30AA7797"/>
    <w:rsid w:val="31C82A44"/>
    <w:rsid w:val="31E4369E"/>
    <w:rsid w:val="31FE061C"/>
    <w:rsid w:val="32D86F80"/>
    <w:rsid w:val="35892751"/>
    <w:rsid w:val="35BD0E7E"/>
    <w:rsid w:val="35D74D00"/>
    <w:rsid w:val="35E40022"/>
    <w:rsid w:val="35FC5BB2"/>
    <w:rsid w:val="36B201AB"/>
    <w:rsid w:val="36D63E90"/>
    <w:rsid w:val="37BF2AAF"/>
    <w:rsid w:val="37DF942B"/>
    <w:rsid w:val="38880FC1"/>
    <w:rsid w:val="3959779B"/>
    <w:rsid w:val="39C90E3B"/>
    <w:rsid w:val="3B106055"/>
    <w:rsid w:val="3B3EBEAE"/>
    <w:rsid w:val="3B991AC5"/>
    <w:rsid w:val="3BC71C53"/>
    <w:rsid w:val="3CD7A463"/>
    <w:rsid w:val="3D4028E1"/>
    <w:rsid w:val="3E536AC8"/>
    <w:rsid w:val="3EEABDD3"/>
    <w:rsid w:val="3EFF6693"/>
    <w:rsid w:val="3FE9568A"/>
    <w:rsid w:val="3FFD2C91"/>
    <w:rsid w:val="40C07A25"/>
    <w:rsid w:val="41B226B7"/>
    <w:rsid w:val="4228537D"/>
    <w:rsid w:val="42837800"/>
    <w:rsid w:val="42A66304"/>
    <w:rsid w:val="42E92DCD"/>
    <w:rsid w:val="47524B6D"/>
    <w:rsid w:val="475E2534"/>
    <w:rsid w:val="47FBC443"/>
    <w:rsid w:val="47FD853B"/>
    <w:rsid w:val="48521226"/>
    <w:rsid w:val="49FB4BB9"/>
    <w:rsid w:val="4A0050F8"/>
    <w:rsid w:val="4A69757A"/>
    <w:rsid w:val="4AB47D7B"/>
    <w:rsid w:val="4AE11CA9"/>
    <w:rsid w:val="4BCC3853"/>
    <w:rsid w:val="4BF834C8"/>
    <w:rsid w:val="4C4E619E"/>
    <w:rsid w:val="4C5742E9"/>
    <w:rsid w:val="4CE47F66"/>
    <w:rsid w:val="4E1513AC"/>
    <w:rsid w:val="4E955F17"/>
    <w:rsid w:val="4EF61080"/>
    <w:rsid w:val="4EFD3D3D"/>
    <w:rsid w:val="4F7F06FB"/>
    <w:rsid w:val="4FB2944C"/>
    <w:rsid w:val="4FFBD628"/>
    <w:rsid w:val="504D3381"/>
    <w:rsid w:val="51847179"/>
    <w:rsid w:val="51974E0E"/>
    <w:rsid w:val="52AD569C"/>
    <w:rsid w:val="52D57C24"/>
    <w:rsid w:val="536137E9"/>
    <w:rsid w:val="543F3A42"/>
    <w:rsid w:val="54C045A1"/>
    <w:rsid w:val="54F2606C"/>
    <w:rsid w:val="55F36B82"/>
    <w:rsid w:val="56057761"/>
    <w:rsid w:val="561B4563"/>
    <w:rsid w:val="5747698E"/>
    <w:rsid w:val="5772675D"/>
    <w:rsid w:val="5787567D"/>
    <w:rsid w:val="58FB08F1"/>
    <w:rsid w:val="599C6209"/>
    <w:rsid w:val="59D85C5C"/>
    <w:rsid w:val="5A5790B3"/>
    <w:rsid w:val="5ABC71C0"/>
    <w:rsid w:val="5BFD5563"/>
    <w:rsid w:val="5C06044B"/>
    <w:rsid w:val="5C805CD6"/>
    <w:rsid w:val="5D40771C"/>
    <w:rsid w:val="5E7F41C2"/>
    <w:rsid w:val="5ECC3BB1"/>
    <w:rsid w:val="5ED51747"/>
    <w:rsid w:val="5EE5D31F"/>
    <w:rsid w:val="5FE00FF1"/>
    <w:rsid w:val="5FFD7A2E"/>
    <w:rsid w:val="6026142D"/>
    <w:rsid w:val="60F53118"/>
    <w:rsid w:val="610E0005"/>
    <w:rsid w:val="6127684D"/>
    <w:rsid w:val="62230F2F"/>
    <w:rsid w:val="62B0A5A7"/>
    <w:rsid w:val="631611E9"/>
    <w:rsid w:val="639D59C7"/>
    <w:rsid w:val="63EA0DFA"/>
    <w:rsid w:val="649334F6"/>
    <w:rsid w:val="65AB4957"/>
    <w:rsid w:val="65AEA722"/>
    <w:rsid w:val="660309C2"/>
    <w:rsid w:val="664B59B6"/>
    <w:rsid w:val="6690034A"/>
    <w:rsid w:val="66A04648"/>
    <w:rsid w:val="66B74A3E"/>
    <w:rsid w:val="66C03907"/>
    <w:rsid w:val="66EA53F9"/>
    <w:rsid w:val="66F6C335"/>
    <w:rsid w:val="67217B86"/>
    <w:rsid w:val="677BC9F9"/>
    <w:rsid w:val="6794665E"/>
    <w:rsid w:val="67FD6603"/>
    <w:rsid w:val="68DA27AF"/>
    <w:rsid w:val="698D39E2"/>
    <w:rsid w:val="6A470078"/>
    <w:rsid w:val="6AE30754"/>
    <w:rsid w:val="6CB1780F"/>
    <w:rsid w:val="6D9F12A1"/>
    <w:rsid w:val="6DC9740A"/>
    <w:rsid w:val="6EA60D2B"/>
    <w:rsid w:val="6F79647A"/>
    <w:rsid w:val="71F14957"/>
    <w:rsid w:val="726076AD"/>
    <w:rsid w:val="746F626B"/>
    <w:rsid w:val="74AE5656"/>
    <w:rsid w:val="75863DD3"/>
    <w:rsid w:val="758F40AB"/>
    <w:rsid w:val="75DC2722"/>
    <w:rsid w:val="75E447B9"/>
    <w:rsid w:val="777B83D2"/>
    <w:rsid w:val="77EFC003"/>
    <w:rsid w:val="77FE1E74"/>
    <w:rsid w:val="78EEF3F5"/>
    <w:rsid w:val="79904AA1"/>
    <w:rsid w:val="79A735B3"/>
    <w:rsid w:val="79C97F75"/>
    <w:rsid w:val="7B2F3071"/>
    <w:rsid w:val="7BBD224A"/>
    <w:rsid w:val="7C9E64D7"/>
    <w:rsid w:val="7CBF2F88"/>
    <w:rsid w:val="7CDC28D5"/>
    <w:rsid w:val="7CFF6AC0"/>
    <w:rsid w:val="7DBF9CEA"/>
    <w:rsid w:val="7DD42E56"/>
    <w:rsid w:val="7DD9C166"/>
    <w:rsid w:val="7DFFC68E"/>
    <w:rsid w:val="7E3FDEBB"/>
    <w:rsid w:val="7F0563CB"/>
    <w:rsid w:val="7F9FE603"/>
    <w:rsid w:val="7FDAF6C4"/>
    <w:rsid w:val="7FEB6A59"/>
    <w:rsid w:val="7FFB49D1"/>
    <w:rsid w:val="9FC7F5D0"/>
    <w:rsid w:val="A3DF0286"/>
    <w:rsid w:val="A77B045B"/>
    <w:rsid w:val="B7B9A70B"/>
    <w:rsid w:val="B7F60B9C"/>
    <w:rsid w:val="B89E101B"/>
    <w:rsid w:val="BE7B1677"/>
    <w:rsid w:val="BEDD670F"/>
    <w:rsid w:val="BEF58D25"/>
    <w:rsid w:val="BF59A921"/>
    <w:rsid w:val="BFD6FBD6"/>
    <w:rsid w:val="BFFCB05C"/>
    <w:rsid w:val="BFFD91EE"/>
    <w:rsid w:val="CAF5D3EB"/>
    <w:rsid w:val="CAF9A1FB"/>
    <w:rsid w:val="CDFEE742"/>
    <w:rsid w:val="CF3FF549"/>
    <w:rsid w:val="D6EE3120"/>
    <w:rsid w:val="D7DBE1B2"/>
    <w:rsid w:val="DC7CF844"/>
    <w:rsid w:val="DD7AA6CF"/>
    <w:rsid w:val="DDDB1C86"/>
    <w:rsid w:val="DE7F8177"/>
    <w:rsid w:val="DF6E2303"/>
    <w:rsid w:val="DFB75F31"/>
    <w:rsid w:val="DFDD624A"/>
    <w:rsid w:val="DFEAC09B"/>
    <w:rsid w:val="DFF9817A"/>
    <w:rsid w:val="DFFF9432"/>
    <w:rsid w:val="E497B239"/>
    <w:rsid w:val="E73A5C15"/>
    <w:rsid w:val="E7DDE194"/>
    <w:rsid w:val="E9FB7903"/>
    <w:rsid w:val="EBDF0609"/>
    <w:rsid w:val="EBEB91EB"/>
    <w:rsid w:val="EBF4DFDF"/>
    <w:rsid w:val="EDEF1001"/>
    <w:rsid w:val="EE1A5571"/>
    <w:rsid w:val="EF4C22C2"/>
    <w:rsid w:val="EF93B651"/>
    <w:rsid w:val="EFBF171D"/>
    <w:rsid w:val="EFFF2535"/>
    <w:rsid w:val="F77F8591"/>
    <w:rsid w:val="F7AEDBD7"/>
    <w:rsid w:val="F7FD7E9B"/>
    <w:rsid w:val="F91FF575"/>
    <w:rsid w:val="F9CEF3CD"/>
    <w:rsid w:val="FA9DCEC4"/>
    <w:rsid w:val="FAFF578E"/>
    <w:rsid w:val="FAFFD07C"/>
    <w:rsid w:val="FB2F429B"/>
    <w:rsid w:val="FB7EF93D"/>
    <w:rsid w:val="FBDE7946"/>
    <w:rsid w:val="FCEBD8E2"/>
    <w:rsid w:val="FCFF9379"/>
    <w:rsid w:val="FD7B7B98"/>
    <w:rsid w:val="FDFF2A0A"/>
    <w:rsid w:val="FEFBA346"/>
    <w:rsid w:val="FF357A75"/>
    <w:rsid w:val="FFB727F6"/>
    <w:rsid w:val="FFBC046A"/>
    <w:rsid w:val="FFBFE5BD"/>
    <w:rsid w:val="FFFF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340" w:after="330" w:line="360" w:lineRule="auto"/>
      <w:ind w:left="472" w:hanging="472" w:hangingChars="196"/>
      <w:jc w:val="center"/>
      <w:outlineLvl w:val="0"/>
    </w:pPr>
    <w:rPr>
      <w:kern w:val="44"/>
      <w:szCs w:val="44"/>
    </w:rPr>
  </w:style>
  <w:style w:type="paragraph" w:styleId="3">
    <w:name w:val="heading 2"/>
    <w:basedOn w:val="1"/>
    <w:next w:val="1"/>
    <w:qFormat/>
    <w:uiPriority w:val="0"/>
    <w:pPr>
      <w:adjustRightInd w:val="0"/>
      <w:jc w:val="center"/>
      <w:textAlignment w:val="baseline"/>
      <w:outlineLvl w:val="1"/>
    </w:pPr>
    <w:rPr>
      <w:szCs w:val="20"/>
    </w:rPr>
  </w:style>
  <w:style w:type="paragraph" w:styleId="4">
    <w:name w:val="heading 3"/>
    <w:basedOn w:val="1"/>
    <w:next w:val="1"/>
    <w:link w:val="27"/>
    <w:qFormat/>
    <w:uiPriority w:val="9"/>
    <w:pPr>
      <w:spacing w:before="260" w:after="260" w:line="416" w:lineRule="auto"/>
      <w:outlineLvl w:val="2"/>
    </w:pPr>
    <w:rPr>
      <w:rFonts w:ascii="Times New Roman" w:hAnsi="Times New Roman"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8"/>
    <w:qFormat/>
    <w:uiPriority w:val="0"/>
    <w:rPr>
      <w:sz w:val="18"/>
      <w:szCs w:val="18"/>
    </w:rPr>
  </w:style>
  <w:style w:type="paragraph" w:styleId="7">
    <w:name w:val="annotation text"/>
    <w:basedOn w:val="1"/>
    <w:qFormat/>
    <w:uiPriority w:val="0"/>
  </w:style>
  <w:style w:type="paragraph" w:styleId="8">
    <w:name w:val="Body Text"/>
    <w:basedOn w:val="1"/>
    <w:next w:val="1"/>
    <w:qFormat/>
    <w:uiPriority w:val="0"/>
    <w:pPr>
      <w:spacing w:line="360" w:lineRule="auto"/>
    </w:pPr>
    <w:rPr>
      <w:rFonts w:cs="Times New Roman"/>
      <w:b/>
      <w:bCs/>
    </w:rPr>
  </w:style>
  <w:style w:type="paragraph" w:styleId="9">
    <w:name w:val="Body Text Indent"/>
    <w:basedOn w:val="1"/>
    <w:unhideWhenUsed/>
    <w:qFormat/>
    <w:uiPriority w:val="0"/>
    <w:pPr>
      <w:spacing w:after="120"/>
      <w:ind w:left="420" w:leftChars="200"/>
    </w:pPr>
  </w:style>
  <w:style w:type="paragraph" w:styleId="10">
    <w:name w:val="Body Text Indent 2"/>
    <w:basedOn w:val="1"/>
    <w:qFormat/>
    <w:uiPriority w:val="0"/>
    <w:pPr>
      <w:spacing w:line="480" w:lineRule="auto"/>
      <w:ind w:left="420" w:leftChars="200"/>
    </w:pPr>
  </w:style>
  <w:style w:type="paragraph" w:styleId="11">
    <w:name w:val="footer"/>
    <w:basedOn w:val="1"/>
    <w:unhideWhenUsed/>
    <w:qFormat/>
    <w:uiPriority w:val="99"/>
    <w:pPr>
      <w:tabs>
        <w:tab w:val="center" w:pos="4153"/>
        <w:tab w:val="right" w:pos="8306"/>
      </w:tabs>
      <w:snapToGrid w:val="0"/>
    </w:pPr>
    <w:rPr>
      <w:rFonts w:ascii="Times New Roman" w:hAnsi="Times New Roman" w:cs="Times New Roman"/>
      <w:sz w:val="18"/>
      <w:szCs w:val="18"/>
    </w:rPr>
  </w:style>
  <w:style w:type="paragraph" w:styleId="12">
    <w:name w:val="header"/>
    <w:basedOn w:val="1"/>
    <w:next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4">
    <w:name w:val="Normal (Web)"/>
    <w:basedOn w:val="1"/>
    <w:qFormat/>
    <w:uiPriority w:val="99"/>
    <w:pPr>
      <w:spacing w:beforeAutospacing="1" w:afterAutospacing="1"/>
    </w:pPr>
    <w:rPr>
      <w:rFonts w:cs="Times New Roman"/>
    </w:rPr>
  </w:style>
  <w:style w:type="paragraph" w:styleId="15">
    <w:name w:val="Title"/>
    <w:basedOn w:val="1"/>
    <w:next w:val="1"/>
    <w:qFormat/>
    <w:uiPriority w:val="0"/>
    <w:pPr>
      <w:spacing w:before="240" w:after="60"/>
      <w:jc w:val="center"/>
      <w:outlineLvl w:val="0"/>
    </w:pPr>
    <w:rPr>
      <w:rFonts w:ascii="Cambria" w:hAnsi="Cambria" w:cs="Times New Roman"/>
      <w:b/>
      <w:bCs/>
      <w:sz w:val="32"/>
      <w:szCs w:val="32"/>
    </w:rPr>
  </w:style>
  <w:style w:type="paragraph" w:styleId="16">
    <w:name w:val="Body Text First Indent"/>
    <w:basedOn w:val="8"/>
    <w:qFormat/>
    <w:uiPriority w:val="0"/>
    <w:pPr>
      <w:ind w:firstLine="420" w:firstLineChars="100"/>
    </w:pPr>
  </w:style>
  <w:style w:type="paragraph" w:styleId="17">
    <w:name w:val="Body Text First Indent 2"/>
    <w:basedOn w:val="9"/>
    <w:qFormat/>
    <w:uiPriority w:val="0"/>
    <w:pPr>
      <w:ind w:firstLine="420" w:firstLineChars="200"/>
    </w:pPr>
    <w:rPr>
      <w:rFonts w:ascii="Calibri" w:hAnsi="Calibri" w:cs="Times New Roman"/>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rFonts w:hint="eastAsia" w:ascii="微软雅黑" w:hAnsi="微软雅黑" w:eastAsia="微软雅黑" w:cs="微软雅黑"/>
      <w:color w:val="333333"/>
      <w:sz w:val="21"/>
      <w:szCs w:val="21"/>
      <w:u w:val="none"/>
    </w:rPr>
  </w:style>
  <w:style w:type="character" w:styleId="23">
    <w:name w:val="Emphasis"/>
    <w:basedOn w:val="20"/>
    <w:qFormat/>
    <w:uiPriority w:val="0"/>
  </w:style>
  <w:style w:type="character" w:styleId="24">
    <w:name w:val="Hyperlink"/>
    <w:basedOn w:val="20"/>
    <w:qFormat/>
    <w:uiPriority w:val="0"/>
    <w:rPr>
      <w:rFonts w:hint="eastAsia" w:ascii="微软雅黑" w:hAnsi="微软雅黑" w:eastAsia="微软雅黑" w:cs="微软雅黑"/>
      <w:color w:val="333333"/>
      <w:sz w:val="21"/>
      <w:szCs w:val="21"/>
      <w:u w:val="none"/>
    </w:rPr>
  </w:style>
  <w:style w:type="character" w:styleId="25">
    <w:name w:val="annotation reference"/>
    <w:unhideWhenUsed/>
    <w:qFormat/>
    <w:uiPriority w:val="99"/>
    <w:rPr>
      <w:sz w:val="21"/>
      <w:szCs w:val="21"/>
    </w:rPr>
  </w:style>
  <w:style w:type="character" w:styleId="26">
    <w:name w:val="HTML Cite"/>
    <w:basedOn w:val="20"/>
    <w:qFormat/>
    <w:uiPriority w:val="0"/>
  </w:style>
  <w:style w:type="character" w:customStyle="1" w:styleId="27">
    <w:name w:val="标题 3 字符"/>
    <w:link w:val="4"/>
    <w:qFormat/>
    <w:uiPriority w:val="9"/>
    <w:rPr>
      <w:rFonts w:ascii="Times New Roman" w:hAnsi="Times New Roman" w:cs="Times New Roman"/>
      <w:b/>
      <w:bCs/>
      <w:sz w:val="32"/>
      <w:szCs w:val="32"/>
    </w:rPr>
  </w:style>
  <w:style w:type="character" w:customStyle="1" w:styleId="28">
    <w:name w:val="文档结构图 字符"/>
    <w:basedOn w:val="20"/>
    <w:link w:val="6"/>
    <w:qFormat/>
    <w:uiPriority w:val="0"/>
    <w:rPr>
      <w:rFonts w:ascii="宋体" w:hAnsi="宋体" w:cs="宋体"/>
      <w:sz w:val="18"/>
      <w:szCs w:val="18"/>
    </w:rPr>
  </w:style>
  <w:style w:type="character" w:customStyle="1" w:styleId="29">
    <w:name w:val="页眉 字符"/>
    <w:basedOn w:val="20"/>
    <w:link w:val="12"/>
    <w:qFormat/>
    <w:uiPriority w:val="0"/>
    <w:rPr>
      <w:rFonts w:ascii="宋体" w:hAnsi="宋体" w:cs="宋体"/>
      <w:sz w:val="18"/>
      <w:szCs w:val="18"/>
    </w:rPr>
  </w:style>
  <w:style w:type="character" w:customStyle="1" w:styleId="30">
    <w:name w:val="layui-layer-tabnow"/>
    <w:basedOn w:val="20"/>
    <w:qFormat/>
    <w:uiPriority w:val="0"/>
    <w:rPr>
      <w:bdr w:val="single" w:color="CCCCCC" w:sz="6" w:space="0"/>
      <w:shd w:val="clear" w:color="auto" w:fill="FFFFFF"/>
    </w:rPr>
  </w:style>
  <w:style w:type="character" w:customStyle="1" w:styleId="31">
    <w:name w:val="labelname"/>
    <w:basedOn w:val="20"/>
    <w:qFormat/>
    <w:uiPriority w:val="0"/>
  </w:style>
  <w:style w:type="character" w:customStyle="1" w:styleId="32">
    <w:name w:val="seacher_btn4"/>
    <w:basedOn w:val="20"/>
    <w:qFormat/>
    <w:uiPriority w:val="0"/>
    <w:rPr>
      <w:color w:val="FFFFFF"/>
      <w:shd w:val="clear" w:color="auto" w:fill="008DF9"/>
    </w:rPr>
  </w:style>
  <w:style w:type="character" w:customStyle="1" w:styleId="33">
    <w:name w:val="layui-laypage-curr"/>
    <w:basedOn w:val="20"/>
    <w:qFormat/>
    <w:uiPriority w:val="0"/>
  </w:style>
  <w:style w:type="character" w:customStyle="1" w:styleId="34">
    <w:name w:val="first-child"/>
    <w:basedOn w:val="20"/>
    <w:qFormat/>
    <w:uiPriority w:val="0"/>
  </w:style>
  <w:style w:type="paragraph" w:styleId="35">
    <w:name w:val="List Paragraph"/>
    <w:basedOn w:val="1"/>
    <w:qFormat/>
    <w:uiPriority w:val="99"/>
    <w:pPr>
      <w:ind w:firstLine="420" w:firstLineChars="200"/>
    </w:pPr>
  </w:style>
  <w:style w:type="paragraph" w:customStyle="1" w:styleId="36">
    <w:name w:val="111111"/>
    <w:basedOn w:val="1"/>
    <w:qFormat/>
    <w:uiPriority w:val="0"/>
    <w:pPr>
      <w:ind w:firstLine="470" w:firstLineChars="196"/>
    </w:pPr>
  </w:style>
  <w:style w:type="character" w:customStyle="1" w:styleId="37">
    <w:name w:val="15"/>
    <w:basedOn w:val="20"/>
    <w:qFormat/>
    <w:uiPriority w:val="99"/>
    <w:rPr>
      <w:rFonts w:ascii="Calibri" w:hAnsi="Calibri" w:cs="Calibri"/>
      <w:sz w:val="22"/>
      <w:szCs w:val="22"/>
    </w:rPr>
  </w:style>
  <w:style w:type="paragraph" w:customStyle="1" w:styleId="38">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10325</Words>
  <Characters>10508</Characters>
  <Lines>97</Lines>
  <Paragraphs>27</Paragraphs>
  <TotalTime>24</TotalTime>
  <ScaleCrop>false</ScaleCrop>
  <LinksUpToDate>false</LinksUpToDate>
  <CharactersWithSpaces>10749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2021-01-09T17:55:00Z</dcterms:created>
  <dc:creator>LZQ</dc:creator>
  <cp:lastModifiedBy>Fran</cp:lastModifiedBy>
  <cp:lastPrinted>2024-01-30T11:23:00Z</cp:lastPrinted>
  <dcterms:modified xsi:type="dcterms:W3CDTF">2024-06-06T10:18:28Z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BAAE62ABF4A54471A6263EF3FCF06744</vt:lpwstr>
  </property>
</Properties>
</file>