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Arial"/>
          <w:b/>
          <w:bCs/>
          <w:sz w:val="44"/>
          <w:szCs w:val="44"/>
        </w:rPr>
      </w:pPr>
      <w:bookmarkStart w:id="1" w:name="_GoBack"/>
      <w:bookmarkEnd w:id="1"/>
    </w:p>
    <w:p>
      <w:pPr>
        <w:widowControl/>
        <w:jc w:val="center"/>
        <w:rPr>
          <w:rFonts w:ascii="宋体" w:hAnsi="宋体" w:cs="Arial"/>
          <w:b/>
          <w:bCs/>
          <w:sz w:val="44"/>
          <w:szCs w:val="44"/>
        </w:rPr>
      </w:pPr>
      <w:r>
        <w:rPr>
          <w:rFonts w:hint="eastAsia" w:ascii="宋体" w:hAnsi="宋体" w:cs="Arial"/>
          <w:b/>
          <w:bCs/>
          <w:sz w:val="44"/>
          <w:szCs w:val="44"/>
        </w:rPr>
        <w:t>南山区物业行业安全管理指导服务项目</w:t>
      </w:r>
    </w:p>
    <w:p>
      <w:pPr>
        <w:spacing w:line="360" w:lineRule="auto"/>
        <w:ind w:left="420" w:leftChars="200"/>
        <w:jc w:val="center"/>
        <w:rPr>
          <w:rFonts w:ascii="宋体" w:hAnsi="宋体" w:cs="Arial"/>
          <w:b/>
          <w:bCs/>
          <w:sz w:val="44"/>
          <w:szCs w:val="44"/>
        </w:rPr>
      </w:pPr>
    </w:p>
    <w:p>
      <w:pPr>
        <w:spacing w:line="360" w:lineRule="auto"/>
        <w:ind w:left="420" w:leftChars="200"/>
        <w:jc w:val="center"/>
        <w:rPr>
          <w:rFonts w:ascii="黑体" w:hAnsi="宋体" w:eastAsia="黑体"/>
          <w:b/>
          <w:bCs/>
          <w:sz w:val="32"/>
          <w:szCs w:val="32"/>
        </w:rPr>
      </w:pPr>
    </w:p>
    <w:p>
      <w:pPr>
        <w:spacing w:line="360" w:lineRule="auto"/>
        <w:ind w:left="420" w:leftChars="200"/>
        <w:jc w:val="center"/>
        <w:rPr>
          <w:rFonts w:ascii="黑体" w:hAnsi="宋体" w:eastAsia="黑体"/>
          <w:b/>
          <w:bCs/>
          <w:sz w:val="32"/>
          <w:szCs w:val="32"/>
        </w:rPr>
      </w:pPr>
    </w:p>
    <w:p>
      <w:pPr>
        <w:spacing w:beforeLines="50" w:afterLines="50" w:line="360" w:lineRule="auto"/>
        <w:jc w:val="center"/>
        <w:rPr>
          <w:rFonts w:ascii="黑体" w:hAnsi="宋体" w:eastAsia="黑体"/>
          <w:b/>
          <w:bCs/>
          <w:sz w:val="72"/>
          <w:szCs w:val="72"/>
        </w:rPr>
      </w:pPr>
      <w:r>
        <w:rPr>
          <w:rFonts w:hint="eastAsia" w:ascii="黑体" w:hAnsi="黑体" w:eastAsia="黑体"/>
          <w:b/>
          <w:bCs/>
          <w:sz w:val="72"/>
          <w:szCs w:val="72"/>
        </w:rPr>
        <w:t>招</w:t>
      </w:r>
    </w:p>
    <w:p>
      <w:pPr>
        <w:spacing w:beforeLines="50" w:afterLines="50" w:line="360" w:lineRule="auto"/>
        <w:jc w:val="center"/>
        <w:rPr>
          <w:rFonts w:ascii="黑体" w:hAnsi="宋体" w:eastAsia="黑体"/>
          <w:b/>
          <w:bCs/>
          <w:sz w:val="72"/>
          <w:szCs w:val="72"/>
        </w:rPr>
      </w:pPr>
    </w:p>
    <w:p>
      <w:pPr>
        <w:spacing w:beforeLines="50" w:afterLines="50" w:line="360" w:lineRule="auto"/>
        <w:jc w:val="center"/>
        <w:rPr>
          <w:rFonts w:ascii="黑体" w:hAnsi="宋体" w:eastAsia="黑体"/>
          <w:b/>
          <w:bCs/>
          <w:sz w:val="72"/>
          <w:szCs w:val="72"/>
        </w:rPr>
      </w:pPr>
      <w:r>
        <w:rPr>
          <w:rFonts w:hint="eastAsia" w:ascii="黑体" w:hAnsi="黑体" w:eastAsia="黑体"/>
          <w:b/>
          <w:bCs/>
          <w:sz w:val="72"/>
          <w:szCs w:val="72"/>
        </w:rPr>
        <w:t>标</w:t>
      </w:r>
    </w:p>
    <w:p>
      <w:pPr>
        <w:spacing w:beforeLines="50" w:afterLines="50" w:line="360" w:lineRule="auto"/>
        <w:jc w:val="center"/>
        <w:rPr>
          <w:rFonts w:ascii="黑体" w:hAnsi="宋体" w:eastAsia="黑体"/>
          <w:b/>
          <w:bCs/>
          <w:sz w:val="48"/>
          <w:szCs w:val="48"/>
        </w:rPr>
      </w:pPr>
    </w:p>
    <w:p>
      <w:pPr>
        <w:spacing w:beforeLines="50" w:afterLines="50" w:line="360" w:lineRule="auto"/>
        <w:jc w:val="center"/>
        <w:rPr>
          <w:rFonts w:ascii="黑体" w:hAnsi="宋体" w:eastAsia="黑体"/>
          <w:b/>
          <w:bCs/>
          <w:sz w:val="72"/>
          <w:szCs w:val="72"/>
        </w:rPr>
      </w:pPr>
      <w:r>
        <w:rPr>
          <w:rFonts w:hint="eastAsia" w:ascii="黑体" w:hAnsi="黑体" w:eastAsia="黑体"/>
          <w:b/>
          <w:bCs/>
          <w:sz w:val="72"/>
          <w:szCs w:val="72"/>
        </w:rPr>
        <w:t>书</w:t>
      </w:r>
    </w:p>
    <w:p>
      <w:pPr>
        <w:spacing w:line="360" w:lineRule="auto"/>
        <w:ind w:left="420" w:leftChars="200"/>
        <w:jc w:val="center"/>
        <w:rPr>
          <w:rFonts w:ascii="宋体" w:hAnsi="宋体"/>
          <w:sz w:val="44"/>
          <w:szCs w:val="44"/>
        </w:rPr>
      </w:pPr>
    </w:p>
    <w:p>
      <w:pPr>
        <w:spacing w:line="360" w:lineRule="auto"/>
        <w:ind w:left="420" w:leftChars="200"/>
        <w:jc w:val="center"/>
        <w:rPr>
          <w:rFonts w:ascii="方正小标宋简体" w:hAnsi="宋体" w:cs="Arial"/>
          <w:sz w:val="48"/>
          <w:szCs w:val="48"/>
        </w:rPr>
      </w:pPr>
    </w:p>
    <w:p>
      <w:pPr>
        <w:spacing w:line="360" w:lineRule="auto"/>
        <w:ind w:left="420" w:leftChars="200"/>
        <w:jc w:val="center"/>
        <w:rPr>
          <w:rFonts w:ascii="方正小标宋简体" w:hAnsi="宋体" w:cs="Arial"/>
          <w:sz w:val="48"/>
          <w:szCs w:val="48"/>
        </w:rPr>
      </w:pPr>
    </w:p>
    <w:p>
      <w:pPr>
        <w:spacing w:line="360" w:lineRule="auto"/>
        <w:ind w:left="420" w:leftChars="200"/>
        <w:jc w:val="center"/>
        <w:rPr>
          <w:rFonts w:ascii="方正小标宋简体" w:hAnsi="宋体" w:cs="Arial"/>
          <w:sz w:val="48"/>
          <w:szCs w:val="48"/>
        </w:rPr>
      </w:pPr>
    </w:p>
    <w:p>
      <w:pPr>
        <w:spacing w:line="600" w:lineRule="exact"/>
        <w:jc w:val="center"/>
        <w:rPr>
          <w:rFonts w:ascii="宋体" w:hAnsi="宋体"/>
          <w:b/>
          <w:bCs/>
          <w:sz w:val="32"/>
          <w:szCs w:val="32"/>
        </w:rPr>
      </w:pPr>
      <w:r>
        <w:rPr>
          <w:rFonts w:hint="eastAsia" w:ascii="宋体" w:hAnsi="宋体"/>
          <w:b/>
          <w:bCs/>
          <w:sz w:val="32"/>
          <w:szCs w:val="32"/>
        </w:rPr>
        <w:t>深圳市南山区住房和建设局</w:t>
      </w:r>
    </w:p>
    <w:p>
      <w:pPr>
        <w:spacing w:line="600" w:lineRule="exact"/>
        <w:jc w:val="center"/>
      </w:pPr>
      <w:r>
        <w:rPr>
          <w:rFonts w:ascii="宋体" w:hAnsi="宋体"/>
          <w:b/>
          <w:bCs/>
          <w:sz w:val="32"/>
          <w:szCs w:val="32"/>
        </w:rPr>
        <w:t>202</w:t>
      </w:r>
      <w:r>
        <w:rPr>
          <w:rFonts w:hint="eastAsia" w:ascii="宋体" w:hAnsi="宋体"/>
          <w:b/>
          <w:bCs/>
          <w:sz w:val="32"/>
          <w:szCs w:val="32"/>
        </w:rPr>
        <w:t>1</w:t>
      </w:r>
      <w:r>
        <w:rPr>
          <w:rFonts w:ascii="宋体" w:hAnsi="宋体"/>
          <w:b/>
          <w:bCs/>
          <w:sz w:val="32"/>
          <w:szCs w:val="32"/>
        </w:rPr>
        <w:t>年</w:t>
      </w:r>
      <w:r>
        <w:rPr>
          <w:rFonts w:hint="eastAsia" w:ascii="宋体" w:hAnsi="宋体"/>
          <w:b/>
          <w:bCs/>
          <w:sz w:val="32"/>
          <w:szCs w:val="32"/>
        </w:rPr>
        <w:t>1月</w:t>
      </w:r>
    </w:p>
    <w:p>
      <w:pPr>
        <w:widowControl/>
        <w:jc w:val="left"/>
        <w:rPr>
          <w:rFonts w:ascii="宋体" w:hAnsi="宋体" w:cs="宋体"/>
          <w:b/>
          <w:bCs/>
          <w:sz w:val="44"/>
          <w:szCs w:val="44"/>
        </w:rPr>
        <w:sectPr>
          <w:headerReference r:id="rId3" w:type="default"/>
          <w:footerReference r:id="rId4" w:type="default"/>
          <w:pgSz w:w="11906" w:h="16838"/>
          <w:pgMar w:top="1400" w:right="1797" w:bottom="1089" w:left="1797" w:header="720" w:footer="720" w:gutter="0"/>
          <w:cols w:space="720" w:num="1"/>
          <w:docGrid w:type="lines" w:linePitch="312" w:charSpace="0"/>
        </w:sectPr>
      </w:pPr>
    </w:p>
    <w:p>
      <w:pPr>
        <w:widowControl/>
        <w:jc w:val="center"/>
        <w:rPr>
          <w:rFonts w:ascii="宋体" w:hAnsi="宋体" w:cs="Arial"/>
          <w:b/>
          <w:bCs/>
          <w:sz w:val="44"/>
          <w:szCs w:val="44"/>
        </w:rPr>
      </w:pPr>
      <w:r>
        <w:rPr>
          <w:rFonts w:hint="eastAsia" w:ascii="宋体" w:hAnsi="宋体" w:cs="Arial"/>
          <w:b/>
          <w:bCs/>
          <w:sz w:val="44"/>
          <w:szCs w:val="44"/>
        </w:rPr>
        <w:t>南山区物业行业安全管理指导服务项目招标书</w:t>
      </w:r>
    </w:p>
    <w:p>
      <w:pPr>
        <w:spacing w:beforeLines="50" w:afterLines="50"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一、项目背景</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为做好我区物业行业安全管理制度指导工作，根据《深圳经济特区物业管理条例》、《深圳市生产经营单位安全生产主体责任规定》、《物业服务行业安全管理检查评价规范》、《物业服务安全与应急管理导则》、《深圳市南山区生产安全事故应急预案》等相关规定，</w:t>
      </w:r>
      <w:r>
        <w:rPr>
          <w:rFonts w:hint="eastAsia" w:ascii="仿宋_GB2312" w:hAnsi="仿宋" w:eastAsia="仿宋_GB2312" w:cs="仿宋_GB2312"/>
          <w:sz w:val="32"/>
          <w:szCs w:val="32"/>
        </w:rPr>
        <w:t>拟聘请第三方机构提供</w:t>
      </w:r>
      <w:r>
        <w:rPr>
          <w:rFonts w:hint="eastAsia" w:ascii="仿宋_GB2312" w:hAnsi="仿宋" w:eastAsia="仿宋_GB2312"/>
          <w:bCs/>
          <w:sz w:val="32"/>
          <w:szCs w:val="32"/>
        </w:rPr>
        <w:t>物业行业安全管理指导</w:t>
      </w:r>
      <w:r>
        <w:rPr>
          <w:rFonts w:hint="eastAsia" w:ascii="仿宋_GB2312" w:hAnsi="仿宋" w:eastAsia="仿宋_GB2312" w:cs="仿宋_GB2312"/>
          <w:sz w:val="32"/>
          <w:szCs w:val="32"/>
        </w:rPr>
        <w:t>服务。</w:t>
      </w:r>
    </w:p>
    <w:p>
      <w:pPr>
        <w:numPr>
          <w:ilvl w:val="0"/>
          <w:numId w:val="1"/>
        </w:numPr>
        <w:spacing w:beforeLines="50" w:afterLines="50" w:line="560" w:lineRule="exact"/>
        <w:ind w:firstLine="643" w:firstLineChars="200"/>
        <w:outlineLvl w:val="0"/>
        <w:rPr>
          <w:rFonts w:ascii="黑体" w:hAnsi="黑体" w:eastAsia="黑体"/>
          <w:b/>
          <w:bCs/>
          <w:sz w:val="32"/>
          <w:szCs w:val="32"/>
        </w:rPr>
      </w:pPr>
      <w:r>
        <w:rPr>
          <w:rFonts w:hint="eastAsia" w:ascii="黑体" w:hAnsi="黑体" w:eastAsia="黑体"/>
          <w:b/>
          <w:bCs/>
          <w:sz w:val="32"/>
          <w:szCs w:val="32"/>
        </w:rPr>
        <w:t>项目服务内容</w:t>
      </w:r>
    </w:p>
    <w:p>
      <w:pPr>
        <w:pStyle w:val="2"/>
        <w:rPr>
          <w:rFonts w:ascii="仿宋_GB2312" w:hAnsi="仿宋" w:eastAsia="仿宋_GB2312"/>
          <w:b w:val="0"/>
          <w:sz w:val="32"/>
          <w:szCs w:val="32"/>
        </w:rPr>
      </w:pPr>
      <w:r>
        <w:rPr>
          <w:rFonts w:hint="eastAsia"/>
        </w:rPr>
        <w:t xml:space="preserve">    </w:t>
      </w:r>
      <w:r>
        <w:rPr>
          <w:rFonts w:hint="eastAsia" w:ascii="仿宋_GB2312" w:hAnsi="仿宋" w:eastAsia="仿宋_GB2312"/>
          <w:b w:val="0"/>
          <w:sz w:val="32"/>
          <w:szCs w:val="32"/>
        </w:rPr>
        <w:t>（一）对我区308个物业管理项目安全管理工作进行现场指导</w:t>
      </w:r>
      <w:r>
        <w:rPr>
          <w:rFonts w:hint="eastAsia" w:ascii="仿宋_GB2312" w:hAnsi="仿宋" w:eastAsia="仿宋_GB2312"/>
          <w:b w:val="0"/>
          <w:color w:val="auto"/>
          <w:sz w:val="32"/>
          <w:szCs w:val="32"/>
        </w:rPr>
        <w:t>或检查</w:t>
      </w:r>
      <w:r>
        <w:rPr>
          <w:rFonts w:hint="eastAsia" w:ascii="仿宋_GB2312" w:hAnsi="仿宋" w:eastAsia="仿宋_GB2312"/>
          <w:b w:val="0"/>
          <w:sz w:val="32"/>
          <w:szCs w:val="32"/>
        </w:rPr>
        <w:t xml:space="preserve">，具体要求如下：    </w:t>
      </w:r>
    </w:p>
    <w:p>
      <w:pPr>
        <w:widowControl/>
        <w:numPr>
          <w:ilvl w:val="0"/>
          <w:numId w:val="2"/>
        </w:numPr>
        <w:spacing w:before="100" w:beforeAutospacing="1" w:after="100" w:afterAutospacing="1" w:line="560" w:lineRule="exact"/>
        <w:ind w:firstLine="640"/>
        <w:jc w:val="left"/>
        <w:rPr>
          <w:rFonts w:ascii="仿宋" w:hAnsi="仿宋" w:eastAsia="仿宋" w:cs="仿宋_GB2312"/>
          <w:sz w:val="32"/>
          <w:szCs w:val="32"/>
        </w:rPr>
      </w:pPr>
      <w:r>
        <w:rPr>
          <w:rFonts w:hint="eastAsia" w:ascii="仿宋_GB2312" w:hAnsi="仿宋" w:eastAsia="仿宋_GB2312"/>
          <w:bCs/>
          <w:sz w:val="32"/>
          <w:szCs w:val="32"/>
        </w:rPr>
        <w:t>组织安全专家对我区不少于150个物业管理项目的安全防范应急预案的制定进行指导，</w:t>
      </w:r>
      <w:r>
        <w:rPr>
          <w:rFonts w:hint="eastAsia" w:ascii="仿宋" w:hAnsi="仿宋" w:eastAsia="仿宋" w:cs="仿宋_GB2312"/>
          <w:sz w:val="32"/>
          <w:szCs w:val="32"/>
        </w:rPr>
        <w:t>出具指导意见。</w:t>
      </w:r>
      <w:r>
        <w:rPr>
          <w:rFonts w:hint="eastAsia" w:ascii="仿宋_GB2312" w:hAnsi="仿宋" w:eastAsia="仿宋_GB2312"/>
          <w:bCs/>
          <w:sz w:val="32"/>
          <w:szCs w:val="32"/>
        </w:rPr>
        <w:t>每个项目的现场指导专家不少于3人。</w:t>
      </w:r>
      <w:r>
        <w:rPr>
          <w:rFonts w:hint="eastAsia" w:ascii="仿宋_GB2312" w:hAnsi="仿宋" w:eastAsia="仿宋_GB2312"/>
          <w:sz w:val="32"/>
          <w:szCs w:val="32"/>
        </w:rPr>
        <w:t>工作要求：3名专家需针对物业区域实际情况（如火灾、自然灾害、电梯、燃气、危化品、高空作业、高空抛坠物、治安、传染病疫情等）进行危险源辨识和风险分析，开展应急资源调查，指导物业管理项目人员编制《风险分析和应急资源调查报告》；在项目现场对应急预案所涉及的场所和设施设备进行现场调查（如消防设施、电梯、电气、新能源汽车充电桩、电动自行车停放集中充电桩、弱电井、消防控制室、有限空间等）；指导物业管理项目完善相关设施设备、应急装备和物资。物业管理项目根据专家意见完善应急预案后，3名专家需针对修改完善后的应急预案进行现场审核指导，重点审核安全防范应急预案是否符合国家有关法律、法规、规章和标准要求；是否具备《深圳经济特区物业管理条例》、《生产经营单位生产安全事故应急预案编制导则》、《物业服务应急管理规范》、《物业服务安全与应急管理导则》等规定的各项要素；预案的组织体系完整，响应程序、保障措施等是否可行，与项目实际情况是否相符</w:t>
      </w:r>
      <w:r>
        <w:rPr>
          <w:rFonts w:hint="eastAsia" w:ascii="仿宋" w:hAnsi="仿宋" w:eastAsia="仿宋" w:cs="仿宋_GB2312"/>
          <w:sz w:val="32"/>
          <w:szCs w:val="32"/>
        </w:rPr>
        <w:t>。</w:t>
      </w:r>
    </w:p>
    <w:p>
      <w:pPr>
        <w:widowControl/>
        <w:numPr>
          <w:ilvl w:val="0"/>
          <w:numId w:val="2"/>
        </w:numPr>
        <w:spacing w:before="100" w:beforeAutospacing="1" w:after="100" w:afterAutospacing="1"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组织安全专家</w:t>
      </w:r>
      <w:r>
        <w:rPr>
          <w:rFonts w:hint="eastAsia" w:ascii="仿宋_GB2312" w:hAnsi="仿宋" w:eastAsia="仿宋_GB2312"/>
          <w:bCs/>
          <w:sz w:val="32"/>
          <w:szCs w:val="32"/>
        </w:rPr>
        <w:t>根据全生命周期平台中物业管理项目的安全检查的自查情况，对我区不少于150个物业管理项目的自查情况进行抽查。每个项目的现场抽查专家不少于2人。</w:t>
      </w:r>
      <w:r>
        <w:rPr>
          <w:rFonts w:hint="eastAsia" w:ascii="仿宋" w:hAnsi="仿宋" w:eastAsia="仿宋" w:cs="仿宋_GB2312"/>
          <w:sz w:val="32"/>
          <w:szCs w:val="32"/>
        </w:rPr>
        <w:t>主要抽查内容为：企业安全生产责任体系的建立、安全生产投入、安全生产教育和培训、风险分级管控与隐患排查治理、设备设施与作业安全管理、应急救援和事故报告等企业安全生产主体责任的落实情况；项目现场的消防设施、电梯、电气、新能源汽车充电桩、电动自行车停放集中充电桩、弱电井、消防控制室、有限空间等设施设备和场所的安全管理情况，以及高空抛（坠）物、防台防汛和</w:t>
      </w:r>
      <w:r>
        <w:rPr>
          <w:rFonts w:hint="eastAsia" w:ascii="仿宋" w:hAnsi="仿宋" w:eastAsia="仿宋" w:cs="仿宋_GB2312"/>
          <w:bCs/>
          <w:sz w:val="32"/>
          <w:szCs w:val="32"/>
        </w:rPr>
        <w:t>涉及《深圳经济特区物业管理条例》八十二条的应急处置措施等工作的落实情况</w:t>
      </w:r>
      <w:r>
        <w:rPr>
          <w:rFonts w:hint="eastAsia" w:ascii="仿宋" w:hAnsi="仿宋" w:eastAsia="仿宋" w:cs="仿宋_GB2312"/>
          <w:sz w:val="32"/>
          <w:szCs w:val="32"/>
        </w:rPr>
        <w:t>。针对抽查发现的问题，给出整改建议。平均每月抽查的物业小区不少于12个，并于每月25日前向采购人提交抽查台账，同时作书面报告，报告内容包括对抽查的物业管理项目进行统计汇总、对项目存在的安全问题进行分析、提出针对性的意见或建议。</w:t>
      </w:r>
    </w:p>
    <w:p>
      <w:pPr>
        <w:pStyle w:val="2"/>
        <w:numPr>
          <w:ilvl w:val="0"/>
          <w:numId w:val="2"/>
        </w:numPr>
        <w:ind w:firstLine="640"/>
        <w:rPr>
          <w:rFonts w:ascii="仿宋_GB2312" w:hAnsi="仿宋" w:eastAsia="仿宋_GB2312"/>
          <w:b w:val="0"/>
          <w:bCs w:val="0"/>
          <w:sz w:val="32"/>
          <w:szCs w:val="32"/>
        </w:rPr>
      </w:pPr>
      <w:r>
        <w:rPr>
          <w:rFonts w:hint="eastAsia" w:ascii="仿宋_GB2312" w:hAnsi="仿宋" w:eastAsia="仿宋_GB2312"/>
          <w:b w:val="0"/>
          <w:sz w:val="32"/>
          <w:szCs w:val="32"/>
        </w:rPr>
        <w:t>组织安全专家对我区不少于8个物业管理项目的安全防范应急预案的实施和演练情况进行指导，出具指导意见。每个项目的现场指导专家不少于3人。</w:t>
      </w:r>
      <w:r>
        <w:rPr>
          <w:rFonts w:hint="eastAsia" w:ascii="仿宋_GB2312" w:hAnsi="仿宋" w:eastAsia="仿宋_GB2312"/>
          <w:b w:val="0"/>
          <w:bCs w:val="0"/>
          <w:sz w:val="32"/>
          <w:szCs w:val="32"/>
        </w:rPr>
        <w:t>工作要求：3名专家需现场对物业管理项目应急预案的演练方案进行指导；对应急预案涉及人员特别是指挥机构成员、应急救援队伍成员是否其了解各自职责、信息报送程序、所在岗位应急措施等关键要素是否掌握进行培训；对物业管理项目涉及应急演练的场所、设施设备以及救援物资情况进行现场调查（如消防设施、电梯、电气、新能源汽车充电桩、电动自行车停放集中充电桩、弱电井、消防控制室、有限空间等）。待物业管理项目根据专家培训指导要求完善演练方案后，3名专家需现场参与物业管理项目的应急演练，并对应急预案演练的效果、存在的问题、整改措施建议、预案修订完善建议等方面进行评估。</w:t>
      </w:r>
    </w:p>
    <w:p>
      <w:pPr>
        <w:widowControl/>
        <w:spacing w:before="100" w:beforeAutospacing="1" w:after="100" w:afterAutospacing="1" w:line="560" w:lineRule="exact"/>
        <w:ind w:firstLine="640" w:firstLineChars="200"/>
        <w:rPr>
          <w:rFonts w:ascii="仿宋" w:hAnsi="仿宋" w:eastAsia="仿宋" w:cs="仿宋_GB2312"/>
          <w:b/>
          <w:bCs/>
          <w:sz w:val="32"/>
          <w:szCs w:val="32"/>
        </w:rPr>
      </w:pPr>
      <w:r>
        <w:rPr>
          <w:rFonts w:hint="eastAsia" w:ascii="仿宋" w:hAnsi="仿宋" w:eastAsia="仿宋" w:cs="仿宋_GB2312"/>
          <w:sz w:val="32"/>
          <w:szCs w:val="32"/>
        </w:rPr>
        <w:t>（二）</w:t>
      </w:r>
      <w:r>
        <w:rPr>
          <w:rFonts w:hint="eastAsia" w:ascii="仿宋" w:hAnsi="仿宋" w:eastAsia="仿宋" w:cs="仿宋_GB2312"/>
          <w:bCs/>
          <w:sz w:val="32"/>
          <w:szCs w:val="32"/>
        </w:rPr>
        <w:t>根据《深圳经济特区物业管理条例》及现行的安全生产相关法律法规，就涉及</w:t>
      </w:r>
      <w:r>
        <w:rPr>
          <w:rFonts w:hint="eastAsia" w:ascii="仿宋_GB2312" w:hAnsi="仿宋" w:eastAsia="仿宋_GB2312"/>
          <w:bCs/>
          <w:sz w:val="32"/>
          <w:szCs w:val="32"/>
        </w:rPr>
        <w:t>物业行业安全管理</w:t>
      </w:r>
      <w:r>
        <w:rPr>
          <w:rFonts w:hint="eastAsia" w:ascii="仿宋" w:hAnsi="仿宋" w:eastAsia="仿宋" w:cs="仿宋_GB2312"/>
          <w:bCs/>
          <w:sz w:val="32"/>
          <w:szCs w:val="32"/>
        </w:rPr>
        <w:t>法律法规问题向采购人提供专业法律意见。</w:t>
      </w:r>
    </w:p>
    <w:p>
      <w:pPr>
        <w:widowControl/>
        <w:spacing w:before="100" w:beforeAutospacing="1" w:after="100" w:afterAutospacing="1"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（三）若出现安全事故或采购人认为属于紧急的情况，中标单位需随时接受采购人指派到现场协助有关部门处理。</w:t>
      </w:r>
    </w:p>
    <w:p>
      <w:pPr>
        <w:widowControl/>
        <w:spacing w:before="100" w:beforeAutospacing="1" w:after="100" w:afterAutospacing="1" w:line="560" w:lineRule="exact"/>
        <w:ind w:firstLine="640" w:firstLineChars="200"/>
        <w:jc w:val="left"/>
        <w:rPr>
          <w:rFonts w:ascii="宋体" w:hAnsi="宋体" w:cs="Times New Roman"/>
          <w:kern w:val="0"/>
          <w:sz w:val="24"/>
        </w:rPr>
      </w:pPr>
      <w:r>
        <w:rPr>
          <w:rFonts w:hint="eastAsia" w:ascii="仿宋" w:hAnsi="仿宋" w:eastAsia="仿宋" w:cs="仿宋_GB2312"/>
          <w:sz w:val="32"/>
          <w:szCs w:val="32"/>
        </w:rPr>
        <w:t>（四）协助采购人完成与</w:t>
      </w:r>
      <w:r>
        <w:rPr>
          <w:rFonts w:hint="eastAsia" w:ascii="仿宋_GB2312" w:hAnsi="仿宋" w:eastAsia="仿宋_GB2312"/>
          <w:bCs/>
          <w:sz w:val="32"/>
          <w:szCs w:val="32"/>
        </w:rPr>
        <w:t>物业行业安全管理</w:t>
      </w:r>
      <w:r>
        <w:rPr>
          <w:rFonts w:hint="eastAsia" w:ascii="仿宋" w:hAnsi="仿宋" w:eastAsia="仿宋" w:cs="仿宋_GB2312"/>
          <w:sz w:val="32"/>
          <w:szCs w:val="32"/>
        </w:rPr>
        <w:t>相关的其它工作</w:t>
      </w:r>
      <w:r>
        <w:rPr>
          <w:rFonts w:hint="eastAsia" w:ascii="宋体" w:hAnsi="宋体" w:cs="Times New Roman"/>
          <w:kern w:val="0"/>
          <w:sz w:val="24"/>
        </w:rPr>
        <w:t>。</w:t>
      </w:r>
    </w:p>
    <w:p>
      <w:pPr>
        <w:spacing w:beforeLines="50" w:afterLines="50" w:line="560" w:lineRule="exact"/>
        <w:outlineLvl w:val="0"/>
        <w:rPr>
          <w:rFonts w:ascii="黑体" w:hAnsi="黑体" w:eastAsia="黑体"/>
          <w:bCs/>
          <w:sz w:val="32"/>
          <w:szCs w:val="32"/>
        </w:rPr>
      </w:pPr>
      <w:r>
        <w:rPr>
          <w:rFonts w:hint="eastAsia"/>
        </w:rPr>
        <w:t xml:space="preserve">      </w:t>
      </w:r>
      <w:r>
        <w:rPr>
          <w:rFonts w:hint="eastAsia" w:ascii="黑体" w:hAnsi="黑体" w:eastAsia="黑体"/>
          <w:bCs/>
          <w:sz w:val="32"/>
          <w:szCs w:val="32"/>
        </w:rPr>
        <w:t>三、项目服务价格上限</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本次项目服务期限为</w:t>
      </w:r>
      <w:r>
        <w:rPr>
          <w:rFonts w:ascii="仿宋" w:hAnsi="仿宋" w:eastAsia="仿宋" w:cs="仿宋_GB2312"/>
          <w:sz w:val="32"/>
          <w:szCs w:val="32"/>
        </w:rPr>
        <w:t>一年，</w:t>
      </w:r>
      <w:r>
        <w:rPr>
          <w:rFonts w:hint="eastAsia" w:ascii="仿宋" w:hAnsi="仿宋" w:eastAsia="仿宋" w:cs="仿宋_GB2312"/>
          <w:sz w:val="32"/>
          <w:szCs w:val="32"/>
        </w:rPr>
        <w:t>控制金额为人民币90万元以内，参加单位的报价不可高于控制金额，否则参加单位的投标文件视为无效。本项目服务费采用包干制，应包括服务成本、法定税费和企业（机构）的利润等。由企业根据采购文件所提供的资料自行测算投标报价；一经中标，投标报价总价作为中标单位与采购单位签定的合同金额，合同期限内不做调整。</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合同结束后，采购人对中标单位工作进行履约评价，如评价不合格，采购人可以在合同总价中扣除合同价款</w:t>
      </w:r>
      <w:r>
        <w:rPr>
          <w:rFonts w:ascii="仿宋" w:hAnsi="仿宋" w:eastAsia="仿宋" w:cs="仿宋_GB2312"/>
          <w:sz w:val="32"/>
          <w:szCs w:val="32"/>
        </w:rPr>
        <w:t>20%作为违约金。</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四、项目人员要求</w:t>
      </w:r>
    </w:p>
    <w:p>
      <w:pPr>
        <w:spacing w:line="520" w:lineRule="exact"/>
        <w:ind w:firstLine="640" w:firstLineChars="200"/>
        <w:rPr>
          <w:rFonts w:ascii="仿宋" w:hAnsi="仿宋" w:eastAsia="仿宋" w:cs="仿宋_GB2312"/>
          <w:sz w:val="32"/>
          <w:szCs w:val="32"/>
        </w:rPr>
      </w:pPr>
      <w:r>
        <w:rPr>
          <w:rFonts w:hint="eastAsia" w:ascii="仿宋" w:hAnsi="仿宋" w:eastAsia="仿宋" w:cs="仿宋"/>
          <w:sz w:val="32"/>
          <w:szCs w:val="32"/>
        </w:rPr>
        <w:t>为确保本次采购项目管理规范、实施有力，满足采购人的工作需求，中标单位应成立专门的项目组，设置固定的项目负责人</w:t>
      </w:r>
      <w:r>
        <w:rPr>
          <w:rFonts w:ascii="仿宋" w:hAnsi="仿宋" w:eastAsia="仿宋" w:cs="仿宋"/>
          <w:sz w:val="32"/>
          <w:szCs w:val="32"/>
        </w:rPr>
        <w:t>1人</w:t>
      </w:r>
      <w:r>
        <w:rPr>
          <w:rFonts w:hint="eastAsia" w:ascii="仿宋" w:hAnsi="仿宋" w:eastAsia="仿宋" w:cs="仿宋"/>
          <w:sz w:val="32"/>
          <w:szCs w:val="32"/>
        </w:rPr>
        <w:t>，驻点1人。项目负责人在实施过程中不能更换，如需更换，必须得到采购人的同意</w:t>
      </w:r>
      <w:r>
        <w:rPr>
          <w:rFonts w:hint="eastAsia" w:ascii="仿宋" w:hAnsi="仿宋" w:eastAsia="仿宋" w:cs="仿宋_GB2312"/>
          <w:sz w:val="32"/>
          <w:szCs w:val="32"/>
        </w:rPr>
        <w:t>。</w:t>
      </w:r>
    </w:p>
    <w:p>
      <w:pPr>
        <w:spacing w:line="640" w:lineRule="exact"/>
        <w:ind w:firstLine="640" w:firstLineChars="200"/>
        <w:rPr>
          <w:rFonts w:ascii="仿宋_GB2312" w:hAnsi="黑体" w:eastAsia="仿宋_GB2312" w:cs="黑体"/>
          <w:sz w:val="32"/>
          <w:szCs w:val="32"/>
          <w:shd w:val="clear" w:color="000000" w:fill="FFFFFF"/>
        </w:rPr>
      </w:pPr>
      <w:r>
        <w:rPr>
          <w:rFonts w:hint="eastAsia" w:ascii="仿宋_GB2312" w:hAnsi="黑体" w:eastAsia="仿宋_GB2312" w:cs="黑体"/>
          <w:sz w:val="32"/>
          <w:szCs w:val="32"/>
          <w:shd w:val="clear" w:color="000000" w:fill="FFFFFF"/>
        </w:rPr>
        <w:t>（一）项目</w:t>
      </w:r>
      <w:r>
        <w:rPr>
          <w:rFonts w:ascii="仿宋_GB2312" w:hAnsi="黑体" w:eastAsia="仿宋_GB2312" w:cs="黑体"/>
          <w:sz w:val="32"/>
          <w:szCs w:val="32"/>
          <w:shd w:val="clear" w:color="000000" w:fill="FFFFFF"/>
        </w:rPr>
        <w:t>负责人应</w:t>
      </w:r>
      <w:r>
        <w:rPr>
          <w:rFonts w:hint="eastAsia" w:ascii="仿宋_GB2312" w:hAnsi="黑体" w:eastAsia="仿宋_GB2312" w:cs="黑体"/>
          <w:sz w:val="32"/>
          <w:szCs w:val="32"/>
          <w:shd w:val="clear" w:color="000000" w:fill="FFFFFF"/>
        </w:rPr>
        <w:t>具备三</w:t>
      </w:r>
      <w:r>
        <w:rPr>
          <w:rFonts w:ascii="仿宋_GB2312" w:hAnsi="黑体" w:eastAsia="仿宋_GB2312" w:cs="黑体"/>
          <w:sz w:val="32"/>
          <w:szCs w:val="32"/>
          <w:shd w:val="clear" w:color="000000" w:fill="FFFFFF"/>
        </w:rPr>
        <w:t>年以上</w:t>
      </w:r>
      <w:r>
        <w:rPr>
          <w:rFonts w:hint="eastAsia" w:ascii="仿宋_GB2312" w:hAnsi="黑体" w:eastAsia="仿宋_GB2312" w:cs="黑体"/>
          <w:sz w:val="32"/>
          <w:szCs w:val="32"/>
          <w:shd w:val="clear" w:color="000000" w:fill="FFFFFF"/>
        </w:rPr>
        <w:t>物业行业管理</w:t>
      </w:r>
      <w:r>
        <w:rPr>
          <w:rFonts w:ascii="仿宋_GB2312" w:hAnsi="黑体" w:eastAsia="仿宋_GB2312" w:cs="黑体"/>
          <w:sz w:val="32"/>
          <w:szCs w:val="32"/>
          <w:shd w:val="clear" w:color="000000" w:fill="FFFFFF"/>
        </w:rPr>
        <w:t>工作</w:t>
      </w:r>
      <w:r>
        <w:rPr>
          <w:rFonts w:hint="eastAsia" w:ascii="仿宋_GB2312" w:hAnsi="黑体" w:eastAsia="仿宋_GB2312" w:cs="黑体"/>
          <w:sz w:val="32"/>
          <w:szCs w:val="32"/>
          <w:shd w:val="clear" w:color="000000" w:fill="FFFFFF"/>
        </w:rPr>
        <w:t>经验，</w:t>
      </w:r>
      <w:r>
        <w:rPr>
          <w:rFonts w:ascii="仿宋_GB2312" w:hAnsi="黑体" w:eastAsia="仿宋_GB2312" w:cs="黑体"/>
          <w:sz w:val="32"/>
          <w:szCs w:val="32"/>
          <w:shd w:val="clear" w:color="000000" w:fill="FFFFFF"/>
        </w:rPr>
        <w:t>并</w:t>
      </w:r>
      <w:r>
        <w:rPr>
          <w:rFonts w:hint="eastAsia" w:ascii="仿宋_GB2312" w:hAnsi="黑体" w:eastAsia="仿宋_GB2312" w:cs="黑体"/>
          <w:sz w:val="32"/>
          <w:szCs w:val="32"/>
          <w:shd w:val="clear" w:color="000000" w:fill="FFFFFF"/>
        </w:rPr>
        <w:t>至少</w:t>
      </w:r>
      <w:r>
        <w:rPr>
          <w:rFonts w:ascii="仿宋_GB2312" w:hAnsi="黑体" w:eastAsia="仿宋_GB2312" w:cs="黑体"/>
          <w:sz w:val="32"/>
          <w:szCs w:val="32"/>
          <w:shd w:val="clear" w:color="000000" w:fill="FFFFFF"/>
        </w:rPr>
        <w:t>在</w:t>
      </w:r>
      <w:r>
        <w:rPr>
          <w:rFonts w:hint="eastAsia" w:ascii="仿宋_GB2312" w:hAnsi="黑体" w:eastAsia="仿宋_GB2312" w:cs="黑体"/>
          <w:sz w:val="32"/>
          <w:szCs w:val="32"/>
          <w:shd w:val="clear" w:color="000000" w:fill="FFFFFF"/>
        </w:rPr>
        <w:t>本单位</w:t>
      </w:r>
      <w:r>
        <w:rPr>
          <w:rFonts w:ascii="仿宋_GB2312" w:hAnsi="黑体" w:eastAsia="仿宋_GB2312" w:cs="黑体"/>
          <w:sz w:val="32"/>
          <w:szCs w:val="32"/>
          <w:shd w:val="clear" w:color="000000" w:fill="FFFFFF"/>
        </w:rPr>
        <w:t>服务</w:t>
      </w:r>
      <w:r>
        <w:rPr>
          <w:rFonts w:hint="eastAsia" w:ascii="仿宋_GB2312" w:hAnsi="黑体" w:eastAsia="仿宋_GB2312" w:cs="黑体"/>
          <w:sz w:val="32"/>
          <w:szCs w:val="32"/>
          <w:shd w:val="clear" w:color="000000" w:fill="FFFFFF"/>
        </w:rPr>
        <w:t>六个月</w:t>
      </w:r>
      <w:r>
        <w:rPr>
          <w:rFonts w:hint="eastAsia" w:ascii="仿宋_GB2312" w:hAnsi="仿宋_GB2312" w:eastAsia="仿宋_GB2312" w:cs="仿宋_GB2312"/>
          <w:sz w:val="32"/>
          <w:szCs w:val="32"/>
        </w:rPr>
        <w:t>（提供证明文件复印件，原件备查）</w:t>
      </w:r>
      <w:r>
        <w:rPr>
          <w:rFonts w:hint="eastAsia" w:ascii="仿宋_GB2312" w:hAnsi="黑体" w:eastAsia="仿宋_GB2312" w:cs="黑体"/>
          <w:sz w:val="32"/>
          <w:szCs w:val="32"/>
          <w:shd w:val="clear" w:color="000000" w:fill="FFFFFF"/>
        </w:rPr>
        <w:t>；</w:t>
      </w:r>
    </w:p>
    <w:p>
      <w:pPr>
        <w:spacing w:line="640" w:lineRule="exact"/>
        <w:ind w:firstLine="640" w:firstLineChars="200"/>
        <w:rPr>
          <w:rFonts w:ascii="仿宋_GB2312" w:hAnsi="黑体" w:eastAsia="仿宋_GB2312" w:cs="黑体"/>
          <w:sz w:val="32"/>
          <w:szCs w:val="32"/>
          <w:shd w:val="clear" w:color="000000" w:fill="FFFFFF"/>
        </w:rPr>
      </w:pPr>
      <w:r>
        <w:rPr>
          <w:rFonts w:hint="eastAsia" w:ascii="仿宋_GB2312" w:hAnsi="黑体" w:eastAsia="仿宋_GB2312" w:cs="黑体"/>
          <w:sz w:val="32"/>
          <w:szCs w:val="32"/>
          <w:shd w:val="clear" w:color="000000" w:fill="FFFFFF"/>
        </w:rPr>
        <w:t>（二）驻点服务人员具有法学或安全相关专业本科以上学历，具备三年以上物业行业法律或安全生产管理相关工作经验，并至少在本单位服务六个月</w:t>
      </w:r>
      <w:r>
        <w:rPr>
          <w:rFonts w:hint="eastAsia" w:ascii="仿宋_GB2312" w:hAnsi="仿宋_GB2312" w:eastAsia="仿宋_GB2312" w:cs="仿宋_GB2312"/>
          <w:sz w:val="32"/>
          <w:szCs w:val="32"/>
        </w:rPr>
        <w:t>（提供证明文件复印件，原件备查）</w:t>
      </w:r>
      <w:r>
        <w:rPr>
          <w:rFonts w:hint="eastAsia" w:ascii="仿宋_GB2312" w:hAnsi="黑体" w:eastAsia="仿宋_GB2312" w:cs="黑体"/>
          <w:sz w:val="32"/>
          <w:szCs w:val="32"/>
          <w:shd w:val="clear" w:color="000000" w:fill="FFFFFF"/>
        </w:rPr>
        <w:t>；</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（三）中标后项目负责人和驻点服务人员在实施过程中不能更换，如需更换，必须得到采购人的同意。</w:t>
      </w:r>
    </w:p>
    <w:p>
      <w:pPr>
        <w:spacing w:beforeLines="50" w:afterLines="50" w:line="520" w:lineRule="exact"/>
        <w:ind w:firstLine="600" w:firstLineChars="200"/>
        <w:outlineLvl w:val="0"/>
        <w:rPr>
          <w:rFonts w:ascii="黑体" w:hAnsi="黑体" w:eastAsia="黑体" w:cs="仿宋_GB2312"/>
          <w:sz w:val="32"/>
          <w:szCs w:val="32"/>
        </w:rPr>
      </w:pPr>
      <w:r>
        <w:rPr>
          <w:rFonts w:hint="eastAsia" w:ascii="黑体" w:hAnsi="黑体" w:eastAsia="黑体"/>
          <w:sz w:val="30"/>
          <w:szCs w:val="30"/>
        </w:rPr>
        <w:t>五、</w:t>
      </w:r>
      <w:r>
        <w:rPr>
          <w:rFonts w:hint="eastAsia" w:ascii="黑体" w:hAnsi="黑体" w:eastAsia="黑体"/>
          <w:bCs/>
          <w:sz w:val="32"/>
          <w:szCs w:val="32"/>
        </w:rPr>
        <w:t>投标人的资格要求</w:t>
      </w:r>
    </w:p>
    <w:p>
      <w:pPr>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_GB2312" w:hAnsi="仿宋_GB2312" w:eastAsia="仿宋_GB2312" w:cs="仿宋_GB2312"/>
          <w:sz w:val="32"/>
          <w:szCs w:val="32"/>
        </w:rPr>
        <w:t>投标人必须是具有独立承担民事责任能力的在中华人民共和国境内注册的</w:t>
      </w:r>
      <w:r>
        <w:rPr>
          <w:rFonts w:ascii="仿宋" w:hAnsi="仿宋" w:eastAsia="仿宋" w:cs="仿宋_GB2312"/>
          <w:sz w:val="32"/>
          <w:szCs w:val="32"/>
        </w:rPr>
        <w:t>机构、社会团体等（提供证明文件）；</w:t>
      </w:r>
    </w:p>
    <w:p>
      <w:pPr>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2、投标人须承诺近两年无违法违规行为，无行为处罚、惩戒等不良执业记录及不良反映，业内拥有良好的声誉；</w:t>
      </w:r>
    </w:p>
    <w:p>
      <w:pPr>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3、同类业绩条件：曾受政府委托，具有</w:t>
      </w:r>
      <w:r>
        <w:rPr>
          <w:rFonts w:hint="eastAsia" w:ascii="仿宋" w:hAnsi="仿宋" w:eastAsia="仿宋" w:cs="仿宋"/>
          <w:sz w:val="32"/>
          <w:szCs w:val="32"/>
        </w:rPr>
        <w:t>开展（或参与）与物业行业相关的业务工作经验</w:t>
      </w:r>
      <w:r>
        <w:rPr>
          <w:rFonts w:hint="eastAsia" w:ascii="仿宋" w:hAnsi="仿宋" w:eastAsia="仿宋" w:cs="仿宋_GB2312"/>
          <w:sz w:val="32"/>
          <w:szCs w:val="32"/>
        </w:rPr>
        <w:t>（提供证明文件）；</w:t>
      </w:r>
    </w:p>
    <w:p>
      <w:pPr>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4、投标人的授权代表应为单位法定代表人（负责人）或经法定代表人（负责人）授权的该单位员工；</w:t>
      </w:r>
    </w:p>
    <w:p>
      <w:pPr>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5、在招投标活动中因串通投标被暂停投标资格期间或涉嫌串通投标并正在接受主管部门调查的投标人不被接受；</w:t>
      </w:r>
    </w:p>
    <w:p>
      <w:pPr>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6、本项目不接受联合体投标。</w:t>
      </w:r>
    </w:p>
    <w:p>
      <w:pPr>
        <w:spacing w:beforeLines="50" w:afterLines="50" w:line="520" w:lineRule="exact"/>
        <w:outlineLvl w:val="0"/>
        <w:rPr>
          <w:rFonts w:ascii="黑体" w:hAnsi="黑体" w:eastAsia="黑体"/>
          <w:bCs/>
          <w:sz w:val="32"/>
          <w:szCs w:val="32"/>
        </w:rPr>
      </w:pPr>
      <w:r>
        <w:rPr>
          <w:rFonts w:hint="eastAsia" w:ascii="黑体" w:hAnsi="黑体" w:eastAsia="黑体"/>
          <w:bCs/>
          <w:sz w:val="32"/>
          <w:szCs w:val="32"/>
        </w:rPr>
        <w:t xml:space="preserve">    六、定标方法</w:t>
      </w:r>
    </w:p>
    <w:p>
      <w:pPr>
        <w:spacing w:beforeLines="50" w:afterLines="50" w:line="52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本项目定标采用综合评分法。</w:t>
      </w:r>
    </w:p>
    <w:tbl>
      <w:tblPr>
        <w:tblStyle w:val="11"/>
        <w:tblW w:w="93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3"/>
        <w:gridCol w:w="1593"/>
        <w:gridCol w:w="4695"/>
        <w:gridCol w:w="687"/>
        <w:gridCol w:w="15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9304" w:type="dxa"/>
            <w:gridSpan w:val="5"/>
            <w:vAlign w:val="center"/>
          </w:tcPr>
          <w:p>
            <w:pPr>
              <w:autoSpaceDE w:val="0"/>
              <w:autoSpaceDN w:val="0"/>
              <w:adjustRightInd w:val="0"/>
              <w:jc w:val="center"/>
              <w:rPr>
                <w:rFonts w:asciiTheme="minorEastAsia" w:hAnsiTheme="minorEastAsia" w:cstheme="minorEastAsia"/>
                <w:b/>
                <w:sz w:val="24"/>
                <w:lang w:val="zh-CN"/>
              </w:rPr>
            </w:pPr>
            <w:r>
              <w:rPr>
                <w:rFonts w:hint="eastAsia" w:asciiTheme="minorEastAsia" w:hAnsiTheme="minorEastAsia" w:cstheme="minorEastAsia"/>
                <w:b/>
                <w:sz w:val="24"/>
                <w:lang w:val="zh-CN"/>
              </w:rPr>
              <w:t>评分项及评分规则（满分</w:t>
            </w:r>
            <w:r>
              <w:rPr>
                <w:rFonts w:hint="eastAsia" w:asciiTheme="minorEastAsia" w:hAnsiTheme="minorEastAsia" w:cstheme="minorEastAsia"/>
                <w:b/>
                <w:sz w:val="24"/>
              </w:rPr>
              <w:t>100分</w:t>
            </w:r>
            <w:r>
              <w:rPr>
                <w:rFonts w:hint="eastAsia" w:asciiTheme="minorEastAsia" w:hAnsiTheme="minorEastAsia" w:cstheme="minorEastAsia"/>
                <w:b/>
                <w:sz w:val="24"/>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7071" w:type="dxa"/>
            <w:gridSpan w:val="3"/>
            <w:vAlign w:val="center"/>
          </w:tcPr>
          <w:p>
            <w:pPr>
              <w:autoSpaceDE w:val="0"/>
              <w:autoSpaceDN w:val="0"/>
              <w:adjustRightInd w:val="0"/>
              <w:jc w:val="center"/>
              <w:rPr>
                <w:rFonts w:asciiTheme="minorEastAsia" w:hAnsiTheme="minorEastAsia" w:cstheme="minorEastAsia"/>
                <w:b/>
                <w:sz w:val="24"/>
                <w:lang w:val="zh-CN"/>
              </w:rPr>
            </w:pPr>
            <w:r>
              <w:rPr>
                <w:rFonts w:hint="eastAsia" w:asciiTheme="minorEastAsia" w:hAnsiTheme="minorEastAsia" w:cstheme="minorEastAsia"/>
                <w:b/>
                <w:sz w:val="24"/>
                <w:lang w:val="zh-CN"/>
              </w:rPr>
              <w:t>一、价格部分</w:t>
            </w:r>
          </w:p>
        </w:tc>
        <w:tc>
          <w:tcPr>
            <w:tcW w:w="2233" w:type="dxa"/>
            <w:gridSpan w:val="2"/>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b/>
                <w:bCs/>
                <w:sz w:val="24"/>
              </w:rPr>
              <w:t>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783" w:type="dxa"/>
            <w:tcBorders>
              <w:left w:val="single" w:color="auto" w:sz="4" w:space="0"/>
              <w:right w:val="single" w:color="auto" w:sz="4" w:space="0"/>
            </w:tcBorders>
            <w:vAlign w:val="center"/>
          </w:tcPr>
          <w:p>
            <w:pPr>
              <w:autoSpaceDE w:val="0"/>
              <w:autoSpaceDN w:val="0"/>
              <w:adjustRightInd w:val="0"/>
              <w:jc w:val="center"/>
              <w:rPr>
                <w:rFonts w:asciiTheme="minorEastAsia" w:hAnsiTheme="minorEastAsia" w:cstheme="minorEastAsia"/>
                <w:b/>
                <w:sz w:val="24"/>
                <w:lang w:val="zh-CN"/>
              </w:rPr>
            </w:pPr>
            <w:r>
              <w:rPr>
                <w:rFonts w:hint="eastAsia" w:asciiTheme="minorEastAsia" w:hAnsiTheme="minorEastAsia" w:cstheme="minorEastAsia"/>
                <w:bCs/>
                <w:sz w:val="24"/>
                <w:lang w:val="zh-CN"/>
              </w:rPr>
              <w:t>序号</w:t>
            </w:r>
          </w:p>
        </w:tc>
        <w:tc>
          <w:tcPr>
            <w:tcW w:w="6288" w:type="dxa"/>
            <w:gridSpan w:val="2"/>
            <w:tcBorders>
              <w:left w:val="single" w:color="auto" w:sz="4" w:space="0"/>
            </w:tcBorders>
            <w:vAlign w:val="center"/>
          </w:tcPr>
          <w:p>
            <w:pPr>
              <w:autoSpaceDE w:val="0"/>
              <w:autoSpaceDN w:val="0"/>
              <w:adjustRightInd w:val="0"/>
              <w:jc w:val="center"/>
              <w:rPr>
                <w:rFonts w:asciiTheme="minorEastAsia" w:hAnsiTheme="minorEastAsia" w:cstheme="minorEastAsia"/>
                <w:b/>
                <w:sz w:val="24"/>
                <w:lang w:val="zh-CN"/>
              </w:rPr>
            </w:pPr>
            <w:r>
              <w:rPr>
                <w:rFonts w:hint="eastAsia" w:asciiTheme="minorEastAsia" w:hAnsiTheme="minorEastAsia" w:cstheme="minorEastAsia"/>
                <w:sz w:val="24"/>
                <w:lang w:val="zh-CN"/>
              </w:rPr>
              <w:t>评分规则</w:t>
            </w:r>
          </w:p>
        </w:tc>
        <w:tc>
          <w:tcPr>
            <w:tcW w:w="687" w:type="dxa"/>
            <w:tcBorders>
              <w:right w:val="single" w:color="auto" w:sz="4" w:space="0"/>
            </w:tcBorders>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sz w:val="24"/>
              </w:rPr>
              <w:t>权重</w:t>
            </w:r>
          </w:p>
        </w:tc>
        <w:tc>
          <w:tcPr>
            <w:tcW w:w="1546" w:type="dxa"/>
            <w:tcBorders>
              <w:left w:val="single" w:color="auto" w:sz="4" w:space="0"/>
            </w:tcBorders>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sz w:val="24"/>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783" w:type="dxa"/>
            <w:tcBorders>
              <w:left w:val="single" w:color="auto" w:sz="4" w:space="0"/>
              <w:right w:val="single" w:color="auto" w:sz="4" w:space="0"/>
            </w:tcBorders>
            <w:vAlign w:val="center"/>
          </w:tcPr>
          <w:p>
            <w:pPr>
              <w:jc w:val="center"/>
              <w:rPr>
                <w:rFonts w:asciiTheme="minorEastAsia" w:hAnsiTheme="minorEastAsia" w:cstheme="minorEastAsia"/>
                <w:sz w:val="24"/>
                <w:lang w:val="zh-CN"/>
              </w:rPr>
            </w:pPr>
            <w:r>
              <w:rPr>
                <w:rFonts w:hint="eastAsia" w:asciiTheme="minorEastAsia" w:hAnsiTheme="minorEastAsia" w:cstheme="minorEastAsia"/>
                <w:sz w:val="24"/>
                <w:lang w:val="zh-CN"/>
              </w:rPr>
              <w:t>1</w:t>
            </w:r>
          </w:p>
        </w:tc>
        <w:tc>
          <w:tcPr>
            <w:tcW w:w="6288" w:type="dxa"/>
            <w:gridSpan w:val="2"/>
            <w:tcBorders>
              <w:left w:val="single" w:color="auto" w:sz="4" w:space="0"/>
            </w:tcBorders>
            <w:vAlign w:val="center"/>
          </w:tcPr>
          <w:p>
            <w:pPr>
              <w:autoSpaceDE w:val="0"/>
              <w:autoSpaceDN w:val="0"/>
              <w:adjustRightInd w:val="0"/>
              <w:jc w:val="left"/>
              <w:rPr>
                <w:rFonts w:asciiTheme="minorEastAsia" w:hAnsiTheme="minorEastAsia" w:cstheme="minorEastAsia"/>
                <w:sz w:val="24"/>
              </w:rPr>
            </w:pPr>
            <w:r>
              <w:rPr>
                <w:rFonts w:hint="eastAsia" w:asciiTheme="minorEastAsia" w:hAnsiTheme="minorEastAsia" w:cstheme="minorEastAsia"/>
                <w:sz w:val="24"/>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w:t>
            </w:r>
          </w:p>
        </w:tc>
        <w:tc>
          <w:tcPr>
            <w:tcW w:w="687" w:type="dxa"/>
            <w:tcBorders>
              <w:right w:val="single" w:color="auto" w:sz="4" w:space="0"/>
            </w:tcBorders>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sz w:val="24"/>
              </w:rPr>
              <w:t>20</w:t>
            </w:r>
          </w:p>
        </w:tc>
        <w:tc>
          <w:tcPr>
            <w:tcW w:w="1546" w:type="dxa"/>
            <w:tcBorders>
              <w:left w:val="single" w:color="auto" w:sz="4" w:space="0"/>
            </w:tcBorders>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sz w:val="24"/>
                <w:lang w:val="zh-CN"/>
              </w:rPr>
              <w:t>按公式计算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071" w:type="dxa"/>
            <w:gridSpan w:val="3"/>
            <w:vAlign w:val="center"/>
          </w:tcPr>
          <w:p>
            <w:pPr>
              <w:autoSpaceDE w:val="0"/>
              <w:autoSpaceDN w:val="0"/>
              <w:adjustRightInd w:val="0"/>
              <w:jc w:val="center"/>
              <w:rPr>
                <w:rFonts w:asciiTheme="minorEastAsia" w:hAnsiTheme="minorEastAsia" w:cstheme="minorEastAsia"/>
                <w:b/>
                <w:sz w:val="24"/>
              </w:rPr>
            </w:pPr>
            <w:r>
              <w:rPr>
                <w:rFonts w:hint="eastAsia" w:asciiTheme="minorEastAsia" w:hAnsiTheme="minorEastAsia" w:cstheme="minorEastAsia"/>
                <w:b/>
                <w:sz w:val="24"/>
                <w:lang w:val="zh-CN"/>
              </w:rPr>
              <w:t>二、业绩部分</w:t>
            </w:r>
          </w:p>
        </w:tc>
        <w:tc>
          <w:tcPr>
            <w:tcW w:w="2233" w:type="dxa"/>
            <w:gridSpan w:val="2"/>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b/>
                <w:bCs/>
                <w:sz w:val="24"/>
              </w:rPr>
              <w:t>25分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83" w:type="dxa"/>
            <w:tcBorders>
              <w:bottom w:val="single" w:color="auto" w:sz="6" w:space="0"/>
            </w:tcBorders>
            <w:vAlign w:val="center"/>
          </w:tcPr>
          <w:p>
            <w:pPr>
              <w:autoSpaceDE w:val="0"/>
              <w:autoSpaceDN w:val="0"/>
              <w:adjustRightInd w:val="0"/>
              <w:rPr>
                <w:rFonts w:asciiTheme="minorEastAsia" w:hAnsiTheme="minorEastAsia" w:cstheme="minorEastAsia"/>
                <w:sz w:val="24"/>
              </w:rPr>
            </w:pPr>
            <w:r>
              <w:rPr>
                <w:rFonts w:hint="eastAsia" w:asciiTheme="minorEastAsia" w:hAnsiTheme="minorEastAsia" w:cstheme="minorEastAsia"/>
                <w:sz w:val="24"/>
                <w:lang w:val="zh-CN"/>
              </w:rPr>
              <w:t>序号</w:t>
            </w:r>
          </w:p>
        </w:tc>
        <w:tc>
          <w:tcPr>
            <w:tcW w:w="1593" w:type="dxa"/>
            <w:vAlign w:val="center"/>
          </w:tcPr>
          <w:p>
            <w:pPr>
              <w:autoSpaceDE w:val="0"/>
              <w:autoSpaceDN w:val="0"/>
              <w:adjustRightInd w:val="0"/>
              <w:ind w:firstLine="480" w:firstLineChars="200"/>
              <w:rPr>
                <w:rFonts w:asciiTheme="minorEastAsia" w:hAnsiTheme="minorEastAsia" w:cstheme="minorEastAsia"/>
                <w:sz w:val="24"/>
              </w:rPr>
            </w:pPr>
            <w:r>
              <w:rPr>
                <w:rFonts w:hint="eastAsia" w:asciiTheme="minorEastAsia" w:hAnsiTheme="minorEastAsia" w:cstheme="minorEastAsia"/>
                <w:sz w:val="24"/>
                <w:lang w:val="zh-CN"/>
              </w:rPr>
              <w:t>内容</w:t>
            </w:r>
          </w:p>
        </w:tc>
        <w:tc>
          <w:tcPr>
            <w:tcW w:w="4695" w:type="dxa"/>
            <w:vAlign w:val="center"/>
          </w:tcPr>
          <w:p>
            <w:pPr>
              <w:autoSpaceDE w:val="0"/>
              <w:autoSpaceDN w:val="0"/>
              <w:adjustRightInd w:val="0"/>
              <w:ind w:firstLine="480" w:firstLineChars="200"/>
              <w:jc w:val="center"/>
              <w:rPr>
                <w:rFonts w:asciiTheme="minorEastAsia" w:hAnsiTheme="minorEastAsia" w:cstheme="minorEastAsia"/>
                <w:sz w:val="24"/>
              </w:rPr>
            </w:pPr>
            <w:r>
              <w:rPr>
                <w:rFonts w:hint="eastAsia" w:asciiTheme="minorEastAsia" w:hAnsiTheme="minorEastAsia" w:cstheme="minorEastAsia"/>
                <w:sz w:val="24"/>
                <w:lang w:val="zh-CN"/>
              </w:rPr>
              <w:t>评分规则</w:t>
            </w:r>
          </w:p>
        </w:tc>
        <w:tc>
          <w:tcPr>
            <w:tcW w:w="687" w:type="dxa"/>
            <w:tcBorders>
              <w:right w:val="single" w:color="auto" w:sz="4" w:space="0"/>
            </w:tcBorders>
            <w:vAlign w:val="center"/>
          </w:tcPr>
          <w:p>
            <w:pPr>
              <w:autoSpaceDE w:val="0"/>
              <w:autoSpaceDN w:val="0"/>
              <w:adjustRightInd w:val="0"/>
              <w:rPr>
                <w:rFonts w:asciiTheme="minorEastAsia" w:hAnsiTheme="minorEastAsia" w:cstheme="minorEastAsia"/>
                <w:sz w:val="24"/>
              </w:rPr>
            </w:pPr>
            <w:r>
              <w:rPr>
                <w:rFonts w:hint="eastAsia" w:asciiTheme="minorEastAsia" w:hAnsiTheme="minorEastAsia" w:cstheme="minorEastAsia"/>
                <w:sz w:val="24"/>
                <w:lang w:val="zh-CN"/>
              </w:rPr>
              <w:t>权重</w:t>
            </w:r>
          </w:p>
        </w:tc>
        <w:tc>
          <w:tcPr>
            <w:tcW w:w="1546" w:type="dxa"/>
            <w:tcBorders>
              <w:left w:val="single" w:color="auto" w:sz="4" w:space="0"/>
            </w:tcBorders>
            <w:vAlign w:val="center"/>
          </w:tcPr>
          <w:p>
            <w:pPr>
              <w:autoSpaceDE w:val="0"/>
              <w:autoSpaceDN w:val="0"/>
              <w:adjustRightInd w:val="0"/>
              <w:rPr>
                <w:rFonts w:asciiTheme="minorEastAsia" w:hAnsiTheme="minorEastAsia" w:cstheme="minorEastAsia"/>
                <w:sz w:val="24"/>
              </w:rPr>
            </w:pPr>
            <w:r>
              <w:rPr>
                <w:rFonts w:hint="eastAsia" w:asciiTheme="minorEastAsia" w:hAnsiTheme="minorEastAsia" w:cstheme="minorEastAsia"/>
                <w:sz w:val="24"/>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83" w:type="dxa"/>
            <w:tcBorders>
              <w:bottom w:val="single" w:color="auto" w:sz="4" w:space="0"/>
            </w:tcBorders>
            <w:vAlign w:val="center"/>
          </w:tcPr>
          <w:p>
            <w:pPr>
              <w:autoSpaceDE w:val="0"/>
              <w:autoSpaceDN w:val="0"/>
              <w:adjustRightInd w:val="0"/>
              <w:jc w:val="center"/>
              <w:rPr>
                <w:rFonts w:asciiTheme="minorEastAsia" w:hAnsiTheme="minorEastAsia" w:cstheme="minorEastAsia"/>
                <w:sz w:val="24"/>
                <w:lang w:val="zh-CN"/>
              </w:rPr>
            </w:pPr>
            <w:r>
              <w:rPr>
                <w:rFonts w:hint="eastAsia" w:asciiTheme="minorEastAsia" w:hAnsiTheme="minorEastAsia" w:cstheme="minorEastAsia"/>
                <w:sz w:val="24"/>
                <w:lang w:val="zh-CN"/>
              </w:rPr>
              <w:t>1</w:t>
            </w:r>
          </w:p>
        </w:tc>
        <w:tc>
          <w:tcPr>
            <w:tcW w:w="1593" w:type="dxa"/>
            <w:vAlign w:val="center"/>
          </w:tcPr>
          <w:p>
            <w:pPr>
              <w:autoSpaceDE w:val="0"/>
              <w:autoSpaceDN w:val="0"/>
              <w:adjustRightInd w:val="0"/>
              <w:rPr>
                <w:rFonts w:asciiTheme="minorEastAsia" w:hAnsiTheme="minorEastAsia" w:cstheme="minorEastAsia"/>
                <w:sz w:val="24"/>
                <w:lang w:val="zh-CN"/>
              </w:rPr>
            </w:pPr>
            <w:r>
              <w:rPr>
                <w:rFonts w:hint="eastAsia" w:asciiTheme="minorEastAsia" w:hAnsiTheme="minorEastAsia" w:cstheme="minorEastAsia"/>
                <w:sz w:val="24"/>
              </w:rPr>
              <w:t>投标人</w:t>
            </w:r>
            <w:r>
              <w:rPr>
                <w:rFonts w:hint="eastAsia" w:asciiTheme="minorEastAsia" w:hAnsiTheme="minorEastAsia" w:cstheme="minorEastAsia"/>
                <w:sz w:val="24"/>
                <w:lang w:val="zh-CN"/>
              </w:rPr>
              <w:t>资质情况</w:t>
            </w:r>
          </w:p>
        </w:tc>
        <w:tc>
          <w:tcPr>
            <w:tcW w:w="4695" w:type="dxa"/>
            <w:vAlign w:val="center"/>
          </w:tcPr>
          <w:p>
            <w:pPr>
              <w:jc w:val="left"/>
              <w:rPr>
                <w:rFonts w:asciiTheme="minorEastAsia" w:hAnsiTheme="minorEastAsia" w:cstheme="minorEastAsia"/>
                <w:sz w:val="24"/>
                <w:lang w:val="zh-CN"/>
              </w:rPr>
            </w:pPr>
            <w:r>
              <w:rPr>
                <w:rFonts w:hint="eastAsia" w:asciiTheme="minorEastAsia" w:hAnsiTheme="minorEastAsia" w:cstheme="minorEastAsia"/>
                <w:sz w:val="24"/>
              </w:rPr>
              <w:t>投标人营业或业务范围内包含物业行业相关工作的，得5分</w:t>
            </w:r>
            <w:r>
              <w:rPr>
                <w:rFonts w:hint="eastAsia" w:asciiTheme="minorEastAsia" w:hAnsiTheme="minorEastAsia" w:cstheme="minorEastAsia"/>
                <w:snapToGrid w:val="0"/>
                <w:kern w:val="0"/>
                <w:sz w:val="24"/>
              </w:rPr>
              <w:t>（提供相关纸质证书或机构代码证书扫描件为证，否则不得分）</w:t>
            </w:r>
            <w:r>
              <w:rPr>
                <w:rFonts w:hint="eastAsia" w:asciiTheme="minorEastAsia" w:hAnsiTheme="minorEastAsia" w:cstheme="minorEastAsia"/>
                <w:sz w:val="24"/>
              </w:rPr>
              <w:t>。</w:t>
            </w:r>
          </w:p>
        </w:tc>
        <w:tc>
          <w:tcPr>
            <w:tcW w:w="687" w:type="dxa"/>
            <w:tcBorders>
              <w:right w:val="single" w:color="auto" w:sz="4" w:space="0"/>
            </w:tcBorders>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sz w:val="24"/>
              </w:rPr>
              <w:t>5</w:t>
            </w:r>
          </w:p>
        </w:tc>
        <w:tc>
          <w:tcPr>
            <w:tcW w:w="1546" w:type="dxa"/>
            <w:tcBorders>
              <w:left w:val="single" w:color="auto" w:sz="4" w:space="0"/>
            </w:tcBorders>
            <w:vAlign w:val="center"/>
          </w:tcPr>
          <w:p>
            <w:pPr>
              <w:autoSpaceDE w:val="0"/>
              <w:autoSpaceDN w:val="0"/>
              <w:adjustRightInd w:val="0"/>
              <w:jc w:val="left"/>
              <w:rPr>
                <w:rFonts w:asciiTheme="minorEastAsia" w:hAnsiTheme="minorEastAsia" w:cstheme="minorEastAsia"/>
                <w:sz w:val="24"/>
                <w:lang w:val="zh-CN"/>
              </w:rPr>
            </w:pPr>
            <w:r>
              <w:rPr>
                <w:rFonts w:hint="eastAsia" w:asciiTheme="minorEastAsia" w:hAnsiTheme="minorEastAsia" w:cstheme="minorEastAsia"/>
                <w:sz w:val="24"/>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783" w:type="dxa"/>
            <w:vMerge w:val="restart"/>
            <w:vAlign w:val="center"/>
          </w:tcPr>
          <w:p>
            <w:pPr>
              <w:autoSpaceDE w:val="0"/>
              <w:autoSpaceDN w:val="0"/>
              <w:adjustRightInd w:val="0"/>
              <w:jc w:val="center"/>
              <w:rPr>
                <w:rFonts w:asciiTheme="minorEastAsia" w:hAnsiTheme="minorEastAsia" w:cstheme="minorEastAsia"/>
                <w:sz w:val="24"/>
                <w:lang w:val="zh-CN"/>
              </w:rPr>
            </w:pPr>
            <w:r>
              <w:rPr>
                <w:rFonts w:hint="eastAsia" w:asciiTheme="minorEastAsia" w:hAnsiTheme="minorEastAsia" w:cstheme="minorEastAsia"/>
                <w:sz w:val="24"/>
                <w:lang w:val="zh-CN"/>
              </w:rPr>
              <w:t>2</w:t>
            </w:r>
          </w:p>
        </w:tc>
        <w:tc>
          <w:tcPr>
            <w:tcW w:w="1593" w:type="dxa"/>
            <w:vMerge w:val="restart"/>
            <w:vAlign w:val="center"/>
          </w:tcPr>
          <w:p>
            <w:pPr>
              <w:autoSpaceDE w:val="0"/>
              <w:autoSpaceDN w:val="0"/>
              <w:adjustRightInd w:val="0"/>
              <w:rPr>
                <w:rFonts w:asciiTheme="minorEastAsia" w:hAnsiTheme="minorEastAsia" w:cstheme="minorEastAsia"/>
                <w:sz w:val="24"/>
                <w:lang w:val="zh-CN"/>
              </w:rPr>
            </w:pPr>
            <w:r>
              <w:rPr>
                <w:rFonts w:hint="eastAsia" w:asciiTheme="minorEastAsia" w:hAnsiTheme="minorEastAsia" w:cstheme="minorEastAsia"/>
                <w:sz w:val="24"/>
              </w:rPr>
              <w:t>投标人</w:t>
            </w:r>
            <w:r>
              <w:rPr>
                <w:rFonts w:hint="eastAsia" w:asciiTheme="minorEastAsia" w:hAnsiTheme="minorEastAsia" w:cstheme="minorEastAsia"/>
                <w:sz w:val="24"/>
                <w:lang w:val="zh-CN"/>
              </w:rPr>
              <w:t>近</w:t>
            </w:r>
            <w:r>
              <w:rPr>
                <w:rFonts w:hint="eastAsia" w:asciiTheme="minorEastAsia" w:hAnsiTheme="minorEastAsia" w:cstheme="minorEastAsia"/>
                <w:sz w:val="24"/>
              </w:rPr>
              <w:t>三</w:t>
            </w:r>
            <w:r>
              <w:rPr>
                <w:rFonts w:hint="eastAsia" w:asciiTheme="minorEastAsia" w:hAnsiTheme="minorEastAsia" w:cstheme="minorEastAsia"/>
                <w:sz w:val="24"/>
                <w:lang w:val="zh-CN"/>
              </w:rPr>
              <w:t>年以来有关业绩情况</w:t>
            </w:r>
          </w:p>
        </w:tc>
        <w:tc>
          <w:tcPr>
            <w:tcW w:w="4695" w:type="dxa"/>
            <w:vAlign w:val="center"/>
          </w:tcPr>
          <w:p>
            <w:pPr>
              <w:autoSpaceDE w:val="0"/>
              <w:autoSpaceDN w:val="0"/>
              <w:adjustRightInd w:val="0"/>
              <w:jc w:val="left"/>
              <w:rPr>
                <w:rFonts w:asciiTheme="minorEastAsia" w:hAnsiTheme="minorEastAsia" w:cstheme="minorEastAsia"/>
                <w:sz w:val="24"/>
                <w:lang w:val="zh-CN"/>
              </w:rPr>
            </w:pPr>
            <w:r>
              <w:rPr>
                <w:rFonts w:hint="eastAsia" w:asciiTheme="minorEastAsia" w:hAnsiTheme="minorEastAsia" w:cstheme="minorEastAsia"/>
                <w:snapToGrid w:val="0"/>
                <w:kern w:val="0"/>
                <w:sz w:val="24"/>
              </w:rPr>
              <w:t>投标人2018年1月1日至今，曾受政府委托开展的涉及物业行业安全管理相关服务的，每项合同得5分，此项累计上限最高为10分（提供合同相关页扫描件为证，否则不得分）；</w:t>
            </w:r>
            <w:r>
              <w:rPr>
                <w:rFonts w:hint="eastAsia" w:asciiTheme="minorEastAsia" w:hAnsiTheme="minorEastAsia" w:cstheme="minorEastAsia"/>
                <w:sz w:val="24"/>
                <w:lang w:val="zh-CN"/>
              </w:rPr>
              <w:t xml:space="preserve"> </w:t>
            </w:r>
          </w:p>
        </w:tc>
        <w:tc>
          <w:tcPr>
            <w:tcW w:w="687" w:type="dxa"/>
            <w:tcBorders>
              <w:right w:val="single" w:color="auto" w:sz="4" w:space="0"/>
            </w:tcBorders>
            <w:vAlign w:val="center"/>
          </w:tcPr>
          <w:p>
            <w:pPr>
              <w:autoSpaceDE w:val="0"/>
              <w:autoSpaceDN w:val="0"/>
              <w:adjustRightInd w:val="0"/>
              <w:ind w:firstLine="120" w:firstLineChars="50"/>
              <w:rPr>
                <w:rFonts w:asciiTheme="minorEastAsia" w:hAnsiTheme="minorEastAsia" w:cstheme="minorEastAsia"/>
                <w:sz w:val="24"/>
              </w:rPr>
            </w:pPr>
            <w:r>
              <w:rPr>
                <w:rFonts w:hint="eastAsia" w:asciiTheme="minorEastAsia" w:hAnsiTheme="minorEastAsia" w:cstheme="minorEastAsia"/>
                <w:sz w:val="24"/>
                <w:lang w:val="zh-CN"/>
              </w:rPr>
              <w:t>1</w:t>
            </w:r>
            <w:r>
              <w:rPr>
                <w:rFonts w:hint="eastAsia" w:asciiTheme="minorEastAsia" w:hAnsiTheme="minorEastAsia" w:cstheme="minorEastAsia"/>
                <w:sz w:val="24"/>
              </w:rPr>
              <w:t>0</w:t>
            </w:r>
          </w:p>
        </w:tc>
        <w:tc>
          <w:tcPr>
            <w:tcW w:w="1546" w:type="dxa"/>
            <w:tcBorders>
              <w:left w:val="single" w:color="auto" w:sz="4" w:space="0"/>
            </w:tcBorders>
            <w:vAlign w:val="center"/>
          </w:tcPr>
          <w:p>
            <w:pPr>
              <w:jc w:val="left"/>
              <w:rPr>
                <w:rFonts w:asciiTheme="minorEastAsia" w:hAnsiTheme="minorEastAsia" w:cstheme="minorEastAsia"/>
                <w:sz w:val="24"/>
                <w:lang w:val="zh-CN"/>
              </w:rPr>
            </w:pPr>
            <w:r>
              <w:rPr>
                <w:rFonts w:hint="eastAsia" w:asciiTheme="minorEastAsia" w:hAnsiTheme="minorEastAsia" w:cstheme="minorEastAsia"/>
                <w:sz w:val="24"/>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783" w:type="dxa"/>
            <w:vMerge w:val="continue"/>
            <w:vAlign w:val="center"/>
          </w:tcPr>
          <w:p>
            <w:pPr>
              <w:autoSpaceDE w:val="0"/>
              <w:autoSpaceDN w:val="0"/>
              <w:adjustRightInd w:val="0"/>
              <w:jc w:val="center"/>
              <w:rPr>
                <w:rFonts w:asciiTheme="minorEastAsia" w:hAnsiTheme="minorEastAsia" w:cstheme="minorEastAsia"/>
                <w:sz w:val="24"/>
                <w:lang w:val="zh-CN"/>
              </w:rPr>
            </w:pPr>
          </w:p>
        </w:tc>
        <w:tc>
          <w:tcPr>
            <w:tcW w:w="1593" w:type="dxa"/>
            <w:vMerge w:val="continue"/>
            <w:vAlign w:val="center"/>
          </w:tcPr>
          <w:p>
            <w:pPr>
              <w:autoSpaceDE w:val="0"/>
              <w:autoSpaceDN w:val="0"/>
              <w:adjustRightInd w:val="0"/>
              <w:jc w:val="center"/>
              <w:rPr>
                <w:rFonts w:asciiTheme="minorEastAsia" w:hAnsiTheme="minorEastAsia" w:cstheme="minorEastAsia"/>
                <w:sz w:val="24"/>
                <w:lang w:val="zh-CN"/>
              </w:rPr>
            </w:pPr>
          </w:p>
        </w:tc>
        <w:tc>
          <w:tcPr>
            <w:tcW w:w="4695" w:type="dxa"/>
            <w:vAlign w:val="center"/>
          </w:tcPr>
          <w:p>
            <w:pPr>
              <w:autoSpaceDE w:val="0"/>
              <w:autoSpaceDN w:val="0"/>
              <w:adjustRightInd w:val="0"/>
              <w:jc w:val="left"/>
              <w:rPr>
                <w:rFonts w:asciiTheme="minorEastAsia" w:hAnsiTheme="minorEastAsia" w:cstheme="minorEastAsia"/>
                <w:snapToGrid w:val="0"/>
                <w:kern w:val="0"/>
                <w:sz w:val="24"/>
              </w:rPr>
            </w:pPr>
            <w:r>
              <w:rPr>
                <w:rFonts w:hint="eastAsia" w:asciiTheme="minorEastAsia" w:hAnsiTheme="minorEastAsia" w:cstheme="minorEastAsia"/>
                <w:snapToGrid w:val="0"/>
                <w:kern w:val="0"/>
                <w:sz w:val="24"/>
              </w:rPr>
              <w:t>2018年1月1日至今，投标人曾受政府委托开展的涉及物业行业安全管理相关服务，履约评价为优的，一次得5分，累计上限最高为10分（提供相关页扫描件为证，否则不得分）。</w:t>
            </w:r>
          </w:p>
        </w:tc>
        <w:tc>
          <w:tcPr>
            <w:tcW w:w="687" w:type="dxa"/>
            <w:tcBorders>
              <w:right w:val="single" w:color="auto" w:sz="4" w:space="0"/>
            </w:tcBorders>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sz w:val="24"/>
              </w:rPr>
              <w:t>10</w:t>
            </w:r>
          </w:p>
        </w:tc>
        <w:tc>
          <w:tcPr>
            <w:tcW w:w="1546" w:type="dxa"/>
            <w:tcBorders>
              <w:left w:val="single" w:color="auto" w:sz="4" w:space="0"/>
            </w:tcBorders>
            <w:vAlign w:val="center"/>
          </w:tcPr>
          <w:p>
            <w:pPr>
              <w:rPr>
                <w:rFonts w:asciiTheme="minorEastAsia" w:hAnsiTheme="minorEastAsia" w:cstheme="minorEastAsia"/>
                <w:sz w:val="24"/>
                <w:lang w:val="zh-CN"/>
              </w:rPr>
            </w:pPr>
            <w:r>
              <w:rPr>
                <w:rFonts w:hint="eastAsia" w:asciiTheme="minorEastAsia" w:hAnsiTheme="minorEastAsia" w:cstheme="minorEastAsia"/>
                <w:sz w:val="24"/>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071" w:type="dxa"/>
            <w:gridSpan w:val="3"/>
            <w:vAlign w:val="center"/>
          </w:tcPr>
          <w:p>
            <w:pPr>
              <w:autoSpaceDE w:val="0"/>
              <w:autoSpaceDN w:val="0"/>
              <w:adjustRightInd w:val="0"/>
              <w:jc w:val="center"/>
              <w:rPr>
                <w:rFonts w:asciiTheme="minorEastAsia" w:hAnsiTheme="minorEastAsia" w:cstheme="minorEastAsia"/>
                <w:b/>
                <w:sz w:val="24"/>
                <w:lang w:val="zh-CN"/>
              </w:rPr>
            </w:pPr>
            <w:r>
              <w:rPr>
                <w:rFonts w:hint="eastAsia" w:asciiTheme="minorEastAsia" w:hAnsiTheme="minorEastAsia" w:cstheme="minorEastAsia"/>
                <w:b/>
                <w:sz w:val="24"/>
                <w:lang w:val="zh-CN"/>
              </w:rPr>
              <w:t>三、技术部分</w:t>
            </w:r>
          </w:p>
        </w:tc>
        <w:tc>
          <w:tcPr>
            <w:tcW w:w="2233" w:type="dxa"/>
            <w:gridSpan w:val="2"/>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b/>
                <w:bCs/>
                <w:sz w:val="24"/>
              </w:rPr>
              <w:t>55分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83" w:type="dxa"/>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sz w:val="24"/>
                <w:lang w:val="zh-CN"/>
              </w:rPr>
              <w:t>序号</w:t>
            </w:r>
          </w:p>
        </w:tc>
        <w:tc>
          <w:tcPr>
            <w:tcW w:w="1593" w:type="dxa"/>
            <w:vAlign w:val="center"/>
          </w:tcPr>
          <w:p>
            <w:pPr>
              <w:autoSpaceDE w:val="0"/>
              <w:autoSpaceDN w:val="0"/>
              <w:adjustRightInd w:val="0"/>
              <w:jc w:val="center"/>
              <w:rPr>
                <w:rFonts w:asciiTheme="minorEastAsia" w:hAnsiTheme="minorEastAsia" w:cstheme="minorEastAsia"/>
                <w:sz w:val="24"/>
              </w:rPr>
            </w:pPr>
            <w:r>
              <w:rPr>
                <w:rFonts w:hint="eastAsia" w:asciiTheme="minorEastAsia" w:hAnsiTheme="minorEastAsia" w:cstheme="minorEastAsia"/>
                <w:sz w:val="24"/>
                <w:lang w:val="zh-CN"/>
              </w:rPr>
              <w:t>内容</w:t>
            </w:r>
          </w:p>
        </w:tc>
        <w:tc>
          <w:tcPr>
            <w:tcW w:w="4695" w:type="dxa"/>
            <w:vAlign w:val="center"/>
          </w:tcPr>
          <w:p>
            <w:pPr>
              <w:autoSpaceDE w:val="0"/>
              <w:autoSpaceDN w:val="0"/>
              <w:adjustRightIn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评分规则</w:t>
            </w:r>
          </w:p>
        </w:tc>
        <w:tc>
          <w:tcPr>
            <w:tcW w:w="687" w:type="dxa"/>
            <w:tcBorders>
              <w:right w:val="single" w:color="auto" w:sz="4" w:space="0"/>
            </w:tcBorders>
            <w:vAlign w:val="center"/>
          </w:tcPr>
          <w:p>
            <w:pPr>
              <w:autoSpaceDE w:val="0"/>
              <w:autoSpaceDN w:val="0"/>
              <w:adjustRightInd w:val="0"/>
              <w:jc w:val="center"/>
              <w:rPr>
                <w:rFonts w:asciiTheme="minorEastAsia" w:hAnsiTheme="minorEastAsia" w:cstheme="minorEastAsia"/>
                <w:sz w:val="24"/>
                <w:lang w:val="zh-CN"/>
              </w:rPr>
            </w:pPr>
            <w:r>
              <w:rPr>
                <w:rFonts w:hint="eastAsia" w:asciiTheme="minorEastAsia" w:hAnsiTheme="minorEastAsia" w:cstheme="minorEastAsia"/>
                <w:sz w:val="24"/>
                <w:lang w:val="zh-CN"/>
              </w:rPr>
              <w:t>权重</w:t>
            </w:r>
          </w:p>
        </w:tc>
        <w:tc>
          <w:tcPr>
            <w:tcW w:w="1546" w:type="dxa"/>
            <w:tcBorders>
              <w:left w:val="single" w:color="auto" w:sz="4" w:space="0"/>
            </w:tcBorders>
            <w:vAlign w:val="center"/>
          </w:tcPr>
          <w:p>
            <w:pPr>
              <w:autoSpaceDE w:val="0"/>
              <w:autoSpaceDN w:val="0"/>
              <w:adjustRightIn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jc w:val="center"/>
        </w:trPr>
        <w:tc>
          <w:tcPr>
            <w:tcW w:w="783" w:type="dxa"/>
            <w:vAlign w:val="center"/>
          </w:tcPr>
          <w:p>
            <w:pPr>
              <w:autoSpaceDE w:val="0"/>
              <w:autoSpaceDN w:val="0"/>
              <w:adjustRightInd w:val="0"/>
              <w:ind w:firstLine="480" w:firstLineChars="200"/>
              <w:jc w:val="center"/>
              <w:rPr>
                <w:rFonts w:asciiTheme="minorEastAsia" w:hAnsiTheme="minorEastAsia" w:cstheme="minorEastAsia"/>
                <w:sz w:val="24"/>
                <w:lang w:val="zh-CN"/>
              </w:rPr>
            </w:pPr>
            <w:r>
              <w:rPr>
                <w:rFonts w:hint="eastAsia" w:asciiTheme="minorEastAsia" w:hAnsiTheme="minorEastAsia" w:cstheme="minorEastAsia"/>
                <w:sz w:val="24"/>
                <w:lang w:val="zh-CN"/>
              </w:rPr>
              <w:t>1</w:t>
            </w:r>
          </w:p>
        </w:tc>
        <w:tc>
          <w:tcPr>
            <w:tcW w:w="1593" w:type="dxa"/>
            <w:vAlign w:val="center"/>
          </w:tcPr>
          <w:p>
            <w:pPr>
              <w:autoSpaceDE w:val="0"/>
              <w:autoSpaceDN w:val="0"/>
              <w:adjustRightInd w:val="0"/>
              <w:snapToGrid w:val="0"/>
              <w:rPr>
                <w:rFonts w:asciiTheme="minorEastAsia" w:hAnsiTheme="minorEastAsia" w:cstheme="minorEastAsia"/>
                <w:sz w:val="24"/>
              </w:rPr>
            </w:pPr>
            <w:r>
              <w:rPr>
                <w:rFonts w:hint="eastAsia" w:asciiTheme="minorEastAsia" w:hAnsiTheme="minorEastAsia" w:cstheme="minorEastAsia"/>
                <w:sz w:val="24"/>
              </w:rPr>
              <w:t>项目负责人经验及业绩</w:t>
            </w:r>
          </w:p>
        </w:tc>
        <w:tc>
          <w:tcPr>
            <w:tcW w:w="4695" w:type="dxa"/>
            <w:vAlign w:val="center"/>
          </w:tcPr>
          <w:p>
            <w:pPr>
              <w:autoSpaceDE w:val="0"/>
              <w:autoSpaceDN w:val="0"/>
              <w:adjustRightInd w:val="0"/>
              <w:jc w:val="left"/>
              <w:rPr>
                <w:rFonts w:asciiTheme="minorEastAsia" w:hAnsiTheme="minorEastAsia" w:cstheme="minorEastAsia"/>
                <w:sz w:val="24"/>
                <w:lang w:val="zh-CN"/>
              </w:rPr>
            </w:pPr>
            <w:r>
              <w:rPr>
                <w:rFonts w:hint="eastAsia" w:asciiTheme="minorEastAsia" w:hAnsiTheme="minorEastAsia" w:cstheme="minorEastAsia"/>
                <w:sz w:val="24"/>
                <w:lang w:val="zh-CN"/>
              </w:rPr>
              <w:t>项目负责人应具备</w:t>
            </w:r>
            <w:r>
              <w:rPr>
                <w:rFonts w:hint="eastAsia" w:asciiTheme="minorEastAsia" w:hAnsiTheme="minorEastAsia" w:cstheme="minorEastAsia"/>
                <w:sz w:val="24"/>
              </w:rPr>
              <w:t>三</w:t>
            </w:r>
            <w:r>
              <w:rPr>
                <w:rFonts w:hint="eastAsia" w:asciiTheme="minorEastAsia" w:hAnsiTheme="minorEastAsia" w:cstheme="minorEastAsia"/>
                <w:sz w:val="24"/>
                <w:lang w:val="zh-CN"/>
              </w:rPr>
              <w:t>年以上物业行业管理工作经验，并至少在本单位服务</w:t>
            </w:r>
            <w:r>
              <w:rPr>
                <w:rFonts w:hint="eastAsia" w:asciiTheme="minorEastAsia" w:hAnsiTheme="minorEastAsia" w:cstheme="minorEastAsia"/>
                <w:sz w:val="24"/>
              </w:rPr>
              <w:t>六个月的，得5分</w:t>
            </w:r>
            <w:r>
              <w:rPr>
                <w:rFonts w:hint="eastAsia" w:asciiTheme="minorEastAsia" w:hAnsiTheme="minorEastAsia" w:cstheme="minorEastAsia"/>
                <w:sz w:val="24"/>
                <w:lang w:val="zh-CN"/>
              </w:rPr>
              <w:t>。</w:t>
            </w:r>
            <w:r>
              <w:rPr>
                <w:rFonts w:hint="eastAsia" w:asciiTheme="minorEastAsia" w:hAnsiTheme="minorEastAsia" w:cstheme="minorEastAsia"/>
                <w:sz w:val="24"/>
              </w:rPr>
              <w:t>项目负责人有担任安全生产服务项目或其他物业行业管理项目负责人经验，每个合同1分</w:t>
            </w:r>
            <w:r>
              <w:rPr>
                <w:rFonts w:hint="eastAsia" w:asciiTheme="minorEastAsia" w:hAnsiTheme="minorEastAsia" w:cstheme="minorEastAsia"/>
                <w:snapToGrid w:val="0"/>
                <w:kern w:val="0"/>
                <w:sz w:val="24"/>
              </w:rPr>
              <w:t>，此项累计上限最高为</w:t>
            </w:r>
            <w:r>
              <w:rPr>
                <w:rFonts w:hint="eastAsia" w:asciiTheme="minorEastAsia" w:hAnsiTheme="minorEastAsia" w:cstheme="minorEastAsia"/>
                <w:sz w:val="24"/>
              </w:rPr>
              <w:t>5分</w:t>
            </w:r>
            <w:r>
              <w:rPr>
                <w:rFonts w:hint="eastAsia" w:asciiTheme="minorEastAsia" w:hAnsiTheme="minorEastAsia" w:cstheme="minorEastAsia"/>
                <w:snapToGrid w:val="0"/>
                <w:kern w:val="0"/>
                <w:sz w:val="24"/>
              </w:rPr>
              <w:t>（提供合同相关页扫描件为证，否则不得分）（提供社保缴纳及相关证明材料页扫描件为证，否则不得分）</w:t>
            </w:r>
          </w:p>
        </w:tc>
        <w:tc>
          <w:tcPr>
            <w:tcW w:w="687" w:type="dxa"/>
            <w:tcBorders>
              <w:right w:val="single" w:color="auto" w:sz="4" w:space="0"/>
            </w:tcBorders>
            <w:vAlign w:val="center"/>
          </w:tcPr>
          <w:p>
            <w:pPr>
              <w:autoSpaceDE w:val="0"/>
              <w:autoSpaceDN w:val="0"/>
              <w:adjustRightInd w:val="0"/>
              <w:snapToGrid w:val="0"/>
              <w:rPr>
                <w:rFonts w:asciiTheme="minorEastAsia" w:hAnsiTheme="minorEastAsia" w:cstheme="minorEastAsia"/>
                <w:sz w:val="24"/>
              </w:rPr>
            </w:pPr>
            <w:r>
              <w:rPr>
                <w:rFonts w:hint="eastAsia" w:asciiTheme="minorEastAsia" w:hAnsiTheme="minorEastAsia" w:cstheme="minorEastAsia"/>
                <w:sz w:val="24"/>
              </w:rPr>
              <w:t>10</w:t>
            </w:r>
          </w:p>
        </w:tc>
        <w:tc>
          <w:tcPr>
            <w:tcW w:w="1546" w:type="dxa"/>
            <w:tcBorders>
              <w:left w:val="single" w:color="auto" w:sz="4" w:space="0"/>
            </w:tcBorders>
            <w:vAlign w:val="center"/>
          </w:tcPr>
          <w:p>
            <w:pPr>
              <w:autoSpaceDE w:val="0"/>
              <w:autoSpaceDN w:val="0"/>
              <w:adjustRightInd w:val="0"/>
              <w:rPr>
                <w:rFonts w:asciiTheme="minorEastAsia" w:hAnsiTheme="minorEastAsia" w:cstheme="minorEastAsia"/>
                <w:sz w:val="24"/>
                <w:lang w:val="zh-CN"/>
              </w:rPr>
            </w:pPr>
            <w:r>
              <w:rPr>
                <w:rFonts w:hint="eastAsia" w:asciiTheme="minorEastAsia" w:hAnsiTheme="minorEastAsia" w:cstheme="minorEastAsia"/>
                <w:sz w:val="24"/>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83" w:type="dxa"/>
            <w:vAlign w:val="center"/>
          </w:tcPr>
          <w:p>
            <w:pPr>
              <w:autoSpaceDE w:val="0"/>
              <w:autoSpaceDN w:val="0"/>
              <w:adjustRightInd w:val="0"/>
              <w:ind w:firstLine="480" w:firstLineChars="200"/>
              <w:jc w:val="center"/>
              <w:rPr>
                <w:rFonts w:asciiTheme="minorEastAsia" w:hAnsiTheme="minorEastAsia" w:cstheme="minorEastAsia"/>
                <w:sz w:val="24"/>
              </w:rPr>
            </w:pPr>
            <w:r>
              <w:rPr>
                <w:rFonts w:hint="eastAsia" w:asciiTheme="minorEastAsia" w:hAnsiTheme="minorEastAsia" w:cstheme="minorEastAsia"/>
                <w:sz w:val="24"/>
              </w:rPr>
              <w:t>2</w:t>
            </w:r>
          </w:p>
        </w:tc>
        <w:tc>
          <w:tcPr>
            <w:tcW w:w="1593" w:type="dxa"/>
            <w:vAlign w:val="center"/>
          </w:tcPr>
          <w:p>
            <w:pPr>
              <w:autoSpaceDE w:val="0"/>
              <w:autoSpaceDN w:val="0"/>
              <w:adjustRightInd w:val="0"/>
              <w:snapToGrid w:val="0"/>
              <w:rPr>
                <w:rFonts w:asciiTheme="minorEastAsia" w:hAnsiTheme="minorEastAsia" w:cstheme="minorEastAsia"/>
                <w:sz w:val="24"/>
              </w:rPr>
            </w:pPr>
            <w:r>
              <w:rPr>
                <w:rFonts w:hint="eastAsia" w:asciiTheme="minorEastAsia" w:hAnsiTheme="minorEastAsia" w:cstheme="minorEastAsia"/>
                <w:sz w:val="24"/>
              </w:rPr>
              <w:t>项目驻点人员及项目团队资质</w:t>
            </w:r>
          </w:p>
        </w:tc>
        <w:tc>
          <w:tcPr>
            <w:tcW w:w="4695" w:type="dxa"/>
            <w:vAlign w:val="center"/>
          </w:tcPr>
          <w:p>
            <w:pPr>
              <w:numPr>
                <w:ilvl w:val="0"/>
                <w:numId w:val="3"/>
              </w:numPr>
              <w:autoSpaceDE w:val="0"/>
              <w:autoSpaceDN w:val="0"/>
              <w:adjustRightInd w:val="0"/>
              <w:jc w:val="left"/>
              <w:rPr>
                <w:rFonts w:asciiTheme="minorEastAsia" w:hAnsiTheme="minorEastAsia" w:cstheme="minorEastAsia"/>
                <w:sz w:val="24"/>
              </w:rPr>
            </w:pPr>
            <w:r>
              <w:rPr>
                <w:rFonts w:hint="eastAsia" w:asciiTheme="minorEastAsia" w:hAnsiTheme="minorEastAsia" w:cstheme="minorEastAsia"/>
                <w:sz w:val="24"/>
              </w:rPr>
              <w:t>驻点人员：驻点服务人员具有法学或安全相关专业本科以上学历，具备三年以上物业行业法律或安全生产管理相关工作经验，并至少在本单位服务六个月，得5分</w:t>
            </w:r>
            <w:r>
              <w:rPr>
                <w:rFonts w:hint="eastAsia" w:asciiTheme="minorEastAsia" w:hAnsiTheme="minorEastAsia" w:cstheme="minorEastAsia"/>
                <w:sz w:val="24"/>
                <w:lang w:val="zh-CN"/>
              </w:rPr>
              <w:t>。</w:t>
            </w:r>
            <w:r>
              <w:rPr>
                <w:rFonts w:hint="eastAsia" w:asciiTheme="minorEastAsia" w:hAnsiTheme="minorEastAsia" w:cstheme="minorEastAsia"/>
                <w:sz w:val="24"/>
              </w:rPr>
              <w:t>其中：具有法学或安全相关专业本科以上学历的，得2分；具备三年以上物业行业法律或安全生产管理相关工作经验，并至少在本单位服务六个月的，得3分。</w:t>
            </w:r>
          </w:p>
          <w:p>
            <w:pPr>
              <w:numPr>
                <w:ilvl w:val="0"/>
                <w:numId w:val="3"/>
              </w:numPr>
              <w:autoSpaceDE w:val="0"/>
              <w:autoSpaceDN w:val="0"/>
              <w:adjustRightInd w:val="0"/>
              <w:jc w:val="left"/>
              <w:rPr>
                <w:rFonts w:asciiTheme="minorEastAsia" w:hAnsiTheme="minorEastAsia" w:cstheme="minorEastAsia"/>
                <w:sz w:val="24"/>
                <w:lang w:val="zh-CN"/>
              </w:rPr>
            </w:pPr>
            <w:r>
              <w:rPr>
                <w:rFonts w:hint="eastAsia" w:asciiTheme="minorEastAsia" w:hAnsiTheme="minorEastAsia" w:cstheme="minorEastAsia"/>
                <w:sz w:val="24"/>
                <w:lang w:val="zh-CN"/>
              </w:rPr>
              <w:t>项目专家团队：专家具备注册安全工程师、注册消防工程师、安全评价师资格的，提供一名得</w:t>
            </w:r>
            <w:r>
              <w:rPr>
                <w:rFonts w:hint="eastAsia" w:asciiTheme="minorEastAsia" w:hAnsiTheme="minorEastAsia" w:cstheme="minorEastAsia"/>
                <w:sz w:val="24"/>
              </w:rPr>
              <w:t>3分，此项累计上限最高为15分</w:t>
            </w:r>
            <w:r>
              <w:rPr>
                <w:rFonts w:hint="eastAsia" w:asciiTheme="minorEastAsia" w:hAnsiTheme="minorEastAsia" w:cstheme="minorEastAsia"/>
                <w:sz w:val="24"/>
                <w:lang w:val="zh-CN"/>
              </w:rPr>
              <w:t>（其中驻点人员需提供</w:t>
            </w:r>
            <w:r>
              <w:rPr>
                <w:rFonts w:hint="eastAsia" w:asciiTheme="minorEastAsia" w:hAnsiTheme="minorEastAsia" w:cstheme="minorEastAsia"/>
                <w:sz w:val="24"/>
              </w:rPr>
              <w:t>社保缴纳、相关证明材料及</w:t>
            </w:r>
            <w:r>
              <w:rPr>
                <w:rFonts w:hint="eastAsia" w:asciiTheme="minorEastAsia" w:hAnsiTheme="minorEastAsia" w:cstheme="minorEastAsia"/>
                <w:sz w:val="24"/>
                <w:lang w:val="zh-CN"/>
              </w:rPr>
              <w:t>《中国高等教育学历认证报告》或《教育部学历证书电子注册备案表》</w:t>
            </w:r>
            <w:r>
              <w:rPr>
                <w:rFonts w:hint="eastAsia" w:asciiTheme="minorEastAsia" w:hAnsiTheme="minorEastAsia" w:cstheme="minorEastAsia"/>
                <w:sz w:val="24"/>
              </w:rPr>
              <w:t>为证，否则不得分；项目专家团队需提供相关证件复印件，否则不得分</w:t>
            </w:r>
            <w:r>
              <w:rPr>
                <w:rFonts w:hint="eastAsia" w:asciiTheme="minorEastAsia" w:hAnsiTheme="minorEastAsia" w:cstheme="minorEastAsia"/>
                <w:sz w:val="24"/>
                <w:lang w:val="zh-CN"/>
              </w:rPr>
              <w:t>）</w:t>
            </w:r>
          </w:p>
        </w:tc>
        <w:tc>
          <w:tcPr>
            <w:tcW w:w="687" w:type="dxa"/>
            <w:tcBorders>
              <w:right w:val="single" w:color="auto" w:sz="4" w:space="0"/>
            </w:tcBorders>
            <w:vAlign w:val="center"/>
          </w:tcPr>
          <w:p>
            <w:pPr>
              <w:autoSpaceDE w:val="0"/>
              <w:autoSpaceDN w:val="0"/>
              <w:adjustRightInd w:val="0"/>
              <w:snapToGrid w:val="0"/>
              <w:rPr>
                <w:rFonts w:asciiTheme="minorEastAsia" w:hAnsiTheme="minorEastAsia" w:cstheme="minorEastAsia"/>
                <w:sz w:val="24"/>
              </w:rPr>
            </w:pPr>
            <w:r>
              <w:rPr>
                <w:rFonts w:hint="eastAsia" w:asciiTheme="minorEastAsia" w:hAnsiTheme="minorEastAsia" w:cstheme="minorEastAsia"/>
                <w:sz w:val="24"/>
              </w:rPr>
              <w:t>20</w:t>
            </w:r>
          </w:p>
        </w:tc>
        <w:tc>
          <w:tcPr>
            <w:tcW w:w="1546" w:type="dxa"/>
            <w:tcBorders>
              <w:left w:val="single" w:color="auto" w:sz="4" w:space="0"/>
            </w:tcBorders>
            <w:vAlign w:val="center"/>
          </w:tcPr>
          <w:p>
            <w:pPr>
              <w:autoSpaceDE w:val="0"/>
              <w:autoSpaceDN w:val="0"/>
              <w:adjustRightInd w:val="0"/>
              <w:rPr>
                <w:rFonts w:asciiTheme="minorEastAsia" w:hAnsiTheme="minorEastAsia" w:cstheme="minorEastAsia"/>
                <w:sz w:val="24"/>
                <w:lang w:val="zh-CN"/>
              </w:rPr>
            </w:pPr>
            <w:r>
              <w:rPr>
                <w:rFonts w:hint="eastAsia" w:asciiTheme="minorEastAsia" w:hAnsiTheme="minorEastAsia" w:cstheme="minorEastAsia"/>
                <w:sz w:val="24"/>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783" w:type="dxa"/>
            <w:vAlign w:val="center"/>
          </w:tcPr>
          <w:p>
            <w:pPr>
              <w:autoSpaceDE w:val="0"/>
              <w:autoSpaceDN w:val="0"/>
              <w:adjustRightInd w:val="0"/>
              <w:ind w:firstLine="480" w:firstLineChars="200"/>
              <w:jc w:val="center"/>
              <w:rPr>
                <w:rFonts w:asciiTheme="minorEastAsia" w:hAnsiTheme="minorEastAsia" w:cstheme="minorEastAsia"/>
                <w:sz w:val="24"/>
                <w:lang w:val="zh-CN"/>
              </w:rPr>
            </w:pPr>
            <w:r>
              <w:rPr>
                <w:rFonts w:hint="eastAsia" w:asciiTheme="minorEastAsia" w:hAnsiTheme="minorEastAsia" w:cstheme="minorEastAsia"/>
                <w:sz w:val="24"/>
              </w:rPr>
              <w:t>3</w:t>
            </w:r>
          </w:p>
        </w:tc>
        <w:tc>
          <w:tcPr>
            <w:tcW w:w="1593" w:type="dxa"/>
            <w:vAlign w:val="center"/>
          </w:tcPr>
          <w:p>
            <w:pPr>
              <w:spacing w:line="276" w:lineRule="auto"/>
              <w:rPr>
                <w:rFonts w:asciiTheme="minorEastAsia" w:hAnsiTheme="minorEastAsia" w:cstheme="minorEastAsia"/>
                <w:sz w:val="24"/>
                <w:lang w:val="zh-CN"/>
              </w:rPr>
            </w:pPr>
            <w:r>
              <w:rPr>
                <w:rFonts w:hint="eastAsia" w:asciiTheme="minorEastAsia" w:hAnsiTheme="minorEastAsia" w:cstheme="minorEastAsia"/>
                <w:sz w:val="24"/>
                <w:lang w:val="zh-CN"/>
              </w:rPr>
              <w:t>项目实施方案</w:t>
            </w:r>
          </w:p>
          <w:p>
            <w:pPr>
              <w:spacing w:line="276" w:lineRule="auto"/>
              <w:jc w:val="center"/>
              <w:rPr>
                <w:rFonts w:asciiTheme="minorEastAsia" w:hAnsiTheme="minorEastAsia" w:cstheme="minorEastAsia"/>
                <w:sz w:val="24"/>
              </w:rPr>
            </w:pPr>
            <w:r>
              <w:rPr>
                <w:rFonts w:hint="eastAsia" w:asciiTheme="minorEastAsia" w:hAnsiTheme="minorEastAsia" w:cstheme="minorEastAsia"/>
                <w:sz w:val="24"/>
                <w:lang w:val="zh-CN"/>
              </w:rPr>
              <w:t>（工作措施、工作方法、工作手段、工作流程）</w:t>
            </w:r>
          </w:p>
        </w:tc>
        <w:tc>
          <w:tcPr>
            <w:tcW w:w="4695" w:type="dxa"/>
            <w:vAlign w:val="center"/>
          </w:tcPr>
          <w:p>
            <w:pPr>
              <w:spacing w:line="276" w:lineRule="auto"/>
              <w:rPr>
                <w:rFonts w:asciiTheme="minorEastAsia" w:hAnsiTheme="minorEastAsia" w:cstheme="minorEastAsia"/>
                <w:sz w:val="24"/>
              </w:rPr>
            </w:pPr>
            <w:r>
              <w:rPr>
                <w:rFonts w:hint="eastAsia" w:asciiTheme="minorEastAsia" w:hAnsiTheme="minorEastAsia" w:cstheme="minorEastAsia"/>
                <w:sz w:val="24"/>
                <w:lang w:val="zh-CN"/>
              </w:rPr>
              <w:t>提供《项目实施方案（工作措施、工作方法、工作流程等）》，内容自拟。横向打分优得1</w:t>
            </w:r>
            <w:r>
              <w:rPr>
                <w:rFonts w:hint="eastAsia" w:asciiTheme="minorEastAsia" w:hAnsiTheme="minorEastAsia" w:cstheme="minorEastAsia"/>
                <w:sz w:val="24"/>
              </w:rPr>
              <w:t>5</w:t>
            </w:r>
            <w:r>
              <w:rPr>
                <w:rFonts w:hint="eastAsia" w:asciiTheme="minorEastAsia" w:hAnsiTheme="minorEastAsia" w:cstheme="minorEastAsia"/>
                <w:sz w:val="24"/>
                <w:lang w:val="zh-CN"/>
              </w:rPr>
              <w:t>-</w:t>
            </w:r>
            <w:r>
              <w:rPr>
                <w:rFonts w:hint="eastAsia" w:asciiTheme="minorEastAsia" w:hAnsiTheme="minorEastAsia" w:cstheme="minorEastAsia"/>
                <w:sz w:val="24"/>
              </w:rPr>
              <w:t>20</w:t>
            </w:r>
            <w:r>
              <w:rPr>
                <w:rFonts w:hint="eastAsia" w:asciiTheme="minorEastAsia" w:hAnsiTheme="minorEastAsia" w:cstheme="minorEastAsia"/>
                <w:sz w:val="24"/>
                <w:lang w:val="zh-CN"/>
              </w:rPr>
              <w:t>分，</w:t>
            </w:r>
            <w:r>
              <w:rPr>
                <w:rFonts w:hint="eastAsia" w:asciiTheme="minorEastAsia" w:hAnsiTheme="minorEastAsia" w:cstheme="minorEastAsia"/>
                <w:sz w:val="24"/>
              </w:rPr>
              <w:t>良</w:t>
            </w:r>
            <w:r>
              <w:rPr>
                <w:rFonts w:hint="eastAsia" w:asciiTheme="minorEastAsia" w:hAnsiTheme="minorEastAsia" w:cstheme="minorEastAsia"/>
                <w:sz w:val="24"/>
                <w:lang w:val="zh-CN"/>
              </w:rPr>
              <w:t>得</w:t>
            </w:r>
            <w:r>
              <w:rPr>
                <w:rFonts w:hint="eastAsia" w:asciiTheme="minorEastAsia" w:hAnsiTheme="minorEastAsia" w:cstheme="minorEastAsia"/>
                <w:sz w:val="24"/>
              </w:rPr>
              <w:t>10</w:t>
            </w:r>
            <w:r>
              <w:rPr>
                <w:rFonts w:hint="eastAsia" w:asciiTheme="minorEastAsia" w:hAnsiTheme="minorEastAsia" w:cstheme="minorEastAsia"/>
                <w:sz w:val="24"/>
                <w:lang w:val="zh-CN"/>
              </w:rPr>
              <w:t>-1</w:t>
            </w:r>
            <w:r>
              <w:rPr>
                <w:rFonts w:hint="eastAsia" w:asciiTheme="minorEastAsia" w:hAnsiTheme="minorEastAsia" w:cstheme="minorEastAsia"/>
                <w:sz w:val="24"/>
              </w:rPr>
              <w:t>5</w:t>
            </w:r>
            <w:r>
              <w:rPr>
                <w:rFonts w:hint="eastAsia" w:asciiTheme="minorEastAsia" w:hAnsiTheme="minorEastAsia" w:cstheme="minorEastAsia"/>
                <w:sz w:val="24"/>
                <w:lang w:val="zh-CN"/>
              </w:rPr>
              <w:t>分，</w:t>
            </w:r>
            <w:r>
              <w:rPr>
                <w:rFonts w:hint="eastAsia" w:asciiTheme="minorEastAsia" w:hAnsiTheme="minorEastAsia" w:cstheme="minorEastAsia"/>
                <w:sz w:val="24"/>
              </w:rPr>
              <w:t>中得5-10分，</w:t>
            </w:r>
            <w:r>
              <w:rPr>
                <w:rFonts w:hint="eastAsia" w:asciiTheme="minorEastAsia" w:hAnsiTheme="minorEastAsia" w:cstheme="minorEastAsia"/>
                <w:sz w:val="24"/>
                <w:lang w:val="zh-CN"/>
              </w:rPr>
              <w:t>差得0-</w:t>
            </w:r>
            <w:r>
              <w:rPr>
                <w:rFonts w:hint="eastAsia" w:asciiTheme="minorEastAsia" w:hAnsiTheme="minorEastAsia" w:cstheme="minorEastAsia"/>
                <w:sz w:val="24"/>
              </w:rPr>
              <w:t>5</w:t>
            </w:r>
            <w:r>
              <w:rPr>
                <w:rFonts w:hint="eastAsia" w:asciiTheme="minorEastAsia" w:hAnsiTheme="minorEastAsia" w:cstheme="minorEastAsia"/>
                <w:sz w:val="24"/>
                <w:lang w:val="zh-CN"/>
              </w:rPr>
              <w:t>分。</w:t>
            </w:r>
          </w:p>
        </w:tc>
        <w:tc>
          <w:tcPr>
            <w:tcW w:w="687" w:type="dxa"/>
            <w:tcBorders>
              <w:right w:val="single" w:color="auto" w:sz="4" w:space="0"/>
            </w:tcBorders>
            <w:vAlign w:val="center"/>
          </w:tcPr>
          <w:p>
            <w:pPr>
              <w:spacing w:line="276" w:lineRule="auto"/>
              <w:rPr>
                <w:rFonts w:asciiTheme="minorEastAsia" w:hAnsiTheme="minorEastAsia" w:cstheme="minorEastAsia"/>
                <w:sz w:val="24"/>
              </w:rPr>
            </w:pPr>
            <w:r>
              <w:rPr>
                <w:rFonts w:hint="eastAsia" w:asciiTheme="minorEastAsia" w:hAnsiTheme="minorEastAsia" w:cstheme="minorEastAsia"/>
                <w:sz w:val="24"/>
              </w:rPr>
              <w:t>20</w:t>
            </w:r>
          </w:p>
        </w:tc>
        <w:tc>
          <w:tcPr>
            <w:tcW w:w="1546" w:type="dxa"/>
            <w:tcBorders>
              <w:left w:val="single" w:color="auto" w:sz="4" w:space="0"/>
            </w:tcBorders>
            <w:vAlign w:val="center"/>
          </w:tcPr>
          <w:p>
            <w:pPr>
              <w:rPr>
                <w:rFonts w:asciiTheme="minorEastAsia" w:hAnsiTheme="minorEastAsia" w:cstheme="minorEastAsia"/>
                <w:sz w:val="24"/>
              </w:rPr>
            </w:pPr>
            <w:r>
              <w:rPr>
                <w:rFonts w:hint="eastAsia" w:asciiTheme="minorEastAsia" w:hAnsiTheme="minorEastAsia" w:cstheme="minorEastAsia"/>
                <w:sz w:val="24"/>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783" w:type="dxa"/>
            <w:vAlign w:val="center"/>
          </w:tcPr>
          <w:p>
            <w:pPr>
              <w:autoSpaceDE w:val="0"/>
              <w:autoSpaceDN w:val="0"/>
              <w:adjustRightInd w:val="0"/>
              <w:ind w:firstLine="480" w:firstLineChars="200"/>
              <w:jc w:val="center"/>
              <w:rPr>
                <w:rFonts w:asciiTheme="minorEastAsia" w:hAnsiTheme="minorEastAsia" w:cstheme="minorEastAsia"/>
                <w:sz w:val="24"/>
              </w:rPr>
            </w:pPr>
            <w:r>
              <w:rPr>
                <w:rFonts w:hint="eastAsia" w:asciiTheme="minorEastAsia" w:hAnsiTheme="minorEastAsia" w:cstheme="minorEastAsia"/>
                <w:sz w:val="24"/>
              </w:rPr>
              <w:t>4</w:t>
            </w:r>
          </w:p>
        </w:tc>
        <w:tc>
          <w:tcPr>
            <w:tcW w:w="1593" w:type="dxa"/>
            <w:vAlign w:val="center"/>
          </w:tcPr>
          <w:p>
            <w:pPr>
              <w:spacing w:line="276"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投标文件编制质量评价</w:t>
            </w:r>
          </w:p>
        </w:tc>
        <w:tc>
          <w:tcPr>
            <w:tcW w:w="4695" w:type="dxa"/>
            <w:vAlign w:val="center"/>
          </w:tcPr>
          <w:p>
            <w:pPr>
              <w:spacing w:line="276" w:lineRule="auto"/>
              <w:rPr>
                <w:rFonts w:asciiTheme="minorEastAsia" w:hAnsiTheme="minorEastAsia" w:cstheme="minorEastAsia"/>
                <w:sz w:val="24"/>
              </w:rPr>
            </w:pPr>
            <w:r>
              <w:rPr>
                <w:rFonts w:hint="eastAsia" w:asciiTheme="minorEastAsia" w:hAnsiTheme="minorEastAsia" w:cstheme="minorEastAsia"/>
                <w:sz w:val="24"/>
                <w:lang w:val="zh-CN"/>
              </w:rPr>
              <w:t>根据投标人投标文件编制情况横向比较，评价为优的得</w:t>
            </w:r>
            <w:r>
              <w:rPr>
                <w:rFonts w:hint="eastAsia" w:asciiTheme="minorEastAsia" w:hAnsiTheme="minorEastAsia" w:cstheme="minorEastAsia"/>
                <w:sz w:val="24"/>
              </w:rPr>
              <w:t>3分，评价为良的得2分，评价为中的为1分，评价为差的得0分。</w:t>
            </w:r>
          </w:p>
        </w:tc>
        <w:tc>
          <w:tcPr>
            <w:tcW w:w="687" w:type="dxa"/>
            <w:tcBorders>
              <w:right w:val="single" w:color="auto" w:sz="4" w:space="0"/>
            </w:tcBorders>
            <w:vAlign w:val="center"/>
          </w:tcPr>
          <w:p>
            <w:pPr>
              <w:spacing w:line="276" w:lineRule="auto"/>
              <w:rPr>
                <w:rFonts w:asciiTheme="minorEastAsia" w:hAnsiTheme="minorEastAsia" w:cstheme="minorEastAsia"/>
                <w:sz w:val="24"/>
              </w:rPr>
            </w:pPr>
            <w:r>
              <w:rPr>
                <w:rFonts w:hint="eastAsia" w:asciiTheme="minorEastAsia" w:hAnsiTheme="minorEastAsia" w:cstheme="minorEastAsia"/>
                <w:sz w:val="24"/>
              </w:rPr>
              <w:t>3</w:t>
            </w:r>
          </w:p>
        </w:tc>
        <w:tc>
          <w:tcPr>
            <w:tcW w:w="1546" w:type="dxa"/>
            <w:tcBorders>
              <w:left w:val="single" w:color="auto" w:sz="4" w:space="0"/>
            </w:tcBorders>
            <w:vAlign w:val="center"/>
          </w:tcPr>
          <w:p>
            <w:pPr>
              <w:rPr>
                <w:rFonts w:asciiTheme="minorEastAsia" w:hAnsiTheme="minorEastAsia" w:cstheme="minorEastAsia"/>
                <w:sz w:val="24"/>
                <w:lang w:val="zh-CN"/>
              </w:rPr>
            </w:pPr>
            <w:r>
              <w:rPr>
                <w:rFonts w:hint="eastAsia" w:asciiTheme="minorEastAsia" w:hAnsiTheme="minorEastAsia" w:cstheme="minorEastAsia"/>
                <w:sz w:val="24"/>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783" w:type="dxa"/>
            <w:vAlign w:val="center"/>
          </w:tcPr>
          <w:p>
            <w:pPr>
              <w:autoSpaceDE w:val="0"/>
              <w:autoSpaceDN w:val="0"/>
              <w:adjustRightInd w:val="0"/>
              <w:ind w:firstLine="480" w:firstLineChars="200"/>
              <w:jc w:val="center"/>
              <w:rPr>
                <w:rFonts w:asciiTheme="minorEastAsia" w:hAnsiTheme="minorEastAsia" w:cstheme="minorEastAsia"/>
                <w:sz w:val="24"/>
              </w:rPr>
            </w:pPr>
            <w:r>
              <w:rPr>
                <w:rFonts w:hint="eastAsia" w:asciiTheme="minorEastAsia" w:hAnsiTheme="minorEastAsia" w:cstheme="minorEastAsia"/>
                <w:sz w:val="24"/>
              </w:rPr>
              <w:t>5</w:t>
            </w:r>
          </w:p>
        </w:tc>
        <w:tc>
          <w:tcPr>
            <w:tcW w:w="1593" w:type="dxa"/>
            <w:vAlign w:val="center"/>
          </w:tcPr>
          <w:p>
            <w:pPr>
              <w:spacing w:line="276"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服务质量承诺</w:t>
            </w:r>
          </w:p>
        </w:tc>
        <w:tc>
          <w:tcPr>
            <w:tcW w:w="4695" w:type="dxa"/>
            <w:vAlign w:val="center"/>
          </w:tcPr>
          <w:p>
            <w:pPr>
              <w:spacing w:line="276" w:lineRule="auto"/>
              <w:rPr>
                <w:rFonts w:asciiTheme="minorEastAsia" w:hAnsiTheme="minorEastAsia" w:cstheme="minorEastAsia"/>
                <w:sz w:val="24"/>
                <w:lang w:val="zh-CN"/>
              </w:rPr>
            </w:pPr>
            <w:r>
              <w:rPr>
                <w:rFonts w:hint="eastAsia" w:asciiTheme="minorEastAsia" w:hAnsiTheme="minorEastAsia" w:cstheme="minorEastAsia"/>
                <w:sz w:val="24"/>
                <w:lang w:val="zh-CN"/>
              </w:rPr>
              <w:t>根据提供的本项目服务质量承诺情况横向比较，评价为优的得</w:t>
            </w:r>
            <w:r>
              <w:rPr>
                <w:rFonts w:hint="eastAsia" w:asciiTheme="minorEastAsia" w:hAnsiTheme="minorEastAsia" w:cstheme="minorEastAsia"/>
                <w:sz w:val="24"/>
              </w:rPr>
              <w:t>2分，评价为良的得1.5分，评价为中的为1分，评价为差的得0分。</w:t>
            </w:r>
          </w:p>
        </w:tc>
        <w:tc>
          <w:tcPr>
            <w:tcW w:w="687" w:type="dxa"/>
            <w:tcBorders>
              <w:right w:val="single" w:color="auto" w:sz="4" w:space="0"/>
            </w:tcBorders>
            <w:vAlign w:val="center"/>
          </w:tcPr>
          <w:p>
            <w:pPr>
              <w:spacing w:line="276" w:lineRule="auto"/>
              <w:rPr>
                <w:rFonts w:asciiTheme="minorEastAsia" w:hAnsiTheme="minorEastAsia" w:cstheme="minorEastAsia"/>
                <w:sz w:val="24"/>
              </w:rPr>
            </w:pPr>
            <w:r>
              <w:rPr>
                <w:rFonts w:hint="eastAsia" w:asciiTheme="minorEastAsia" w:hAnsiTheme="minorEastAsia" w:cstheme="minorEastAsia"/>
                <w:sz w:val="24"/>
              </w:rPr>
              <w:t>2</w:t>
            </w:r>
          </w:p>
        </w:tc>
        <w:tc>
          <w:tcPr>
            <w:tcW w:w="1546" w:type="dxa"/>
            <w:tcBorders>
              <w:left w:val="single" w:color="auto" w:sz="4" w:space="0"/>
            </w:tcBorders>
            <w:vAlign w:val="center"/>
          </w:tcPr>
          <w:p>
            <w:pPr>
              <w:rPr>
                <w:rFonts w:asciiTheme="minorEastAsia" w:hAnsiTheme="minorEastAsia" w:cstheme="minorEastAsia"/>
                <w:sz w:val="24"/>
                <w:lang w:val="zh-CN"/>
              </w:rPr>
            </w:pPr>
            <w:r>
              <w:rPr>
                <w:rFonts w:hint="eastAsia" w:asciiTheme="minorEastAsia" w:hAnsiTheme="minorEastAsia" w:cstheme="minorEastAsia"/>
                <w:sz w:val="24"/>
                <w:lang w:val="zh-CN"/>
              </w:rPr>
              <w:t>专家打分</w:t>
            </w:r>
          </w:p>
        </w:tc>
      </w:tr>
    </w:tbl>
    <w:p/>
    <w:p>
      <w:pPr>
        <w:spacing w:beforeLines="50" w:afterLines="50"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七、投标文件要求</w:t>
      </w:r>
    </w:p>
    <w:p>
      <w:pPr>
        <w:spacing w:line="560" w:lineRule="exact"/>
        <w:outlineLvl w:val="0"/>
        <w:rPr>
          <w:rFonts w:ascii="楷体_GB2312" w:hAnsi="仿宋" w:eastAsia="楷体_GB2312"/>
          <w:b/>
          <w:bCs/>
          <w:sz w:val="32"/>
          <w:szCs w:val="32"/>
        </w:rPr>
      </w:pPr>
      <w:r>
        <w:rPr>
          <w:rFonts w:ascii="仿宋" w:hAnsi="仿宋" w:eastAsia="仿宋"/>
          <w:b/>
          <w:bCs/>
          <w:sz w:val="32"/>
          <w:szCs w:val="32"/>
        </w:rPr>
        <w:t xml:space="preserve">   </w:t>
      </w:r>
      <w:r>
        <w:rPr>
          <w:rFonts w:hint="eastAsia" w:ascii="楷体_GB2312" w:hAnsi="仿宋" w:eastAsia="楷体_GB2312"/>
          <w:b/>
          <w:bCs/>
          <w:sz w:val="32"/>
          <w:szCs w:val="32"/>
        </w:rPr>
        <w:t>（一）投标文件的组成和格式</w:t>
      </w:r>
      <w:r>
        <w:rPr>
          <w:rFonts w:hint="eastAsia" w:ascii="楷体_GB2312" w:hAnsi="仿宋" w:eastAsia="楷体_GB2312" w:cs="仿宋_GB2312"/>
          <w:b/>
          <w:bCs/>
          <w:sz w:val="32"/>
          <w:szCs w:val="32"/>
        </w:rPr>
        <w:t>（格式见附件）</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1、招标文件响应声明书及投标报价；</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2、（1）</w:t>
      </w:r>
      <w:r>
        <w:rPr>
          <w:rFonts w:hint="eastAsia" w:ascii="仿宋_GB2312" w:eastAsia="仿宋_GB2312" w:hAnsiTheme="minorEastAsia"/>
          <w:sz w:val="32"/>
          <w:szCs w:val="32"/>
        </w:rPr>
        <w:t>投标人基本情况介绍</w:t>
      </w:r>
      <w:r>
        <w:rPr>
          <w:rFonts w:ascii="仿宋" w:hAnsi="仿宋" w:eastAsia="仿宋" w:cs="仿宋_GB2312"/>
          <w:sz w:val="32"/>
          <w:szCs w:val="32"/>
        </w:rPr>
        <w:t>；</w:t>
      </w:r>
    </w:p>
    <w:p>
      <w:pPr>
        <w:spacing w:line="560" w:lineRule="exact"/>
        <w:ind w:firstLine="960" w:firstLineChars="3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2）法定代表人（负责人）身份证明书、法定代表人（负责人）授权委托书，加盖公章；</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3、投标承诺函；</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4、业绩证明材料，加盖公章；</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5、其它招标文件要求的内容及投标人认为需要补充的内容（格式自定），提交的资料应加盖公章。</w:t>
      </w:r>
    </w:p>
    <w:p>
      <w:pPr>
        <w:spacing w:line="560" w:lineRule="exact"/>
        <w:outlineLvl w:val="0"/>
        <w:rPr>
          <w:rFonts w:ascii="楷体_GB2312" w:hAnsi="仿宋" w:eastAsia="楷体_GB2312"/>
          <w:b/>
          <w:bCs/>
          <w:sz w:val="32"/>
          <w:szCs w:val="32"/>
        </w:rPr>
      </w:pPr>
      <w:r>
        <w:rPr>
          <w:rFonts w:ascii="仿宋" w:hAnsi="仿宋" w:eastAsia="仿宋"/>
          <w:b/>
          <w:bCs/>
          <w:sz w:val="32"/>
          <w:szCs w:val="32"/>
        </w:rPr>
        <w:t xml:space="preserve">  </w:t>
      </w:r>
      <w:r>
        <w:rPr>
          <w:rFonts w:hint="eastAsia" w:ascii="楷体_GB2312" w:hAnsi="仿宋" w:eastAsia="楷体_GB2312"/>
          <w:b/>
          <w:bCs/>
          <w:sz w:val="32"/>
          <w:szCs w:val="32"/>
        </w:rPr>
        <w:t xml:space="preserve"> （二）投标文件的份数及装订、密封要求</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1、投标人应准备投标文件正本一套和副本</w:t>
      </w:r>
      <w:r>
        <w:rPr>
          <w:rFonts w:hint="eastAsia" w:ascii="仿宋" w:hAnsi="仿宋" w:eastAsia="仿宋" w:cs="仿宋_GB2312"/>
          <w:sz w:val="32"/>
          <w:szCs w:val="32"/>
        </w:rPr>
        <w:t>两套，所有封袋上都应写明投标人的名称、项目名称。文件封面须清楚地标明“正本”或“副本”，当正本与副本有不一致时，以正本为准。</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2、投标文件正、副本均应使用A4纸统一装订，且均应使用不能擦去的墨水书写或打印，并由投标人加盖公章和法定代表人或法定代表人委托的代理人签字。</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3、投标文件的正本及所有副本必须密封，封面均须加盖投标人公章并在密封口骑缝加盖公章。</w:t>
      </w:r>
    </w:p>
    <w:p>
      <w:pPr>
        <w:spacing w:line="560" w:lineRule="exact"/>
        <w:outlineLvl w:val="0"/>
        <w:rPr>
          <w:rFonts w:ascii="楷体_GB2312" w:hAnsi="仿宋" w:eastAsia="楷体_GB2312"/>
          <w:b/>
          <w:bCs/>
          <w:sz w:val="32"/>
          <w:szCs w:val="32"/>
        </w:rPr>
      </w:pPr>
      <w:r>
        <w:rPr>
          <w:rFonts w:ascii="仿宋" w:hAnsi="仿宋" w:eastAsia="仿宋"/>
          <w:b/>
          <w:bCs/>
          <w:sz w:val="32"/>
          <w:szCs w:val="32"/>
        </w:rPr>
        <w:t xml:space="preserve">  </w:t>
      </w:r>
      <w:r>
        <w:rPr>
          <w:rFonts w:hint="eastAsia" w:ascii="楷体_GB2312" w:hAnsi="仿宋" w:eastAsia="楷体_GB2312"/>
          <w:b/>
          <w:bCs/>
          <w:sz w:val="32"/>
          <w:szCs w:val="32"/>
        </w:rPr>
        <w:t xml:space="preserve"> （三）投标文件的递交</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1、投标人将投标文件按以上规定密封和标记后，按以下注明的地址在投标截止时间之前送至招标单位。</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2、递交资料截止时间：（具体时间以公告为准）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地点：南山区桃园路区委大楼</w:t>
      </w:r>
      <w:r>
        <w:rPr>
          <w:rFonts w:ascii="仿宋" w:hAnsi="仿宋" w:eastAsia="仿宋" w:cs="仿宋_GB2312"/>
          <w:sz w:val="32"/>
          <w:szCs w:val="32"/>
        </w:rPr>
        <w:t>A314室</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联系人：唐益民，电话</w:t>
      </w:r>
      <w:r>
        <w:rPr>
          <w:rFonts w:ascii="仿宋" w:hAnsi="仿宋" w:eastAsia="仿宋" w:cs="仿宋_GB2312"/>
          <w:sz w:val="32"/>
          <w:szCs w:val="32"/>
        </w:rPr>
        <w:t>:0755-26662527</w:t>
      </w:r>
    </w:p>
    <w:p>
      <w:pPr>
        <w:spacing w:line="560" w:lineRule="exact"/>
        <w:outlineLvl w:val="0"/>
        <w:rPr>
          <w:rFonts w:ascii="楷体_GB2312" w:hAnsi="仿宋" w:eastAsia="楷体_GB2312"/>
          <w:b/>
          <w:bCs/>
          <w:sz w:val="32"/>
          <w:szCs w:val="32"/>
        </w:rPr>
      </w:pPr>
      <w:r>
        <w:rPr>
          <w:rFonts w:hint="eastAsia" w:ascii="楷体_GB2312" w:hAnsi="仿宋" w:eastAsia="楷体_GB2312"/>
          <w:b/>
          <w:bCs/>
          <w:sz w:val="32"/>
          <w:szCs w:val="32"/>
        </w:rPr>
        <w:t xml:space="preserve">   （四）投标文件有效期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投标文件从投标截止日起有效期为</w:t>
      </w:r>
      <w:r>
        <w:rPr>
          <w:rFonts w:ascii="仿宋" w:hAnsi="仿宋" w:eastAsia="仿宋" w:cs="仿宋_GB2312"/>
          <w:sz w:val="32"/>
          <w:szCs w:val="32"/>
        </w:rPr>
        <w:t>10天。</w:t>
      </w:r>
    </w:p>
    <w:p>
      <w:pPr>
        <w:spacing w:beforeLines="50" w:afterLines="50"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八、废标条款</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符合下列条件之一，即可定为废标：</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1、投标人不满足</w:t>
      </w:r>
      <w:r>
        <w:rPr>
          <w:rFonts w:hint="eastAsia" w:ascii="仿宋" w:hAnsi="仿宋" w:eastAsia="仿宋" w:cs="仿宋"/>
          <w:sz w:val="32"/>
          <w:szCs w:val="32"/>
        </w:rPr>
        <w:t>具有受政府委托开展（或参与）与物业行业安全相关的业务工作经验</w:t>
      </w:r>
      <w:r>
        <w:rPr>
          <w:rFonts w:hint="eastAsia" w:ascii="仿宋" w:hAnsi="仿宋" w:eastAsia="仿宋" w:cs="仿宋_GB2312"/>
          <w:sz w:val="32"/>
          <w:szCs w:val="32"/>
        </w:rPr>
        <w:t>；</w:t>
      </w:r>
    </w:p>
    <w:p>
      <w:pPr>
        <w:numPr>
          <w:ilvl w:val="0"/>
          <w:numId w:val="4"/>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报价文件无投标人盖章，无法定代表人或法定代表人授权代表签字或盖章的；</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3、投标文件未按规定的格式填写，内容不全或关键字迹模糊、无法辨认的；</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4、投标人递交两份或多份内容不同的投标文件，或在一份投标文件中对同一招标项目报有两个或多个报价，且未声明哪一个有效的，按招标文件规定提交备选投标方案的除外；</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5、投标人以明显低于成本或不合理报价竞标恶意骗取中标或以他人的名义投标、串通投标、以行贿手段谋取中标或者以其他弄虚作假方式投标的</w:t>
      </w:r>
      <w:r>
        <w:rPr>
          <w:rFonts w:hint="eastAsia" w:ascii="仿宋" w:hAnsi="仿宋" w:eastAsia="仿宋" w:cs="仿宋_GB2312"/>
          <w:sz w:val="32"/>
          <w:szCs w:val="32"/>
        </w:rPr>
        <w:t>。</w:t>
      </w:r>
    </w:p>
    <w:p>
      <w:pPr>
        <w:spacing w:beforeLines="50" w:afterLines="50"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九、流标情形</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符合下列情形之一，本次招标流标，需重新招标。</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1、采购的公正性受到影响；</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2、投标报价均超过了采购预算；</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3、采购任务取消。</w:t>
      </w:r>
    </w:p>
    <w:p>
      <w:pPr>
        <w:spacing w:line="560" w:lineRule="exact"/>
        <w:ind w:left="420" w:leftChars="200"/>
        <w:rPr>
          <w:rFonts w:ascii="黑体" w:hAnsi="黑体" w:eastAsia="黑体"/>
          <w:bCs/>
          <w:sz w:val="32"/>
          <w:szCs w:val="32"/>
        </w:rPr>
      </w:pPr>
      <w:r>
        <w:rPr>
          <w:rFonts w:ascii="黑体" w:hAnsi="黑体" w:eastAsia="黑体"/>
          <w:bCs/>
          <w:sz w:val="32"/>
          <w:szCs w:val="32"/>
        </w:rPr>
        <w:t xml:space="preserve"> 十、其他说明</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本次招标</w:t>
      </w:r>
      <w:r>
        <w:rPr>
          <w:rFonts w:hint="eastAsia" w:ascii="仿宋" w:hAnsi="仿宋" w:eastAsia="仿宋"/>
          <w:sz w:val="32"/>
          <w:szCs w:val="32"/>
        </w:rPr>
        <w:t>不一定接受最低报价的投标。</w:t>
      </w:r>
    </w:p>
    <w:p>
      <w:pPr>
        <w:pStyle w:val="17"/>
        <w:spacing w:line="560" w:lineRule="exact"/>
        <w:ind w:left="420" w:leftChars="200" w:firstLine="0" w:firstLineChars="0"/>
        <w:rPr>
          <w:rFonts w:ascii="仿宋" w:hAnsi="仿宋" w:eastAsia="仿宋"/>
          <w:sz w:val="32"/>
          <w:szCs w:val="32"/>
        </w:rPr>
      </w:pPr>
    </w:p>
    <w:p>
      <w:pPr>
        <w:pStyle w:val="17"/>
        <w:spacing w:line="560" w:lineRule="exact"/>
        <w:ind w:left="1380" w:leftChars="200" w:hanging="960" w:hangingChars="3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r>
        <w:rPr>
          <w:rFonts w:hint="eastAsia" w:ascii="仿宋" w:hAnsi="仿宋" w:eastAsia="仿宋"/>
          <w:sz w:val="32"/>
          <w:szCs w:val="32"/>
        </w:rPr>
        <w:t>.南山区物业行业安全管理指导服务项目合同书</w:t>
      </w:r>
    </w:p>
    <w:p>
      <w:pPr>
        <w:pStyle w:val="17"/>
        <w:spacing w:line="560" w:lineRule="exact"/>
        <w:ind w:left="420" w:leftChars="200" w:firstLine="0" w:firstLineChars="0"/>
        <w:rPr>
          <w:rFonts w:ascii="仿宋" w:hAnsi="仿宋" w:eastAsia="仿宋"/>
          <w:sz w:val="32"/>
          <w:szCs w:val="32"/>
        </w:rPr>
      </w:pPr>
      <w:r>
        <w:rPr>
          <w:rFonts w:hint="eastAsia" w:ascii="仿宋" w:hAnsi="仿宋" w:eastAsia="仿宋"/>
          <w:sz w:val="32"/>
          <w:szCs w:val="32"/>
        </w:rPr>
        <w:t xml:space="preserve">      2.资格、符合性评审条款</w:t>
      </w:r>
    </w:p>
    <w:p>
      <w:pPr>
        <w:pStyle w:val="17"/>
        <w:spacing w:line="560" w:lineRule="exact"/>
        <w:ind w:firstLine="0" w:firstLineChars="0"/>
        <w:rPr>
          <w:rFonts w:ascii="仿宋" w:hAnsi="仿宋" w:eastAsia="仿宋"/>
          <w:sz w:val="32"/>
          <w:szCs w:val="32"/>
        </w:rPr>
      </w:pPr>
      <w:r>
        <w:rPr>
          <w:rFonts w:hint="eastAsia" w:ascii="仿宋" w:hAnsi="仿宋" w:eastAsia="仿宋"/>
          <w:sz w:val="32"/>
          <w:szCs w:val="32"/>
        </w:rPr>
        <w:t xml:space="preserve">         3.投标文件参考格式  </w:t>
      </w:r>
    </w:p>
    <w:p>
      <w:pPr>
        <w:pStyle w:val="17"/>
        <w:spacing w:line="560" w:lineRule="exact"/>
        <w:ind w:left="420" w:leftChars="200" w:firstLine="0" w:firstLineChars="0"/>
        <w:rPr>
          <w:rFonts w:ascii="仿宋" w:hAnsi="仿宋" w:eastAsia="仿宋"/>
          <w:sz w:val="32"/>
          <w:szCs w:val="32"/>
        </w:rPr>
      </w:pPr>
    </w:p>
    <w:p>
      <w:pPr>
        <w:pStyle w:val="17"/>
        <w:spacing w:line="560" w:lineRule="exact"/>
        <w:ind w:left="420" w:leftChars="200" w:firstLine="0" w:firstLineChars="0"/>
        <w:rPr>
          <w:rFonts w:ascii="仿宋" w:hAnsi="仿宋" w:eastAsia="仿宋"/>
          <w:sz w:val="32"/>
          <w:szCs w:val="32"/>
        </w:rPr>
      </w:pPr>
    </w:p>
    <w:p>
      <w:pPr>
        <w:pStyle w:val="17"/>
        <w:spacing w:line="560" w:lineRule="exact"/>
        <w:ind w:left="420" w:leftChars="200" w:firstLine="0" w:firstLineChars="0"/>
        <w:rPr>
          <w:rFonts w:ascii="仿宋" w:hAnsi="仿宋" w:eastAsia="仿宋"/>
          <w:sz w:val="32"/>
          <w:szCs w:val="32"/>
        </w:rPr>
      </w:pPr>
    </w:p>
    <w:p>
      <w:pPr>
        <w:pStyle w:val="17"/>
        <w:spacing w:line="560" w:lineRule="exact"/>
        <w:ind w:left="420" w:leftChars="200" w:firstLine="0" w:firstLineChars="0"/>
        <w:rPr>
          <w:rFonts w:ascii="仿宋" w:hAnsi="仿宋" w:eastAsia="仿宋"/>
          <w:sz w:val="32"/>
          <w:szCs w:val="32"/>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p>
    <w:p>
      <w:pPr>
        <w:spacing w:line="600" w:lineRule="exact"/>
        <w:jc w:val="left"/>
        <w:rPr>
          <w:rFonts w:ascii="宋体" w:hAnsi="宋体"/>
          <w:b/>
          <w:bCs/>
          <w:sz w:val="44"/>
          <w:szCs w:val="44"/>
        </w:rPr>
      </w:pPr>
      <w:r>
        <w:rPr>
          <w:rFonts w:hint="eastAsia" w:ascii="宋体" w:hAnsi="宋体"/>
          <w:b/>
          <w:bCs/>
          <w:sz w:val="44"/>
          <w:szCs w:val="44"/>
        </w:rPr>
        <w:t>附件</w:t>
      </w:r>
      <w:r>
        <w:rPr>
          <w:rFonts w:ascii="宋体" w:hAnsi="宋体"/>
          <w:b/>
          <w:bCs/>
          <w:sz w:val="44"/>
          <w:szCs w:val="44"/>
        </w:rPr>
        <w:t>1</w:t>
      </w:r>
    </w:p>
    <w:p>
      <w:pPr>
        <w:spacing w:line="520" w:lineRule="exact"/>
        <w:ind w:firstLine="5520" w:firstLineChars="2300"/>
        <w:rPr>
          <w:rFonts w:ascii="楷体" w:hAnsi="楷体" w:eastAsia="楷体"/>
          <w:b/>
          <w:sz w:val="24"/>
        </w:rPr>
      </w:pPr>
      <w:r>
        <w:rPr>
          <w:rFonts w:ascii="楷体" w:hAnsi="楷体" w:eastAsia="楷体"/>
          <w:sz w:val="24"/>
        </w:rPr>
        <w:t xml:space="preserve">          </w:t>
      </w:r>
      <w:r>
        <w:rPr>
          <w:rFonts w:hint="eastAsia" w:ascii="楷体" w:hAnsi="楷体" w:eastAsia="楷体"/>
          <w:sz w:val="24"/>
        </w:rPr>
        <w:t xml:space="preserve"> 合同编号;</w:t>
      </w:r>
      <w:r>
        <w:rPr>
          <w:rFonts w:hint="eastAsia" w:ascii="楷体" w:hAnsi="楷体" w:eastAsia="楷体"/>
          <w:b/>
          <w:sz w:val="24"/>
          <w:u w:val="single"/>
        </w:rPr>
        <w:t xml:space="preserve">                 </w:t>
      </w:r>
      <w:r>
        <w:rPr>
          <w:rFonts w:hint="eastAsia" w:ascii="楷体" w:hAnsi="楷体" w:eastAsia="楷体"/>
          <w:b/>
          <w:sz w:val="24"/>
        </w:rPr>
        <w:t xml:space="preserve">  </w:t>
      </w:r>
    </w:p>
    <w:p>
      <w:pPr>
        <w:spacing w:line="520" w:lineRule="exact"/>
        <w:rPr>
          <w:rFonts w:ascii="楷体" w:hAnsi="楷体" w:eastAsia="楷体"/>
          <w:b/>
          <w:sz w:val="24"/>
        </w:rPr>
      </w:pPr>
      <w:r>
        <w:rPr>
          <w:rFonts w:hint="eastAsia" w:ascii="楷体" w:hAnsi="楷体" w:eastAsia="楷体"/>
          <w:sz w:val="24"/>
        </w:rPr>
        <w:t xml:space="preserve">                                            </w:t>
      </w:r>
    </w:p>
    <w:p>
      <w:pPr>
        <w:spacing w:line="520" w:lineRule="exact"/>
        <w:rPr>
          <w:rFonts w:ascii="楷体" w:hAnsi="楷体" w:eastAsia="楷体"/>
          <w:sz w:val="24"/>
        </w:rPr>
      </w:pPr>
    </w:p>
    <w:p>
      <w:pPr>
        <w:spacing w:line="520" w:lineRule="exact"/>
        <w:ind w:firstLine="1080" w:firstLineChars="450"/>
        <w:rPr>
          <w:rFonts w:ascii="楷体" w:hAnsi="楷体" w:eastAsia="楷体"/>
          <w:sz w:val="24"/>
        </w:rPr>
      </w:pPr>
    </w:p>
    <w:p>
      <w:pPr>
        <w:spacing w:line="520" w:lineRule="exact"/>
        <w:jc w:val="center"/>
        <w:rPr>
          <w:rFonts w:ascii="楷体" w:hAnsi="楷体" w:eastAsia="楷体"/>
          <w:b/>
          <w:sz w:val="24"/>
        </w:rPr>
      </w:pPr>
    </w:p>
    <w:p>
      <w:pPr>
        <w:spacing w:line="520" w:lineRule="exact"/>
        <w:jc w:val="center"/>
        <w:rPr>
          <w:rFonts w:ascii="宋体" w:hAnsi="宋体"/>
          <w:b/>
          <w:sz w:val="52"/>
          <w:szCs w:val="52"/>
        </w:rPr>
      </w:pPr>
      <w:r>
        <w:rPr>
          <w:rFonts w:hint="eastAsia" w:ascii="宋体" w:hAnsi="宋体"/>
          <w:b/>
          <w:sz w:val="52"/>
          <w:szCs w:val="52"/>
        </w:rPr>
        <w:t>南山区物业行业安全管理指导服务项目合同书</w:t>
      </w:r>
    </w:p>
    <w:p>
      <w:pPr>
        <w:spacing w:line="520" w:lineRule="exact"/>
        <w:jc w:val="center"/>
        <w:rPr>
          <w:rFonts w:ascii="宋体" w:hAnsi="宋体"/>
          <w:b/>
          <w:sz w:val="52"/>
          <w:szCs w:val="52"/>
        </w:rPr>
      </w:pPr>
    </w:p>
    <w:p>
      <w:pPr>
        <w:spacing w:line="520" w:lineRule="exact"/>
        <w:jc w:val="center"/>
        <w:rPr>
          <w:rFonts w:ascii="楷体" w:hAnsi="楷体" w:eastAsia="楷体"/>
          <w:b/>
          <w:sz w:val="24"/>
        </w:rPr>
      </w:pPr>
    </w:p>
    <w:p>
      <w:pPr>
        <w:spacing w:line="520" w:lineRule="exact"/>
        <w:jc w:val="center"/>
        <w:rPr>
          <w:rFonts w:ascii="楷体" w:hAnsi="楷体" w:eastAsia="楷体"/>
          <w:b/>
          <w:sz w:val="24"/>
        </w:rPr>
      </w:pPr>
    </w:p>
    <w:p>
      <w:pPr>
        <w:spacing w:line="520" w:lineRule="exact"/>
        <w:jc w:val="center"/>
        <w:rPr>
          <w:rFonts w:ascii="楷体" w:hAnsi="楷体" w:eastAsia="楷体"/>
          <w:b/>
          <w:sz w:val="24"/>
        </w:rPr>
      </w:pPr>
    </w:p>
    <w:p>
      <w:pPr>
        <w:spacing w:line="520" w:lineRule="exact"/>
        <w:jc w:val="center"/>
        <w:rPr>
          <w:rFonts w:ascii="楷体" w:hAnsi="楷体" w:eastAsia="楷体"/>
          <w:b/>
          <w:sz w:val="24"/>
        </w:rPr>
      </w:pPr>
    </w:p>
    <w:p>
      <w:pPr>
        <w:spacing w:line="520" w:lineRule="exact"/>
        <w:jc w:val="center"/>
        <w:rPr>
          <w:rFonts w:ascii="楷体" w:hAnsi="楷体" w:eastAsia="楷体"/>
          <w:b/>
          <w:sz w:val="24"/>
        </w:rPr>
      </w:pPr>
    </w:p>
    <w:p>
      <w:pPr>
        <w:spacing w:line="520" w:lineRule="exact"/>
        <w:jc w:val="center"/>
        <w:rPr>
          <w:rFonts w:ascii="楷体" w:hAnsi="楷体" w:eastAsia="楷体"/>
          <w:b/>
          <w:sz w:val="24"/>
        </w:rPr>
      </w:pPr>
    </w:p>
    <w:p>
      <w:pPr>
        <w:spacing w:line="520" w:lineRule="exact"/>
        <w:ind w:firstLine="840" w:firstLineChars="350"/>
        <w:rPr>
          <w:rFonts w:ascii="楷体" w:hAnsi="楷体" w:eastAsia="楷体"/>
          <w:sz w:val="24"/>
        </w:rPr>
      </w:pPr>
    </w:p>
    <w:p>
      <w:pPr>
        <w:spacing w:line="600" w:lineRule="exact"/>
        <w:ind w:left="1405" w:hanging="1405" w:hangingChars="500"/>
        <w:jc w:val="left"/>
        <w:rPr>
          <w:rFonts w:ascii="楷体" w:hAnsi="楷体" w:eastAsia="楷体"/>
          <w:sz w:val="28"/>
          <w:szCs w:val="28"/>
          <w:u w:val="single"/>
        </w:rPr>
      </w:pPr>
      <w:r>
        <w:rPr>
          <w:rFonts w:hint="eastAsia" w:ascii="黑体" w:hAnsi="黑体" w:eastAsia="黑体"/>
          <w:b/>
          <w:sz w:val="28"/>
          <w:szCs w:val="28"/>
        </w:rPr>
        <w:t>项目名称</w:t>
      </w:r>
      <w:r>
        <w:rPr>
          <w:rFonts w:hint="eastAsia" w:ascii="楷体" w:hAnsi="楷体" w:eastAsia="楷体"/>
          <w:sz w:val="28"/>
          <w:szCs w:val="28"/>
        </w:rPr>
        <w:t>：</w:t>
      </w:r>
      <w:r>
        <w:rPr>
          <w:rFonts w:hint="eastAsia" w:ascii="楷体" w:hAnsi="楷体" w:eastAsia="楷体"/>
          <w:sz w:val="28"/>
          <w:szCs w:val="28"/>
          <w:u w:val="single"/>
        </w:rPr>
        <w:t xml:space="preserve">南山区物业行业安全管理指导服务项目        </w:t>
      </w:r>
    </w:p>
    <w:p>
      <w:pPr>
        <w:spacing w:line="600" w:lineRule="exact"/>
        <w:jc w:val="left"/>
        <w:rPr>
          <w:rFonts w:ascii="楷体" w:hAnsi="楷体" w:eastAsia="楷体"/>
          <w:sz w:val="28"/>
          <w:szCs w:val="28"/>
        </w:rPr>
      </w:pPr>
      <w:r>
        <w:rPr>
          <w:rFonts w:hint="eastAsia" w:ascii="黑体" w:hAnsi="黑体" w:eastAsia="黑体"/>
          <w:b/>
          <w:sz w:val="28"/>
          <w:szCs w:val="28"/>
        </w:rPr>
        <w:t>甲    方</w:t>
      </w:r>
      <w:r>
        <w:rPr>
          <w:rFonts w:hint="eastAsia" w:ascii="楷体" w:hAnsi="楷体" w:eastAsia="楷体"/>
          <w:sz w:val="28"/>
          <w:szCs w:val="28"/>
        </w:rPr>
        <w:t>：</w:t>
      </w:r>
      <w:r>
        <w:rPr>
          <w:rFonts w:hint="eastAsia" w:ascii="楷体" w:hAnsi="楷体" w:eastAsia="楷体"/>
          <w:sz w:val="28"/>
          <w:szCs w:val="28"/>
          <w:u w:val="single"/>
        </w:rPr>
        <w:t xml:space="preserve"> 深圳市南山区住房和建设局 </w:t>
      </w:r>
      <w:r>
        <w:rPr>
          <w:rFonts w:ascii="楷体" w:hAnsi="楷体" w:eastAsia="楷体"/>
          <w:sz w:val="28"/>
          <w:szCs w:val="28"/>
          <w:u w:val="single"/>
        </w:rPr>
        <w:t xml:space="preserve">        </w:t>
      </w:r>
      <w:r>
        <w:rPr>
          <w:rFonts w:hint="eastAsia" w:ascii="楷体" w:hAnsi="楷体" w:eastAsia="楷体"/>
          <w:sz w:val="28"/>
          <w:szCs w:val="28"/>
          <w:u w:val="single"/>
        </w:rPr>
        <w:t xml:space="preserve">          </w:t>
      </w:r>
      <w:r>
        <w:rPr>
          <w:rFonts w:ascii="楷体" w:hAnsi="楷体" w:eastAsia="楷体"/>
          <w:sz w:val="28"/>
          <w:szCs w:val="28"/>
          <w:u w:val="single"/>
        </w:rPr>
        <w:t xml:space="preserve">  </w:t>
      </w:r>
    </w:p>
    <w:p>
      <w:pPr>
        <w:spacing w:line="600" w:lineRule="exact"/>
        <w:jc w:val="left"/>
        <w:rPr>
          <w:rFonts w:ascii="楷体" w:hAnsi="楷体" w:eastAsia="楷体"/>
          <w:sz w:val="28"/>
          <w:szCs w:val="28"/>
        </w:rPr>
      </w:pPr>
      <w:r>
        <w:rPr>
          <w:rFonts w:hint="eastAsia" w:ascii="黑体" w:hAnsi="黑体" w:eastAsia="黑体"/>
          <w:b/>
          <w:sz w:val="28"/>
          <w:szCs w:val="28"/>
        </w:rPr>
        <w:t xml:space="preserve">乙 </w:t>
      </w:r>
      <w:r>
        <w:rPr>
          <w:rFonts w:ascii="黑体" w:hAnsi="黑体" w:eastAsia="黑体"/>
          <w:b/>
          <w:sz w:val="28"/>
          <w:szCs w:val="28"/>
        </w:rPr>
        <w:t xml:space="preserve"> </w:t>
      </w:r>
      <w:r>
        <w:rPr>
          <w:rFonts w:hint="eastAsia" w:ascii="黑体" w:hAnsi="黑体" w:eastAsia="黑体"/>
          <w:b/>
          <w:sz w:val="28"/>
          <w:szCs w:val="28"/>
        </w:rPr>
        <w:t xml:space="preserve">  方</w:t>
      </w:r>
      <w:r>
        <w:rPr>
          <w:rFonts w:hint="eastAsia" w:ascii="楷体" w:hAnsi="楷体" w:eastAsia="楷体"/>
          <w:sz w:val="28"/>
          <w:szCs w:val="28"/>
        </w:rPr>
        <w:t>：</w:t>
      </w:r>
      <w:r>
        <w:rPr>
          <w:rFonts w:hint="eastAsia" w:ascii="楷体" w:hAnsi="楷体" w:eastAsia="楷体"/>
          <w:sz w:val="28"/>
          <w:szCs w:val="28"/>
          <w:u w:val="single"/>
        </w:rPr>
        <w:t xml:space="preserve">                                 </w:t>
      </w:r>
      <w:r>
        <w:rPr>
          <w:rFonts w:ascii="楷体" w:hAnsi="楷体" w:eastAsia="楷体"/>
          <w:sz w:val="28"/>
          <w:szCs w:val="28"/>
          <w:u w:val="single"/>
        </w:rPr>
        <w:t xml:space="preserve">         </w:t>
      </w:r>
      <w:r>
        <w:rPr>
          <w:rFonts w:hint="eastAsia" w:ascii="楷体" w:hAnsi="楷体" w:eastAsia="楷体"/>
          <w:sz w:val="28"/>
          <w:szCs w:val="28"/>
          <w:u w:val="single"/>
        </w:rPr>
        <w:t xml:space="preserve">    </w:t>
      </w:r>
    </w:p>
    <w:p>
      <w:pPr>
        <w:spacing w:beforeLines="50" w:afterLines="50" w:line="520" w:lineRule="exact"/>
        <w:jc w:val="center"/>
        <w:rPr>
          <w:rFonts w:ascii="楷体" w:hAnsi="楷体" w:eastAsia="楷体"/>
          <w:b/>
          <w:sz w:val="24"/>
        </w:rPr>
      </w:pPr>
    </w:p>
    <w:p>
      <w:pPr>
        <w:spacing w:beforeLines="50" w:afterLines="50" w:line="520" w:lineRule="exact"/>
        <w:jc w:val="center"/>
        <w:rPr>
          <w:rFonts w:ascii="楷体" w:hAnsi="楷体" w:eastAsia="楷体"/>
          <w:b/>
          <w:sz w:val="24"/>
        </w:rPr>
      </w:pPr>
    </w:p>
    <w:p>
      <w:pPr>
        <w:spacing w:beforeLines="50" w:afterLines="50" w:line="520" w:lineRule="exact"/>
        <w:jc w:val="center"/>
        <w:rPr>
          <w:rFonts w:ascii="楷体" w:hAnsi="楷体" w:eastAsia="楷体"/>
          <w:b/>
          <w:sz w:val="24"/>
        </w:rPr>
      </w:pPr>
    </w:p>
    <w:p>
      <w:pPr>
        <w:spacing w:beforeLines="50" w:afterLines="50" w:line="520" w:lineRule="exact"/>
        <w:jc w:val="center"/>
        <w:rPr>
          <w:rFonts w:ascii="楷体" w:hAnsi="楷体" w:eastAsia="楷体"/>
          <w:b/>
          <w:sz w:val="24"/>
        </w:rPr>
      </w:pPr>
    </w:p>
    <w:p>
      <w:pPr>
        <w:spacing w:beforeLines="50" w:afterLines="50" w:line="520" w:lineRule="exact"/>
        <w:jc w:val="center"/>
        <w:rPr>
          <w:rFonts w:ascii="楷体" w:hAnsi="楷体" w:eastAsia="楷体"/>
          <w:b/>
          <w:sz w:val="24"/>
        </w:rPr>
      </w:pPr>
    </w:p>
    <w:p>
      <w:pPr>
        <w:spacing w:line="64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委托方(甲方)：深圳市南山区住房和建设局  </w:t>
      </w:r>
    </w:p>
    <w:p>
      <w:pPr>
        <w:spacing w:line="640" w:lineRule="exact"/>
        <w:rPr>
          <w:rFonts w:ascii="仿宋_GB2312" w:hAnsi="宋体" w:eastAsia="仿宋_GB2312" w:cs="宋体"/>
          <w:kern w:val="0"/>
          <w:sz w:val="32"/>
          <w:szCs w:val="32"/>
        </w:rPr>
      </w:pPr>
      <w:r>
        <w:rPr>
          <w:rFonts w:hint="eastAsia" w:ascii="仿宋_GB2312" w:hAnsi="仿宋" w:eastAsia="仿宋_GB2312" w:cs="仿宋"/>
          <w:sz w:val="32"/>
          <w:szCs w:val="32"/>
        </w:rPr>
        <w:t>统一社会信用代码：</w:t>
      </w:r>
    </w:p>
    <w:p>
      <w:pPr>
        <w:spacing w:line="640" w:lineRule="exact"/>
        <w:rPr>
          <w:rFonts w:ascii="仿宋_GB2312" w:hAnsi="宋体" w:eastAsia="仿宋_GB2312" w:cs="宋体"/>
          <w:kern w:val="0"/>
          <w:sz w:val="32"/>
          <w:szCs w:val="32"/>
        </w:rPr>
      </w:pPr>
    </w:p>
    <w:p>
      <w:pPr>
        <w:spacing w:line="64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受委托方(乙方)：          </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统一社会信用代码：</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开户银行：</w:t>
      </w:r>
      <w:r>
        <w:rPr>
          <w:rFonts w:hint="eastAsia" w:ascii="仿宋_GB2312" w:hAnsi="仿宋" w:eastAsia="仿宋_GB2312" w:cs="仿宋"/>
          <w:sz w:val="32"/>
          <w:szCs w:val="32"/>
        </w:rPr>
        <w:t xml:space="preserve"> </w:t>
      </w:r>
    </w:p>
    <w:p>
      <w:pPr>
        <w:spacing w:line="64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开户账号：</w:t>
      </w:r>
    </w:p>
    <w:p>
      <w:pPr>
        <w:spacing w:line="640" w:lineRule="exact"/>
        <w:rPr>
          <w:rFonts w:ascii="仿宋_GB2312" w:hAnsi="宋体" w:eastAsia="仿宋_GB2312" w:cs="宋体"/>
          <w:kern w:val="0"/>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根据《中华人民共和国合同法》及相关规定，合同双方经协商一致，签订本合同：</w:t>
      </w:r>
    </w:p>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乙方进行</w:t>
      </w:r>
      <w:r>
        <w:rPr>
          <w:rFonts w:hint="eastAsia" w:ascii="仿宋" w:hAnsi="仿宋" w:eastAsia="仿宋"/>
          <w:sz w:val="32"/>
          <w:szCs w:val="32"/>
        </w:rPr>
        <w:t>物业行业安全管理指导</w:t>
      </w:r>
      <w:r>
        <w:rPr>
          <w:rFonts w:hint="eastAsia" w:ascii="仿宋" w:hAnsi="仿宋" w:eastAsia="仿宋" w:cs="仿宋"/>
          <w:sz w:val="32"/>
          <w:szCs w:val="32"/>
        </w:rPr>
        <w:t>的范围和内容</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1.范围：深圳市南山区（以下简称“我区”）；</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2.内容：     </w:t>
      </w:r>
    </w:p>
    <w:p>
      <w:pPr>
        <w:widowControl/>
        <w:spacing w:before="100" w:beforeAutospacing="1" w:after="100" w:afterAutospacing="1" w:line="56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 xml:space="preserve">（一）对我区308个物业管理项目安全管理工作进行现场指导，具体要求如下：    </w:t>
      </w:r>
    </w:p>
    <w:p>
      <w:pPr>
        <w:widowControl/>
        <w:spacing w:before="100" w:beforeAutospacing="1" w:after="100" w:afterAutospacing="1" w:line="56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1、组织安全专家对我区不少于150个物业管理项目的安全防范应急预案的制定进行指导，</w:t>
      </w:r>
      <w:r>
        <w:rPr>
          <w:rFonts w:hint="eastAsia" w:ascii="仿宋" w:hAnsi="仿宋" w:eastAsia="仿宋" w:cs="仿宋_GB2312"/>
          <w:sz w:val="32"/>
          <w:szCs w:val="32"/>
        </w:rPr>
        <w:t>出具指导意见。</w:t>
      </w:r>
      <w:r>
        <w:rPr>
          <w:rFonts w:hint="eastAsia" w:ascii="仿宋_GB2312" w:hAnsi="仿宋" w:eastAsia="仿宋_GB2312"/>
          <w:bCs/>
          <w:sz w:val="32"/>
          <w:szCs w:val="32"/>
        </w:rPr>
        <w:t>每个项目的现场指导专家不少于3人。</w:t>
      </w:r>
      <w:r>
        <w:rPr>
          <w:rFonts w:hint="eastAsia" w:ascii="仿宋_GB2312" w:hAnsi="仿宋" w:eastAsia="仿宋_GB2312"/>
          <w:b/>
          <w:sz w:val="32"/>
          <w:szCs w:val="32"/>
        </w:rPr>
        <w:t>工作要求：3名专家需针对物业区域实际情况（如火灾、自然灾害、电梯、燃气、危化品、高空作业、高空抛坠物、治安、传染病疫情等）进行危险源辨识和风险分析，开展应急资源调查，指导物业管理项目人员编制《风险分析和应急资源调查报告》；在项目现场对应急预案所涉及的场所和设施设备进行现场调查（如消防设施、电梯、电气、新能源汽车充电桩、电动自行车停放集中充电桩、弱电井、消防控制室、有限空间等）；指导物业管理项目完善相关设施设备、应急装备和物资。物业管理项目根据专家意见完善应急预案后，3名专家需针对修改完善后的应急预案进行现场审核指导，重点审核安全防范应急预案是否符合国家有关法律、法规、规章和标准要求；是否具备《深圳经济特区物业管理条例》、《生产经营单位生产安全事故应急预案编制导则》、《物业服务应急管理规范》、《物业服务安全与应急管理导则》等规定的各项要素；预案的组织体系完整，响应程序、保障措施等是否可行，与项目实际情况是否相符</w:t>
      </w:r>
      <w:r>
        <w:rPr>
          <w:rFonts w:hint="eastAsia" w:ascii="仿宋" w:hAnsi="仿宋" w:eastAsia="仿宋" w:cs="仿宋_GB2312"/>
          <w:b/>
          <w:sz w:val="32"/>
          <w:szCs w:val="32"/>
        </w:rPr>
        <w:t>。</w:t>
      </w:r>
    </w:p>
    <w:p>
      <w:pPr>
        <w:widowControl/>
        <w:spacing w:before="100" w:beforeAutospacing="1" w:after="100" w:afterAutospacing="1" w:line="560" w:lineRule="exact"/>
        <w:ind w:firstLine="640" w:firstLineChars="200"/>
        <w:jc w:val="left"/>
        <w:rPr>
          <w:rFonts w:ascii="仿宋" w:hAnsi="仿宋" w:eastAsia="仿宋" w:cs="仿宋_GB2312"/>
          <w:sz w:val="32"/>
          <w:szCs w:val="32"/>
        </w:rPr>
      </w:pPr>
      <w:r>
        <w:rPr>
          <w:rFonts w:hint="eastAsia" w:ascii="仿宋_GB2312" w:hAnsi="仿宋" w:eastAsia="仿宋_GB2312"/>
          <w:bCs/>
          <w:sz w:val="32"/>
          <w:szCs w:val="32"/>
        </w:rPr>
        <w:t>2、</w:t>
      </w:r>
      <w:r>
        <w:rPr>
          <w:rFonts w:hint="eastAsia" w:ascii="仿宋" w:hAnsi="仿宋" w:eastAsia="仿宋" w:cs="仿宋_GB2312"/>
          <w:sz w:val="32"/>
          <w:szCs w:val="32"/>
        </w:rPr>
        <w:t>组织安全专家</w:t>
      </w:r>
      <w:r>
        <w:rPr>
          <w:rFonts w:hint="eastAsia" w:ascii="仿宋_GB2312" w:hAnsi="仿宋" w:eastAsia="仿宋_GB2312"/>
          <w:bCs/>
          <w:sz w:val="32"/>
          <w:szCs w:val="32"/>
        </w:rPr>
        <w:t>根据全生命周期平台中物业管理项目的安全检查的自查情况，对我区不少于150个物业管理项目的自查情况进行抽查。每个项目的现场抽查专家不少于2人。</w:t>
      </w:r>
      <w:r>
        <w:rPr>
          <w:rFonts w:hint="eastAsia" w:ascii="仿宋" w:hAnsi="仿宋" w:eastAsia="仿宋" w:cs="仿宋_GB2312"/>
          <w:sz w:val="32"/>
          <w:szCs w:val="32"/>
        </w:rPr>
        <w:t>主要抽查内容为：企业安全生产责任体系的建立、安全生产投入、安全生产教育和培训、风险分级管控与隐患排查治理、设备设施与作业安全管理、应急救援和事故报告等企业安全生产主体责任的落实情况；项目现场的消防设施、电梯、电气、新能源汽车充电桩、电动自行车停放集中充电桩、弱电井、消防控制室、有限空间等设施设备和场所的安全管理情况，以及高空抛（坠）物、防台防汛、</w:t>
      </w:r>
      <w:r>
        <w:rPr>
          <w:rFonts w:hint="eastAsia" w:ascii="仿宋" w:hAnsi="仿宋" w:eastAsia="仿宋" w:cs="仿宋_GB2312"/>
          <w:b/>
          <w:bCs/>
          <w:sz w:val="32"/>
          <w:szCs w:val="32"/>
        </w:rPr>
        <w:t>涉及《深圳经济特区物业管理条例》八十二条的应急处置措施等工作的落实情况</w:t>
      </w:r>
      <w:r>
        <w:rPr>
          <w:rFonts w:hint="eastAsia" w:ascii="仿宋" w:hAnsi="仿宋" w:eastAsia="仿宋" w:cs="仿宋_GB2312"/>
          <w:sz w:val="32"/>
          <w:szCs w:val="32"/>
        </w:rPr>
        <w:t>。针对抽查发现的问题，给出整改建议。平均每月抽查的物业小区不少于12个，并于每月25日前向甲方提交抽查台账，同时作书面报告，报告内容包括对抽查的物业管理项目进行统计汇总、对项目存在的安全问题进行分析、提出针对性的意见或建议。</w:t>
      </w:r>
    </w:p>
    <w:p>
      <w:pPr>
        <w:pStyle w:val="2"/>
        <w:ind w:firstLine="643" w:firstLineChars="200"/>
        <w:rPr>
          <w:rFonts w:ascii="仿宋_GB2312" w:hAnsi="仿宋" w:eastAsia="仿宋_GB2312"/>
          <w:bCs w:val="0"/>
          <w:sz w:val="32"/>
          <w:szCs w:val="32"/>
        </w:rPr>
      </w:pPr>
      <w:r>
        <w:rPr>
          <w:rFonts w:hint="eastAsia" w:ascii="仿宋_GB2312" w:hAnsi="仿宋" w:eastAsia="仿宋_GB2312"/>
          <w:sz w:val="32"/>
          <w:szCs w:val="32"/>
        </w:rPr>
        <w:t>3、</w:t>
      </w:r>
      <w:r>
        <w:rPr>
          <w:rFonts w:hint="eastAsia" w:ascii="仿宋_GB2312" w:hAnsi="仿宋" w:eastAsia="仿宋_GB2312"/>
          <w:b w:val="0"/>
          <w:sz w:val="32"/>
          <w:szCs w:val="32"/>
        </w:rPr>
        <w:t>组织安全专家对我区不少于8个物业管理项目的安全防范应急预案的实施和演练情况进行指导，出具指导意见。每个项目的现场指导专家不少于3人。</w:t>
      </w:r>
      <w:r>
        <w:rPr>
          <w:rFonts w:hint="eastAsia" w:ascii="仿宋_GB2312" w:hAnsi="仿宋" w:eastAsia="仿宋_GB2312"/>
          <w:bCs w:val="0"/>
          <w:sz w:val="32"/>
          <w:szCs w:val="32"/>
        </w:rPr>
        <w:t>工作要求：3名专家需现场对物业管理项目应急预案的演练方案进行指导；对应急预案涉及人员特别是指挥机构成员、应急救援队伍成员是否其了解各自职责、信息报送程序、所在岗位应急措施等关键要素是否掌握进行培训；对物业管理项目涉及应急演练的场所、设施设备以及救援物资情况进行现场调查（如消防设施、电梯、电气、新能源汽车充电桩、电动自行车停放集中充电桩、弱电井、消防控制室、有限空间等）。待物业管理项目根据专家培训指导要求完善演练方案后，3名专家需现场参与物业管理项目的应急演练，并对应急预案演练的效果、存在的问题、整改措施建议、预案修订完善建议等方面进行评估。</w:t>
      </w:r>
    </w:p>
    <w:p>
      <w:pPr>
        <w:widowControl/>
        <w:spacing w:before="100" w:beforeAutospacing="1" w:after="100" w:afterAutospacing="1" w:line="560" w:lineRule="exact"/>
        <w:ind w:firstLine="640" w:firstLineChars="200"/>
        <w:rPr>
          <w:rFonts w:ascii="仿宋" w:hAnsi="仿宋" w:eastAsia="仿宋" w:cs="仿宋_GB2312"/>
          <w:b/>
          <w:bCs/>
          <w:sz w:val="32"/>
          <w:szCs w:val="32"/>
        </w:rPr>
      </w:pPr>
      <w:r>
        <w:rPr>
          <w:rFonts w:hint="eastAsia" w:ascii="仿宋" w:hAnsi="仿宋" w:eastAsia="仿宋" w:cs="仿宋_GB2312"/>
          <w:sz w:val="32"/>
          <w:szCs w:val="32"/>
        </w:rPr>
        <w:t>（二）</w:t>
      </w:r>
      <w:r>
        <w:rPr>
          <w:rFonts w:hint="eastAsia" w:ascii="仿宋" w:hAnsi="仿宋" w:eastAsia="仿宋" w:cs="仿宋_GB2312"/>
          <w:b/>
          <w:bCs/>
          <w:sz w:val="32"/>
          <w:szCs w:val="32"/>
        </w:rPr>
        <w:t>根据《深圳经济特区物业管理条例》及现行的安全生产相关法律法规，就涉及</w:t>
      </w:r>
      <w:r>
        <w:rPr>
          <w:rFonts w:hint="eastAsia" w:ascii="仿宋_GB2312" w:hAnsi="仿宋" w:eastAsia="仿宋_GB2312"/>
          <w:b/>
          <w:bCs/>
          <w:sz w:val="32"/>
          <w:szCs w:val="32"/>
        </w:rPr>
        <w:t>物业行业安全管理</w:t>
      </w:r>
      <w:r>
        <w:rPr>
          <w:rFonts w:hint="eastAsia" w:ascii="仿宋" w:hAnsi="仿宋" w:eastAsia="仿宋" w:cs="仿宋_GB2312"/>
          <w:b/>
          <w:bCs/>
          <w:sz w:val="32"/>
          <w:szCs w:val="32"/>
        </w:rPr>
        <w:t>政策向甲方提供专业法律意见。</w:t>
      </w:r>
    </w:p>
    <w:p>
      <w:pPr>
        <w:widowControl/>
        <w:spacing w:before="100" w:beforeAutospacing="1" w:after="100" w:afterAutospacing="1" w:line="56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（三）若出现安全事故或甲方认为属于紧急的情况，需随时接受甲方指派到现场协助有关部门处理。</w:t>
      </w:r>
    </w:p>
    <w:p>
      <w:pPr>
        <w:widowControl/>
        <w:spacing w:before="100" w:beforeAutospacing="1" w:after="100" w:afterAutospacing="1" w:line="560" w:lineRule="exact"/>
        <w:ind w:firstLine="640" w:firstLineChars="200"/>
        <w:jc w:val="left"/>
        <w:rPr>
          <w:rFonts w:ascii="宋体" w:hAnsi="宋体" w:cs="Times New Roman"/>
          <w:kern w:val="0"/>
          <w:sz w:val="24"/>
        </w:rPr>
      </w:pPr>
      <w:r>
        <w:rPr>
          <w:rFonts w:hint="eastAsia" w:ascii="仿宋_GB2312" w:hAnsi="仿宋" w:eastAsia="仿宋_GB2312"/>
          <w:bCs/>
          <w:sz w:val="32"/>
          <w:szCs w:val="32"/>
        </w:rPr>
        <w:t>（四）协助甲方完成与物业行业安全管理相关的其它工作。</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乙方应当按照《深圳经济特区物业管理条例》、现行安全相关法律法规和政策管理文件的要求进行技术服务工作，具体服务标准如下：</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1.乙方应成立专门的项目组，设置固定的项目负责人</w:t>
      </w:r>
      <w:r>
        <w:rPr>
          <w:rFonts w:ascii="仿宋" w:hAnsi="仿宋" w:eastAsia="仿宋" w:cs="仿宋"/>
          <w:sz w:val="32"/>
          <w:szCs w:val="32"/>
        </w:rPr>
        <w:t>1人</w:t>
      </w:r>
      <w:r>
        <w:rPr>
          <w:rFonts w:hint="eastAsia" w:ascii="仿宋" w:hAnsi="仿宋" w:eastAsia="仿宋" w:cs="仿宋"/>
          <w:sz w:val="32"/>
          <w:szCs w:val="32"/>
        </w:rPr>
        <w:t>（3年以上物业管理经验</w:t>
      </w:r>
      <w:r>
        <w:rPr>
          <w:rFonts w:ascii="仿宋" w:hAnsi="仿宋" w:eastAsia="仿宋" w:cs="仿宋"/>
          <w:sz w:val="32"/>
          <w:szCs w:val="32"/>
        </w:rPr>
        <w:t>）</w:t>
      </w:r>
      <w:r>
        <w:rPr>
          <w:rFonts w:hint="eastAsia" w:ascii="仿宋" w:hAnsi="仿宋" w:eastAsia="仿宋" w:cs="仿宋"/>
          <w:sz w:val="32"/>
          <w:szCs w:val="32"/>
        </w:rPr>
        <w:t>，驻点1人（</w:t>
      </w:r>
      <w:r>
        <w:rPr>
          <w:rFonts w:hint="eastAsia" w:ascii="仿宋_GB2312" w:hAnsi="黑体" w:eastAsia="仿宋_GB2312" w:cs="黑体"/>
          <w:sz w:val="32"/>
          <w:szCs w:val="32"/>
          <w:shd w:val="clear" w:color="000000" w:fill="FFFFFF"/>
        </w:rPr>
        <w:t>法学或安全相关专业本科以上学历，具备三年以上物业行业法律或安全生产管理相关工作经验</w:t>
      </w:r>
      <w:r>
        <w:rPr>
          <w:rFonts w:hint="eastAsia" w:ascii="仿宋" w:hAnsi="仿宋" w:eastAsia="仿宋" w:cs="仿宋"/>
          <w:sz w:val="32"/>
          <w:szCs w:val="32"/>
        </w:rPr>
        <w:t>）。项目负责人在实施过程中不能更换，如需更换，必须得到甲方的同意；</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2.乙方</w:t>
      </w:r>
      <w:r>
        <w:rPr>
          <w:rFonts w:hint="eastAsia" w:ascii="仿宋" w:hAnsi="仿宋" w:eastAsia="仿宋" w:cs="仿宋"/>
          <w:sz w:val="32"/>
          <w:szCs w:val="32"/>
        </w:rPr>
        <w:t>应向甲方提供专家成员名单，项目负责人和常驻甲方办公人员未经甲方同意不得随意变更，指导（抽查）组员可视指导（抽查）内容专业性，在安全专家成员名单内合理调配；</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乙方所派驻的驻场人员必须严格按照投标书的名单进行安排，并且通过面试考核，试用期为</w:t>
      </w:r>
      <w:r>
        <w:rPr>
          <w:rFonts w:ascii="仿宋" w:hAnsi="仿宋" w:eastAsia="仿宋" w:cs="仿宋"/>
          <w:sz w:val="32"/>
          <w:szCs w:val="32"/>
        </w:rPr>
        <w:t>1</w:t>
      </w:r>
      <w:r>
        <w:rPr>
          <w:rFonts w:hint="eastAsia" w:ascii="仿宋" w:hAnsi="仿宋" w:eastAsia="仿宋" w:cs="仿宋"/>
          <w:sz w:val="32"/>
          <w:szCs w:val="32"/>
        </w:rPr>
        <w:t>个月，甲方有权进行合理选择；如达不到甲方要求，无条件更换至甲方满意为准，驻场人员服从甲方负责人的统一安排，严格遵守甲方的规章制度和保密制度。如乙方不能按照甲方有关要求执行，甲方有权终止合同；</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乙方人员不得利用工作关系开展私人业务及违反廉洁的有关规定，一经发现，甲方有权终止合同；</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驻场人员应严格遵守甲方的工作时间，工作期间不得从事其它活动；</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驻场人员参照甲方聘用制人员的休假制度。需填写“休假单”并获得项目负责人批准后方可休假，休假期间乙方需补充具备同等资质和能力的人员；</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.驻场人员在甲方办公驻场的伙食费用，由乙方承担，费用标准为（990元/月/人），伙食费缴纳方式按甲方相关规定执行；</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驻场人员发生变动更换时必须提交人员变更申请给甲方审批，经甲方批准同意后方可更换；</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9</w:t>
      </w:r>
      <w:r>
        <w:rPr>
          <w:rFonts w:ascii="仿宋" w:hAnsi="仿宋" w:eastAsia="仿宋" w:cs="仿宋"/>
          <w:sz w:val="32"/>
          <w:szCs w:val="32"/>
        </w:rPr>
        <w:t>.乙方应自行配备服务所需要的设备，驻场人员应自备电脑等办公设备；</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0</w:t>
      </w:r>
      <w:r>
        <w:rPr>
          <w:rFonts w:ascii="仿宋" w:hAnsi="仿宋" w:eastAsia="仿宋" w:cs="仿宋"/>
          <w:sz w:val="32"/>
          <w:szCs w:val="32"/>
        </w:rPr>
        <w:t>.</w:t>
      </w:r>
      <w:r>
        <w:rPr>
          <w:rFonts w:hint="eastAsia" w:ascii="仿宋" w:hAnsi="仿宋" w:eastAsia="仿宋" w:cs="仿宋"/>
          <w:sz w:val="32"/>
          <w:szCs w:val="32"/>
        </w:rPr>
        <w:t>合同期内甲方将不定期对驻场人员进行技术、能力、品德、服务态度、出勤率、用户投诉率等方面的综合考核，对考核不合格者有权提出人员更换要求，乙方应及时做出相应人员更换，如拒绝更换，甲方有权终止合同。对甲方造成不良影响的，乙方承担相应责任。</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ascii="仿宋" w:hAnsi="仿宋" w:eastAsia="仿宋" w:cs="仿宋"/>
          <w:sz w:val="32"/>
          <w:szCs w:val="32"/>
        </w:rPr>
        <w:t xml:space="preserve"> </w:t>
      </w:r>
      <w:r>
        <w:rPr>
          <w:rFonts w:hint="eastAsia" w:ascii="仿宋" w:hAnsi="仿宋" w:eastAsia="仿宋" w:cs="仿宋"/>
          <w:sz w:val="32"/>
          <w:szCs w:val="32"/>
        </w:rPr>
        <w:t>合同服务期限</w:t>
      </w:r>
    </w:p>
    <w:p>
      <w:pPr>
        <w:spacing w:line="640" w:lineRule="exact"/>
        <w:ind w:firstLine="640" w:firstLineChars="200"/>
        <w:rPr>
          <w:rFonts w:ascii="仿宋_GB2312" w:hAnsi="宋体" w:eastAsia="仿宋_GB2312" w:cs="宋体"/>
          <w:kern w:val="0"/>
          <w:sz w:val="32"/>
          <w:szCs w:val="32"/>
        </w:rPr>
      </w:pPr>
      <w:r>
        <w:rPr>
          <w:rFonts w:hint="eastAsia" w:ascii="仿宋" w:hAnsi="仿宋" w:eastAsia="仿宋" w:cs="仿宋"/>
          <w:sz w:val="32"/>
          <w:szCs w:val="32"/>
        </w:rPr>
        <w:t>本合同服务期为</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日至</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月   日。</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ascii="仿宋" w:hAnsi="仿宋" w:eastAsia="仿宋" w:cs="仿宋"/>
          <w:sz w:val="32"/>
          <w:szCs w:val="32"/>
        </w:rPr>
        <w:t xml:space="preserve"> </w:t>
      </w:r>
      <w:r>
        <w:rPr>
          <w:rFonts w:hint="eastAsia" w:ascii="仿宋" w:hAnsi="仿宋" w:eastAsia="仿宋" w:cs="仿宋"/>
          <w:sz w:val="32"/>
          <w:szCs w:val="32"/>
        </w:rPr>
        <w:t>甲方向乙方支付项目服务报酬及支付方式为：</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结合合同实际情况，本合同为总价包干合同，合同价为人民币(含税）（大写）</w:t>
      </w:r>
      <w:r>
        <w:rPr>
          <w:rFonts w:ascii="仿宋" w:hAnsi="仿宋" w:eastAsia="仿宋" w:cs="仿宋"/>
          <w:sz w:val="32"/>
          <w:szCs w:val="32"/>
        </w:rPr>
        <w:t xml:space="preserve">          </w:t>
      </w:r>
      <w:r>
        <w:rPr>
          <w:rFonts w:hint="eastAsia" w:ascii="仿宋" w:hAnsi="仿宋" w:eastAsia="仿宋" w:cs="仿宋"/>
          <w:sz w:val="32"/>
          <w:szCs w:val="32"/>
        </w:rPr>
        <w:t>，小写¥</w:t>
      </w:r>
      <w:r>
        <w:rPr>
          <w:rFonts w:ascii="仿宋" w:hAnsi="仿宋" w:eastAsia="仿宋" w:cs="仿宋"/>
          <w:sz w:val="32"/>
          <w:szCs w:val="32"/>
        </w:rPr>
        <w:t xml:space="preserve">      </w:t>
      </w:r>
      <w:r>
        <w:rPr>
          <w:rFonts w:hint="eastAsia" w:ascii="仿宋" w:hAnsi="仿宋" w:eastAsia="仿宋" w:cs="仿宋"/>
          <w:sz w:val="32"/>
          <w:szCs w:val="32"/>
        </w:rPr>
        <w:t>元。该合同价款包括完成本合同所有工作量和后续服务的全部费用。</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付款方式如下：</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第一期：合同签订后10日内支付</w:t>
      </w:r>
      <w:r>
        <w:rPr>
          <w:rFonts w:hint="eastAsia" w:ascii="仿宋_GB2312" w:hAnsi="宋体" w:eastAsia="仿宋_GB2312" w:cs="宋体"/>
          <w:kern w:val="0"/>
          <w:sz w:val="32"/>
          <w:szCs w:val="32"/>
        </w:rPr>
        <w:t>合同总额30%款项，即人民币</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元整</w:t>
      </w:r>
      <w:r>
        <w:rPr>
          <w:rFonts w:ascii="仿宋" w:hAnsi="仿宋" w:eastAsia="仿宋" w:cs="仿宋"/>
          <w:sz w:val="32"/>
          <w:szCs w:val="32"/>
        </w:rPr>
        <w:t>；</w:t>
      </w:r>
    </w:p>
    <w:p>
      <w:pPr>
        <w:spacing w:line="540" w:lineRule="exact"/>
        <w:ind w:firstLine="640" w:firstLineChars="200"/>
        <w:rPr>
          <w:rFonts w:ascii="仿宋" w:hAnsi="仿宋" w:eastAsia="仿宋_GB2312" w:cs="仿宋"/>
          <w:sz w:val="32"/>
          <w:szCs w:val="32"/>
        </w:rPr>
      </w:pPr>
      <w:r>
        <w:rPr>
          <w:rFonts w:hint="eastAsia" w:ascii="仿宋" w:hAnsi="仿宋" w:eastAsia="仿宋" w:cs="仿宋"/>
          <w:sz w:val="32"/>
          <w:szCs w:val="32"/>
        </w:rPr>
        <w:t>第二期：</w:t>
      </w:r>
      <w:r>
        <w:rPr>
          <w:rFonts w:hint="eastAsia" w:ascii="仿宋_GB2312" w:hAnsi="宋体" w:eastAsia="仿宋_GB2312" w:cs="宋体"/>
          <w:kern w:val="0"/>
          <w:sz w:val="32"/>
          <w:szCs w:val="32"/>
        </w:rPr>
        <w:t>项目开展3个月后，</w:t>
      </w:r>
      <w:r>
        <w:rPr>
          <w:rFonts w:ascii="仿宋" w:hAnsi="仿宋" w:eastAsia="仿宋" w:cs="仿宋"/>
          <w:sz w:val="32"/>
          <w:szCs w:val="32"/>
        </w:rPr>
        <w:t>由乙方向甲方提交</w:t>
      </w:r>
      <w:r>
        <w:rPr>
          <w:rFonts w:hint="eastAsia" w:ascii="仿宋" w:hAnsi="仿宋" w:eastAsia="仿宋" w:cs="仿宋"/>
          <w:sz w:val="32"/>
          <w:szCs w:val="32"/>
        </w:rPr>
        <w:t>安全督导报告和预案指导阶段总结等成果文件，经甲方复核同意后，支付</w:t>
      </w:r>
      <w:r>
        <w:rPr>
          <w:rFonts w:hint="eastAsia" w:ascii="仿宋_GB2312" w:hAnsi="宋体" w:eastAsia="仿宋_GB2312" w:cs="宋体"/>
          <w:kern w:val="0"/>
          <w:sz w:val="32"/>
          <w:szCs w:val="32"/>
        </w:rPr>
        <w:t>合同总额40%款项，即人民币</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元整；</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第三期：合同全部履约完成，乙方提交所有的成果文件，甲方出具履约评价，履约评价在“良好”及以上的，支付</w:t>
      </w:r>
      <w:r>
        <w:rPr>
          <w:rFonts w:hint="eastAsia" w:ascii="仿宋_GB2312" w:hAnsi="宋体" w:eastAsia="仿宋_GB2312" w:cs="宋体"/>
          <w:kern w:val="0"/>
          <w:sz w:val="32"/>
          <w:szCs w:val="32"/>
        </w:rPr>
        <w:t>合同总额30%款项，即人民币</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元整</w:t>
      </w:r>
      <w:r>
        <w:rPr>
          <w:rFonts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除双方重新达成协议外，本合同履行过程中的价款支付均通过本合同中指定的甲乙双方银行账号进行，在甲方付款前，乙方需提供国家正规税务发票。</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乙方指定的收款银行账户信息如下：</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开户银行：</w:t>
      </w:r>
      <w:r>
        <w:rPr>
          <w:rFonts w:ascii="仿宋" w:hAnsi="仿宋" w:eastAsia="仿宋" w:cs="仿宋"/>
          <w:sz w:val="32"/>
          <w:szCs w:val="32"/>
        </w:rPr>
        <w:t xml:space="preserve">                                  </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户名：</w:t>
      </w:r>
      <w:r>
        <w:rPr>
          <w:rFonts w:ascii="仿宋" w:hAnsi="仿宋" w:eastAsia="仿宋" w:cs="仿宋"/>
          <w:sz w:val="32"/>
          <w:szCs w:val="32"/>
        </w:rPr>
        <w:t xml:space="preserve">                                    </w:t>
      </w:r>
    </w:p>
    <w:p>
      <w:pPr>
        <w:spacing w:line="640" w:lineRule="exact"/>
        <w:ind w:firstLine="640" w:firstLineChars="200"/>
        <w:rPr>
          <w:rFonts w:ascii="黑体" w:hAnsi="黑体" w:eastAsia="黑体" w:cs="宋体"/>
          <w:kern w:val="0"/>
          <w:sz w:val="32"/>
          <w:szCs w:val="32"/>
        </w:rPr>
      </w:pPr>
      <w:r>
        <w:rPr>
          <w:rFonts w:hint="eastAsia" w:ascii="仿宋" w:hAnsi="仿宋" w:eastAsia="仿宋" w:cs="仿宋"/>
          <w:sz w:val="32"/>
          <w:szCs w:val="32"/>
        </w:rPr>
        <w:t>银行账号：</w:t>
      </w:r>
      <w:r>
        <w:rPr>
          <w:rFonts w:ascii="仿宋" w:hAnsi="仿宋" w:eastAsia="仿宋" w:cs="仿宋"/>
          <w:sz w:val="32"/>
          <w:szCs w:val="32"/>
        </w:rPr>
        <w:t xml:space="preserve"> </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ascii="仿宋" w:hAnsi="仿宋" w:eastAsia="仿宋" w:cs="仿宋"/>
          <w:sz w:val="32"/>
          <w:szCs w:val="32"/>
        </w:rPr>
        <w:t xml:space="preserve"> </w:t>
      </w:r>
      <w:r>
        <w:rPr>
          <w:rFonts w:hint="eastAsia" w:ascii="仿宋" w:hAnsi="仿宋" w:eastAsia="仿宋" w:cs="仿宋"/>
          <w:sz w:val="32"/>
          <w:szCs w:val="32"/>
        </w:rPr>
        <w:t>乙方确定因履行本合同应遵守的保密义务如下：</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保密内容（包括技术信息和经营信息）：甲方的管理等相关信息，乙方不得向第三方透露。</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涉密人员范围：乙方为履行本合同而指派的人员及其他可能了解甲方经营管理信息的技术信息人员。</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保密期限：</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技术保密期限：至项目验收后两年止。</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泄密责任：依法赔偿一切实际损失。</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第六条</w:t>
      </w:r>
      <w:r>
        <w:rPr>
          <w:rFonts w:ascii="仿宋" w:hAnsi="仿宋" w:eastAsia="仿宋" w:cs="仿宋"/>
          <w:sz w:val="32"/>
          <w:szCs w:val="32"/>
        </w:rPr>
        <w:t xml:space="preserve"> </w:t>
      </w:r>
      <w:r>
        <w:rPr>
          <w:rFonts w:hint="eastAsia" w:ascii="仿宋" w:hAnsi="仿宋" w:eastAsia="仿宋" w:cs="仿宋"/>
          <w:sz w:val="32"/>
          <w:szCs w:val="32"/>
        </w:rPr>
        <w:t>双方确定，按以下方式对乙方提交的工作成果进行验收：</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按照甲方要求完成物业管理项目安全防范应急预案现场指导技术服务日常工作。</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按照甲方要求完成物业管理项目安全生产工作现场督导技术服务日常工作。</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乙方向甲方提交工作成果的形式为对项目进行物业管理项目现场指导（抽查）报告和整改评价报告。</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甲方向乙方告知存在安全问题的物业管理项目时，乙方需在收到甲方告知后三个工作日内完成现场核查和情况汇报工作。</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甲方不定期对乙方相关工作进行抽查。</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第七条</w:t>
      </w:r>
      <w:r>
        <w:rPr>
          <w:rFonts w:ascii="仿宋" w:hAnsi="仿宋" w:eastAsia="仿宋" w:cs="仿宋"/>
          <w:sz w:val="32"/>
          <w:szCs w:val="32"/>
        </w:rPr>
        <w:t xml:space="preserve">  </w:t>
      </w:r>
      <w:r>
        <w:rPr>
          <w:rFonts w:hint="eastAsia" w:ascii="仿宋" w:hAnsi="仿宋" w:eastAsia="仿宋" w:cs="仿宋"/>
          <w:sz w:val="32"/>
          <w:szCs w:val="32"/>
        </w:rPr>
        <w:t>双方确定：</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1.成果归属:乙方在本合同项下完成所有的工作成果，包括但不限于声像片、资料、图表、软件以及其他形式的工作成果的所有权归属于甲方。</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2.成果转让和使用:在没有甲方事前书面同意的情况下，乙方不得擅自转让本合同项下产生的工作成果，不得在公开场合发表、公布以及使用。</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第八条</w:t>
      </w:r>
      <w:r>
        <w:rPr>
          <w:rFonts w:ascii="仿宋" w:hAnsi="仿宋" w:eastAsia="仿宋" w:cs="仿宋"/>
          <w:sz w:val="32"/>
          <w:szCs w:val="32"/>
        </w:rPr>
        <w:t xml:space="preserve"> 违约责任</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经甲方审核，如由于乙方原因造成未能在合同约定期限内完成服务内容或者履约评价不合格的，甲方有权要求乙方在指定期限内进行整改，直至甲方验收通过。逾期未整改或整改两次后仍不符合本合同约定或甲方要求的，甲方有权单方终止本合同，并有权视服务质量瑕疵严重程度在合同标的额20%以内进行扣款，造成甲方经济损失的，乙方应予以赔偿。</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本合同履行期间，如遇不可抗力，致使本合同不能履行或延迟履行的，双方不承担责任，但在不可抗力事件事故停止后或影响消除后，受影响的一方应及时采取有效措施进行补救，并尽快将情况书面告知对方。双方继续履行合同义务，合同有效期或相关履行合同的预定的期限相应延长。</w:t>
      </w:r>
    </w:p>
    <w:p>
      <w:pPr>
        <w:pStyle w:val="2"/>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本合同约定的不可抗力是指发生严重影响履行合同约定义务的战争、动乱、3级以上地震、疫情等不可预见、不可避免和不能克服的事件。</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3.因政府工作程序导致合同无法按时支付的，乙方放弃主张延迟支付利息、滞纳金的权利，以及放弃追究其它形式的违约责任。</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第九条</w:t>
      </w:r>
      <w:r>
        <w:rPr>
          <w:rFonts w:ascii="仿宋" w:hAnsi="仿宋" w:eastAsia="仿宋" w:cs="仿宋"/>
          <w:sz w:val="32"/>
          <w:szCs w:val="32"/>
        </w:rPr>
        <w:t xml:space="preserve"> </w:t>
      </w:r>
      <w:r>
        <w:rPr>
          <w:rFonts w:hint="eastAsia" w:ascii="仿宋" w:hAnsi="仿宋" w:eastAsia="仿宋" w:cs="仿宋"/>
          <w:sz w:val="32"/>
          <w:szCs w:val="32"/>
        </w:rPr>
        <w:t>双方因履行本合同而发生的争议，应协商、调解解决。协商、调解不成的，确定按以下第</w:t>
      </w:r>
      <w:r>
        <w:rPr>
          <w:rFonts w:ascii="仿宋" w:hAnsi="仿宋" w:eastAsia="仿宋" w:cs="仿宋"/>
          <w:sz w:val="32"/>
          <w:szCs w:val="32"/>
        </w:rPr>
        <w:t>2</w:t>
      </w:r>
      <w:r>
        <w:rPr>
          <w:rFonts w:hint="eastAsia" w:ascii="仿宋" w:hAnsi="仿宋" w:eastAsia="仿宋" w:cs="仿宋"/>
          <w:sz w:val="32"/>
          <w:szCs w:val="32"/>
        </w:rPr>
        <w:t>种方式处理：</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提交甲方所在地仲裁委员会仲裁；</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依法向甲方所在地人民法院起诉。</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第十条</w:t>
      </w:r>
      <w:r>
        <w:rPr>
          <w:rFonts w:ascii="仿宋" w:hAnsi="仿宋" w:eastAsia="仿宋" w:cs="仿宋"/>
          <w:sz w:val="32"/>
          <w:szCs w:val="32"/>
        </w:rPr>
        <w:t xml:space="preserve"> </w:t>
      </w:r>
      <w:r>
        <w:rPr>
          <w:rFonts w:hint="eastAsia" w:ascii="仿宋" w:hAnsi="仿宋" w:eastAsia="仿宋" w:cs="仿宋"/>
          <w:sz w:val="32"/>
          <w:szCs w:val="32"/>
        </w:rPr>
        <w:t>合同终止：</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1.甲方因工作安排、政府财政预算和上级部门要求等原因，可随时终止本合同，或根据实际工作要求调整合同工作内容、服务时间和团队人员及数量，并相应的调整合同价和付款方式。</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甲方因自身原因终止委托、解除本合同，对乙方已完成并提交相应成果的工作，应按照合同付清已完成阶段的咨询服务费用。</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乙方因自身原因无法履行合同，应退还全部服务费用。</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不可抗力导致的终止合同：如果不可抗力发生，如行政命令、政策法规、罢工、故意破坏、资方停工、禁运、战争、自然灾害（如洪水和地震）或其他超出协议双方控制的事件，因而一方无法履行合同，受到不可抗力影响的一方可以提前十五天书面通知对方终止合同。</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本合同因不可抗力而终止的，甲方应按乙方实际完成并提交成果的工作量支付报酬。</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本合同因任何原因终止的，在甲方根据合同约定支付相应的报酬后，已完成的指导（督导）报告的著作权等所有权利属于甲方所有，但甲方在自己的宣传材料中，应写明乙方为指导（督导）单位。乙方在取得甲方书面同意后，可以使用指导（督导）报告成果。</w:t>
      </w:r>
    </w:p>
    <w:p>
      <w:pPr>
        <w:spacing w:line="54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第十一条</w:t>
      </w:r>
      <w:r>
        <w:rPr>
          <w:rFonts w:ascii="仿宋" w:hAnsi="仿宋" w:eastAsia="仿宋" w:cs="仿宋"/>
          <w:sz w:val="32"/>
          <w:szCs w:val="32"/>
        </w:rPr>
        <w:t xml:space="preserve"> </w:t>
      </w:r>
      <w:r>
        <w:rPr>
          <w:rFonts w:hint="eastAsia" w:ascii="仿宋" w:hAnsi="仿宋" w:eastAsia="仿宋" w:cs="仿宋"/>
          <w:sz w:val="32"/>
          <w:szCs w:val="32"/>
        </w:rPr>
        <w:t>合同生效及其他约定</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本合同要求甲方提供的相关资料和文件与本合同一并使用，并与本合同具有同等法律效力，如两者之间有不符之处，以本合同为准。</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2.与履行本合同有关的下列技术文件，经双方以书面（含邮件或收条）方式确认后，为本合同的组成部分：</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（1）经双方确认的技术资料；</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（2）无；</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本合同未尽事宜，双方可签订补充协议作为附件，补充协议与本合同具有同等法律效力。</w:t>
      </w:r>
    </w:p>
    <w:p>
      <w:pPr>
        <w:spacing w:line="540" w:lineRule="exact"/>
        <w:ind w:firstLine="640" w:firstLineChars="200"/>
        <w:rPr>
          <w:rFonts w:ascii="宋体" w:hAnsi="宋体"/>
          <w:snapToGrid w:val="0"/>
          <w:kern w:val="0"/>
          <w:sz w:val="24"/>
        </w:rPr>
      </w:pPr>
      <w:r>
        <w:rPr>
          <w:rFonts w:ascii="仿宋" w:hAnsi="仿宋" w:eastAsia="仿宋" w:cs="仿宋"/>
          <w:sz w:val="32"/>
          <w:szCs w:val="32"/>
        </w:rPr>
        <w:t>4.</w:t>
      </w:r>
      <w:r>
        <w:rPr>
          <w:rFonts w:hint="eastAsia" w:ascii="仿宋" w:hAnsi="仿宋" w:eastAsia="仿宋" w:cs="仿宋"/>
          <w:sz w:val="32"/>
          <w:szCs w:val="32"/>
        </w:rPr>
        <w:t>本合同壹式陆份，甲乙双方各执叁份，自双方签字、盖章之日起生效，具有同等法律效力。</w:t>
      </w:r>
    </w:p>
    <w:p>
      <w:pPr>
        <w:spacing w:line="640" w:lineRule="exact"/>
        <w:rPr>
          <w:rFonts w:ascii="仿宋_GB2312" w:hAnsi="宋体" w:eastAsia="仿宋_GB2312" w:cs="宋体"/>
          <w:kern w:val="0"/>
          <w:sz w:val="32"/>
          <w:szCs w:val="32"/>
        </w:rPr>
      </w:pPr>
    </w:p>
    <w:p>
      <w:pPr>
        <w:spacing w:line="640" w:lineRule="exact"/>
        <w:rPr>
          <w:rFonts w:ascii="仿宋_GB2312" w:hAnsi="宋体" w:eastAsia="仿宋_GB2312" w:cs="宋体"/>
          <w:kern w:val="0"/>
          <w:sz w:val="32"/>
          <w:szCs w:val="32"/>
        </w:rPr>
      </w:pPr>
    </w:p>
    <w:p>
      <w:pPr>
        <w:spacing w:line="64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甲方：                           乙方：</w:t>
      </w:r>
    </w:p>
    <w:p>
      <w:pPr>
        <w:spacing w:line="640" w:lineRule="exact"/>
        <w:rPr>
          <w:rFonts w:ascii="仿宋_GB2312" w:hAnsi="宋体" w:eastAsia="仿宋_GB2312" w:cs="宋体"/>
          <w:kern w:val="0"/>
          <w:sz w:val="32"/>
          <w:szCs w:val="32"/>
        </w:rPr>
      </w:pPr>
    </w:p>
    <w:p>
      <w:pPr>
        <w:spacing w:line="64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法定代表人：（签名）             法定代表人：（签名）</w:t>
      </w:r>
    </w:p>
    <w:p>
      <w:pPr>
        <w:spacing w:line="640" w:lineRule="exact"/>
        <w:rPr>
          <w:rFonts w:ascii="仿宋_GB2312" w:hAnsi="宋体" w:eastAsia="仿宋_GB2312" w:cs="宋体"/>
          <w:kern w:val="0"/>
          <w:sz w:val="32"/>
          <w:szCs w:val="32"/>
        </w:rPr>
      </w:pPr>
    </w:p>
    <w:p>
      <w:pPr>
        <w:spacing w:line="64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时间：                            时间：</w:t>
      </w:r>
    </w:p>
    <w:p>
      <w:pPr>
        <w:spacing w:line="640" w:lineRule="exact"/>
        <w:rPr>
          <w:rFonts w:ascii="仿宋_GB2312" w:hAnsi="宋体" w:eastAsia="仿宋_GB2312" w:cs="宋体"/>
          <w:kern w:val="0"/>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p>
    <w:p>
      <w:pPr>
        <w:pStyle w:val="17"/>
        <w:spacing w:line="560" w:lineRule="exact"/>
        <w:ind w:firstLine="0" w:firstLineChars="0"/>
        <w:jc w:val="left"/>
        <w:rPr>
          <w:rFonts w:ascii="宋体" w:hAnsi="宋体"/>
          <w:bCs/>
          <w:sz w:val="32"/>
          <w:szCs w:val="32"/>
        </w:rPr>
      </w:pPr>
      <w:r>
        <w:rPr>
          <w:rFonts w:hint="eastAsia" w:ascii="宋体" w:hAnsi="宋体"/>
          <w:bCs/>
          <w:sz w:val="32"/>
          <w:szCs w:val="32"/>
        </w:rPr>
        <w:t>附件</w:t>
      </w:r>
      <w:r>
        <w:rPr>
          <w:rFonts w:ascii="宋体" w:hAnsi="宋体"/>
          <w:bCs/>
          <w:sz w:val="32"/>
          <w:szCs w:val="32"/>
        </w:rPr>
        <w:t>2</w:t>
      </w:r>
    </w:p>
    <w:p>
      <w:pPr>
        <w:pStyle w:val="10"/>
        <w:tabs>
          <w:tab w:val="clear" w:pos="426"/>
        </w:tabs>
        <w:outlineLvl w:val="0"/>
        <w:rPr>
          <w:rFonts w:ascii="宋体" w:hAnsi="宋体"/>
          <w:bCs w:val="0"/>
          <w:sz w:val="36"/>
          <w:szCs w:val="36"/>
        </w:rPr>
      </w:pPr>
      <w:bookmarkStart w:id="0" w:name="_Toc481154926"/>
      <w:r>
        <w:rPr>
          <w:rFonts w:hint="eastAsia" w:ascii="宋体" w:hAnsi="宋体"/>
          <w:bCs w:val="0"/>
          <w:sz w:val="36"/>
          <w:szCs w:val="36"/>
        </w:rPr>
        <w:t>资格、符合性评审条款</w:t>
      </w:r>
      <w:bookmarkEnd w:id="0"/>
    </w:p>
    <w:p>
      <w:pPr>
        <w:tabs>
          <w:tab w:val="left" w:pos="426"/>
        </w:tabs>
        <w:spacing w:line="520" w:lineRule="exact"/>
        <w:ind w:left="1050" w:hanging="1050" w:hangingChars="500"/>
        <w:rPr>
          <w:u w:val="single"/>
        </w:rPr>
      </w:pPr>
      <w:r>
        <w:rPr>
          <w:rFonts w:hint="eastAsia"/>
        </w:rPr>
        <w:t>项目名称：</w:t>
      </w:r>
      <w:r>
        <w:rPr>
          <w:rFonts w:hint="eastAsia"/>
          <w:u w:val="single"/>
        </w:rPr>
        <w:t xml:space="preserve">南山区物业行业安全管理指导服务项目                    </w:t>
      </w:r>
    </w:p>
    <w:p>
      <w:pPr>
        <w:spacing w:beforeLines="50" w:afterLines="50"/>
        <w:rPr>
          <w:rFonts w:ascii="黑体" w:eastAsia="黑体"/>
          <w:sz w:val="28"/>
          <w:szCs w:val="28"/>
        </w:rPr>
      </w:pPr>
      <w:r>
        <w:rPr>
          <w:rFonts w:hint="eastAsia"/>
        </w:rPr>
        <w:t>项目编号：</w:t>
      </w:r>
      <w:r>
        <w:rPr>
          <w:u w:val="single"/>
        </w:rPr>
        <w:t xml:space="preserve">                                                          </w:t>
      </w:r>
    </w:p>
    <w:tbl>
      <w:tblPr>
        <w:tblStyle w:val="11"/>
        <w:tblW w:w="90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pPr>
              <w:jc w:val="center"/>
              <w:rPr>
                <w:b/>
              </w:rPr>
            </w:pPr>
            <w:r>
              <w:rPr>
                <w:rFonts w:hint="eastAsia"/>
                <w:b/>
              </w:rPr>
              <w:t>序号</w:t>
            </w:r>
          </w:p>
        </w:tc>
        <w:tc>
          <w:tcPr>
            <w:tcW w:w="8385" w:type="dxa"/>
            <w:vAlign w:val="center"/>
          </w:tcPr>
          <w:p>
            <w:pPr>
              <w:jc w:val="center"/>
              <w:rPr>
                <w:b/>
              </w:rPr>
            </w:pPr>
            <w:r>
              <w:rPr>
                <w:rFonts w:hint="eastAsia"/>
                <w:b/>
              </w:rPr>
              <w:t>评</w:t>
            </w:r>
            <w:r>
              <w:rPr>
                <w:b/>
              </w:rPr>
              <w:t xml:space="preserve"> </w:t>
            </w:r>
            <w:r>
              <w:rPr>
                <w:rFonts w:hint="eastAsia"/>
                <w:b/>
              </w:rPr>
              <w:t>审</w:t>
            </w:r>
            <w:r>
              <w:rPr>
                <w:b/>
              </w:rPr>
              <w:t xml:space="preserve"> </w:t>
            </w:r>
            <w:r>
              <w:rPr>
                <w:rFonts w:hint="eastAsia"/>
                <w:b/>
              </w:rPr>
              <w:t>内</w:t>
            </w:r>
            <w:r>
              <w:rPr>
                <w:b/>
              </w:rPr>
              <w:t xml:space="preserve"> </w:t>
            </w:r>
            <w:r>
              <w:rPr>
                <w:rFonts w:hint="eastAsia"/>
                <w:b/>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71" w:type="dxa"/>
            <w:gridSpan w:val="2"/>
            <w:vAlign w:val="center"/>
          </w:tcPr>
          <w:p>
            <w:pPr>
              <w:jc w:val="center"/>
              <w:rPr>
                <w:b/>
              </w:rPr>
            </w:pPr>
            <w:r>
              <w:rPr>
                <w:rFonts w:hint="eastAsia"/>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86" w:type="dxa"/>
            <w:vAlign w:val="center"/>
          </w:tcPr>
          <w:p>
            <w:pPr>
              <w:numPr>
                <w:ilvl w:val="0"/>
                <w:numId w:val="5"/>
              </w:numPr>
              <w:ind w:right="210"/>
              <w:jc w:val="center"/>
            </w:pPr>
          </w:p>
        </w:tc>
        <w:tc>
          <w:tcPr>
            <w:tcW w:w="8385" w:type="dxa"/>
            <w:vAlign w:val="center"/>
          </w:tcPr>
          <w:p>
            <w:r>
              <w:rPr>
                <w:rFonts w:hint="eastAsia"/>
              </w:rPr>
              <w:t>投标人具备招标资格要求，且提交相应资格证明材料；(详见采购公告“投标人资格要求”，其中未列示的资格要求不得导致废标。)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71" w:type="dxa"/>
            <w:gridSpan w:val="2"/>
            <w:vAlign w:val="center"/>
          </w:tcPr>
          <w:p>
            <w:pPr>
              <w:jc w:val="center"/>
            </w:pPr>
            <w:r>
              <w:rPr>
                <w:rFonts w:hint="eastAsia"/>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未出现将一个包中的内容拆开投标；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投标文件及开标一览表按规定密封、签字、盖章；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投标函已提交并符合招标文件要求的；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686" w:type="dxa"/>
            <w:vAlign w:val="center"/>
          </w:tcPr>
          <w:p>
            <w:pPr>
              <w:numPr>
                <w:ilvl w:val="0"/>
                <w:numId w:val="6"/>
              </w:numPr>
            </w:pPr>
          </w:p>
        </w:tc>
        <w:tc>
          <w:tcPr>
            <w:tcW w:w="8385" w:type="dxa"/>
            <w:vAlign w:val="center"/>
          </w:tcPr>
          <w:p>
            <w:r>
              <w:rPr>
                <w:rFonts w:hint="eastAsia"/>
              </w:rPr>
              <w:t>投标人应准备投标文件正本一套和副本四套，文件封面应清楚地标明“正本”或“副本”，当正本与副本有不一致时，以正本为准。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86" w:type="dxa"/>
            <w:vAlign w:val="center"/>
          </w:tcPr>
          <w:p>
            <w:pPr>
              <w:numPr>
                <w:ilvl w:val="0"/>
                <w:numId w:val="6"/>
              </w:numPr>
            </w:pPr>
          </w:p>
        </w:tc>
        <w:tc>
          <w:tcPr>
            <w:tcW w:w="8385" w:type="dxa"/>
            <w:vAlign w:val="center"/>
          </w:tcPr>
          <w:p>
            <w:r>
              <w:rPr>
                <w:rFonts w:hint="eastAsia"/>
              </w:rPr>
              <w:t>按照招标文件规定要求签署、盖章且投标文件有法定代表人签字，或签字人有法定代表人有效授权书的；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投标总价或分项报价不高于财政预算限额；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同一项目未出现两个及以上报价；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投标人报价不低于其成本，或低于成本，能作出合理说明；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投标报价未有严重缺漏项目；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投标文件载明的交货期满足招标文件规定；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所投产品、工程、服务在质量、技术、方案等方面实质性满足招标文件要求；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投标文件没有招标文件中规定的其它无效投标条款的；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6"/>
              </w:numPr>
            </w:pPr>
          </w:p>
        </w:tc>
        <w:tc>
          <w:tcPr>
            <w:tcW w:w="8385" w:type="dxa"/>
            <w:vAlign w:val="center"/>
          </w:tcPr>
          <w:p>
            <w:r>
              <w:rPr>
                <w:rFonts w:hint="eastAsia"/>
              </w:rPr>
              <w:t>按有关法律、法规、规章不属于投标无效的。</w:t>
            </w:r>
          </w:p>
        </w:tc>
      </w:tr>
    </w:tbl>
    <w:p>
      <w:pPr>
        <w:spacing w:beforeLines="50" w:afterLines="50" w:line="500" w:lineRule="exact"/>
        <w:outlineLvl w:val="0"/>
        <w:rPr>
          <w:rFonts w:ascii="仿宋" w:hAnsi="仿宋" w:eastAsia="仿宋" w:cs="仿宋_GB2312"/>
          <w:sz w:val="32"/>
        </w:rPr>
      </w:pPr>
    </w:p>
    <w:p>
      <w:pPr>
        <w:outlineLvl w:val="0"/>
        <w:rPr>
          <w:rFonts w:ascii="宋体" w:hAnsi="宋体"/>
          <w:sz w:val="44"/>
          <w:szCs w:val="44"/>
        </w:rPr>
      </w:pPr>
    </w:p>
    <w:p>
      <w:pPr>
        <w:outlineLvl w:val="0"/>
        <w:rPr>
          <w:rFonts w:ascii="宋体" w:hAnsi="宋体"/>
          <w:sz w:val="44"/>
          <w:szCs w:val="44"/>
        </w:rPr>
      </w:pPr>
    </w:p>
    <w:p>
      <w:pPr>
        <w:outlineLvl w:val="0"/>
        <w:rPr>
          <w:rFonts w:ascii="黑体" w:hAnsi="黑体" w:eastAsia="黑体"/>
          <w:b/>
          <w:bCs/>
          <w:sz w:val="32"/>
          <w:szCs w:val="32"/>
        </w:rPr>
      </w:pPr>
      <w:r>
        <w:rPr>
          <w:rFonts w:hint="eastAsia" w:ascii="宋体" w:hAnsi="宋体"/>
          <w:sz w:val="44"/>
          <w:szCs w:val="44"/>
        </w:rPr>
        <w:t>附件</w:t>
      </w:r>
      <w:r>
        <w:rPr>
          <w:rFonts w:ascii="宋体" w:hAnsi="宋体"/>
          <w:sz w:val="44"/>
          <w:szCs w:val="44"/>
        </w:rPr>
        <w:t>3</w:t>
      </w:r>
      <w:r>
        <w:rPr>
          <w:rFonts w:hint="eastAsia" w:ascii="宋体" w:hAnsi="宋体"/>
          <w:sz w:val="44"/>
          <w:szCs w:val="44"/>
        </w:rPr>
        <w:t xml:space="preserve"> </w:t>
      </w:r>
      <w:r>
        <w:rPr>
          <w:rFonts w:hint="eastAsia" w:asciiTheme="majorEastAsia" w:hAnsiTheme="majorEastAsia" w:eastAsiaTheme="majorEastAsia" w:cstheme="majorEastAsia"/>
          <w:sz w:val="44"/>
          <w:szCs w:val="44"/>
        </w:rPr>
        <w:t>投标文件参考格式</w:t>
      </w:r>
    </w:p>
    <w:p>
      <w:pPr>
        <w:rPr>
          <w:rFonts w:ascii="仿宋_GB2312" w:eastAsia="仿宋_GB2312"/>
          <w:b/>
          <w:sz w:val="32"/>
          <w:szCs w:val="32"/>
        </w:rPr>
      </w:pPr>
      <w:r>
        <w:rPr>
          <w:rFonts w:hint="eastAsia" w:ascii="仿宋_GB2312" w:eastAsia="仿宋_GB2312"/>
          <w:b/>
          <w:sz w:val="32"/>
          <w:szCs w:val="32"/>
        </w:rPr>
        <w:t>投标文件正文（信息公开部分）：</w:t>
      </w:r>
    </w:p>
    <w:p>
      <w:pPr>
        <w:pStyle w:val="4"/>
        <w:jc w:val="center"/>
        <w:rPr>
          <w:rFonts w:ascii="黑体" w:eastAsia="黑体"/>
          <w:b w:val="0"/>
          <w:kern w:val="0"/>
          <w:szCs w:val="28"/>
        </w:rPr>
      </w:pPr>
      <w:r>
        <w:rPr>
          <w:rFonts w:hint="eastAsia" w:ascii="黑体" w:eastAsia="黑体"/>
          <w:b w:val="0"/>
          <w:kern w:val="0"/>
          <w:szCs w:val="28"/>
        </w:rPr>
        <w:t>（一）法定代表人资格证明书</w:t>
      </w:r>
    </w:p>
    <w:p>
      <w:pPr>
        <w:spacing w:line="360" w:lineRule="auto"/>
        <w:ind w:firstLine="1540" w:firstLineChars="550"/>
        <w:rPr>
          <w:sz w:val="28"/>
          <w:szCs w:val="28"/>
        </w:rPr>
      </w:pPr>
      <w:r>
        <w:rPr>
          <w:rFonts w:hint="eastAsia"/>
          <w:sz w:val="28"/>
          <w:szCs w:val="28"/>
        </w:rPr>
        <w:t>同志，现任我单位职务，为法定代表人，特此证明。</w:t>
      </w:r>
    </w:p>
    <w:p>
      <w:pPr>
        <w:spacing w:line="360" w:lineRule="auto"/>
        <w:rPr>
          <w:sz w:val="28"/>
          <w:szCs w:val="28"/>
        </w:rPr>
      </w:pPr>
      <w:r>
        <w:rPr>
          <w:rFonts w:hint="eastAsia"/>
          <w:sz w:val="28"/>
          <w:szCs w:val="28"/>
        </w:rPr>
        <w:t>有效日期：签发日期：单位：</w:t>
      </w:r>
    </w:p>
    <w:p>
      <w:pPr>
        <w:spacing w:line="360" w:lineRule="auto"/>
        <w:rPr>
          <w:sz w:val="28"/>
          <w:szCs w:val="28"/>
        </w:rPr>
      </w:pPr>
      <w:r>
        <w:rPr>
          <w:rFonts w:hint="eastAsia"/>
          <w:sz w:val="28"/>
          <w:szCs w:val="28"/>
        </w:rPr>
        <w:t>附：</w:t>
      </w:r>
    </w:p>
    <w:p>
      <w:pPr>
        <w:spacing w:line="360" w:lineRule="auto"/>
        <w:rPr>
          <w:sz w:val="28"/>
          <w:szCs w:val="28"/>
        </w:rPr>
      </w:pPr>
      <w:r>
        <w:rPr>
          <w:rFonts w:hint="eastAsia"/>
          <w:sz w:val="28"/>
          <w:szCs w:val="28"/>
        </w:rPr>
        <w:t>营业执照号码：经济性质：</w:t>
      </w:r>
    </w:p>
    <w:p>
      <w:pPr>
        <w:spacing w:line="360" w:lineRule="auto"/>
        <w:rPr>
          <w:sz w:val="28"/>
          <w:szCs w:val="28"/>
        </w:rPr>
      </w:pPr>
      <w:r>
        <w:rPr>
          <w:rFonts w:hint="eastAsia"/>
          <w:sz w:val="28"/>
          <w:szCs w:val="28"/>
        </w:rPr>
        <w:t>主营：</w:t>
      </w:r>
    </w:p>
    <w:p>
      <w:pPr>
        <w:spacing w:line="360" w:lineRule="auto"/>
        <w:rPr>
          <w:sz w:val="28"/>
          <w:szCs w:val="28"/>
        </w:rPr>
      </w:pPr>
      <w:r>
        <w:rPr>
          <w:rFonts w:hint="eastAsia"/>
          <w:sz w:val="28"/>
          <w:szCs w:val="28"/>
        </w:rPr>
        <w:t>兼营：</w:t>
      </w:r>
    </w:p>
    <w:p>
      <w:pPr>
        <w:spacing w:line="360" w:lineRule="auto"/>
        <w:ind w:firstLine="560" w:firstLineChars="200"/>
        <w:rPr>
          <w:sz w:val="28"/>
          <w:szCs w:val="28"/>
        </w:rPr>
      </w:pPr>
      <w:r>
        <w:rPr>
          <w:rFonts w:hint="eastAsia"/>
          <w:sz w:val="28"/>
          <w:szCs w:val="28"/>
        </w:rPr>
        <w:t>说明：</w:t>
      </w:r>
    </w:p>
    <w:p>
      <w:pPr>
        <w:spacing w:line="360" w:lineRule="auto"/>
        <w:ind w:firstLine="700" w:firstLineChars="250"/>
        <w:rPr>
          <w:sz w:val="28"/>
          <w:szCs w:val="28"/>
        </w:rPr>
      </w:pPr>
      <w:r>
        <w:rPr>
          <w:rFonts w:hint="eastAsia"/>
          <w:sz w:val="28"/>
          <w:szCs w:val="28"/>
        </w:rPr>
        <w:t>1、法定代表人为企业事业单位、国家机关、社会团体的主要行政负责人。</w:t>
      </w:r>
    </w:p>
    <w:p>
      <w:pPr>
        <w:rPr>
          <w:sz w:val="28"/>
          <w:szCs w:val="28"/>
        </w:rPr>
      </w:pPr>
      <w:r>
        <w:rPr>
          <w:rFonts w:hint="eastAsia"/>
          <w:sz w:val="28"/>
          <w:szCs w:val="28"/>
        </w:rPr>
        <w:t xml:space="preserve">     2、内容必须填写真实、清楚，涂改无效，不得转让、买卖。</w:t>
      </w:r>
    </w:p>
    <w:p>
      <w:pPr>
        <w:pStyle w:val="4"/>
        <w:spacing w:before="120" w:after="120"/>
        <w:jc w:val="center"/>
        <w:rPr>
          <w:rFonts w:ascii="黑体" w:eastAsia="黑体"/>
          <w:b w:val="0"/>
          <w:kern w:val="0"/>
          <w:szCs w:val="28"/>
        </w:rPr>
      </w:pPr>
    </w:p>
    <w:p>
      <w:pPr>
        <w:pStyle w:val="4"/>
        <w:spacing w:before="120" w:after="120"/>
        <w:jc w:val="center"/>
        <w:rPr>
          <w:rFonts w:ascii="黑体" w:eastAsia="黑体"/>
          <w:b w:val="0"/>
          <w:kern w:val="0"/>
          <w:szCs w:val="28"/>
        </w:rPr>
      </w:pPr>
    </w:p>
    <w:p/>
    <w:p>
      <w:pPr>
        <w:pStyle w:val="4"/>
        <w:spacing w:before="120" w:after="120"/>
        <w:rPr>
          <w:rFonts w:ascii="黑体" w:eastAsia="黑体"/>
          <w:b w:val="0"/>
          <w:kern w:val="0"/>
          <w:szCs w:val="28"/>
        </w:rPr>
      </w:pPr>
    </w:p>
    <w:p>
      <w:pPr>
        <w:rPr>
          <w:rFonts w:ascii="黑体" w:eastAsia="黑体"/>
          <w:kern w:val="0"/>
          <w:szCs w:val="28"/>
        </w:rPr>
      </w:pPr>
    </w:p>
    <w:p>
      <w:pPr>
        <w:pStyle w:val="2"/>
      </w:pPr>
    </w:p>
    <w:p>
      <w:pPr>
        <w:pStyle w:val="4"/>
        <w:spacing w:before="120" w:after="120"/>
        <w:jc w:val="center"/>
        <w:rPr>
          <w:rFonts w:ascii="黑体" w:eastAsia="黑体"/>
          <w:b w:val="0"/>
          <w:kern w:val="0"/>
          <w:szCs w:val="28"/>
        </w:rPr>
      </w:pPr>
    </w:p>
    <w:p>
      <w:pPr>
        <w:pStyle w:val="4"/>
        <w:spacing w:before="120" w:after="120"/>
        <w:jc w:val="center"/>
        <w:rPr>
          <w:rFonts w:ascii="黑体" w:eastAsia="黑体"/>
          <w:b w:val="0"/>
          <w:kern w:val="0"/>
          <w:szCs w:val="28"/>
        </w:rPr>
      </w:pPr>
      <w:r>
        <w:rPr>
          <w:rFonts w:hint="eastAsia" w:ascii="黑体" w:eastAsia="黑体"/>
          <w:b w:val="0"/>
          <w:kern w:val="0"/>
          <w:szCs w:val="28"/>
        </w:rPr>
        <w:t>（二）、投标文件签署授权委托书</w:t>
      </w:r>
    </w:p>
    <w:p>
      <w:pPr>
        <w:spacing w:line="360" w:lineRule="auto"/>
        <w:ind w:firstLine="560" w:firstLineChars="200"/>
        <w:rPr>
          <w:sz w:val="28"/>
          <w:szCs w:val="28"/>
        </w:rPr>
      </w:pPr>
      <w:r>
        <w:rPr>
          <w:rFonts w:hint="eastAsia"/>
          <w:sz w:val="28"/>
          <w:szCs w:val="28"/>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pStyle w:val="6"/>
        <w:spacing w:line="360" w:lineRule="auto"/>
        <w:rPr>
          <w:sz w:val="28"/>
          <w:szCs w:val="28"/>
        </w:rPr>
      </w:pPr>
      <w:r>
        <w:rPr>
          <w:rFonts w:hint="eastAsia"/>
          <w:sz w:val="28"/>
          <w:szCs w:val="28"/>
        </w:rPr>
        <w:t>代理人无转委托权，特此委托。</w:t>
      </w:r>
    </w:p>
    <w:p>
      <w:pPr>
        <w:spacing w:line="360" w:lineRule="auto"/>
        <w:ind w:left="540" w:leftChars="257"/>
        <w:rPr>
          <w:sz w:val="28"/>
          <w:szCs w:val="28"/>
          <w:u w:val="single"/>
        </w:rPr>
      </w:pPr>
      <w:r>
        <w:rPr>
          <w:rFonts w:hint="eastAsia"/>
          <w:sz w:val="28"/>
          <w:szCs w:val="28"/>
        </w:rPr>
        <w:t>代理人：</w:t>
      </w:r>
    </w:p>
    <w:p>
      <w:pPr>
        <w:spacing w:line="360" w:lineRule="auto"/>
        <w:ind w:left="540" w:leftChars="257"/>
        <w:rPr>
          <w:sz w:val="28"/>
          <w:szCs w:val="28"/>
        </w:rPr>
      </w:pPr>
      <w:r>
        <w:rPr>
          <w:rFonts w:hint="eastAsia"/>
          <w:sz w:val="28"/>
          <w:szCs w:val="28"/>
        </w:rPr>
        <w:t>投标人：</w:t>
      </w:r>
    </w:p>
    <w:p>
      <w:pPr>
        <w:spacing w:line="360" w:lineRule="auto"/>
        <w:ind w:left="540" w:leftChars="257"/>
        <w:rPr>
          <w:sz w:val="28"/>
          <w:szCs w:val="28"/>
        </w:rPr>
      </w:pPr>
      <w:r>
        <w:rPr>
          <w:rFonts w:hint="eastAsia"/>
          <w:sz w:val="28"/>
          <w:szCs w:val="28"/>
        </w:rPr>
        <w:t>法定代表人：</w:t>
      </w:r>
    </w:p>
    <w:p>
      <w:pPr>
        <w:spacing w:line="360" w:lineRule="auto"/>
        <w:ind w:left="540" w:leftChars="257"/>
        <w:rPr>
          <w:sz w:val="28"/>
          <w:szCs w:val="28"/>
        </w:rPr>
      </w:pPr>
      <w:r>
        <w:rPr>
          <w:rFonts w:hint="eastAsia"/>
          <w:sz w:val="28"/>
          <w:szCs w:val="28"/>
        </w:rPr>
        <w:t>授权委托日期：      年   月   日</w:t>
      </w:r>
    </w:p>
    <w:p>
      <w:pPr>
        <w:pStyle w:val="4"/>
        <w:jc w:val="center"/>
        <w:rPr>
          <w:rFonts w:ascii="黑体" w:eastAsia="黑体"/>
          <w:b w:val="0"/>
          <w:kern w:val="0"/>
          <w:szCs w:val="28"/>
        </w:rPr>
      </w:pPr>
    </w:p>
    <w:p>
      <w:pPr>
        <w:pStyle w:val="4"/>
        <w:jc w:val="center"/>
        <w:rPr>
          <w:rFonts w:ascii="黑体" w:eastAsia="黑体"/>
          <w:b w:val="0"/>
          <w:kern w:val="0"/>
          <w:szCs w:val="28"/>
        </w:rPr>
      </w:pPr>
    </w:p>
    <w:p>
      <w:pPr>
        <w:rPr>
          <w:rFonts w:ascii="黑体" w:eastAsia="黑体"/>
          <w:kern w:val="0"/>
          <w:szCs w:val="28"/>
        </w:rPr>
      </w:pPr>
      <w:r>
        <w:rPr>
          <w:rFonts w:hint="eastAsia" w:ascii="黑体" w:eastAsia="黑体"/>
          <w:kern w:val="0"/>
          <w:szCs w:val="28"/>
        </w:rPr>
        <w:br w:type="page"/>
      </w:r>
    </w:p>
    <w:p>
      <w:pPr>
        <w:pStyle w:val="4"/>
        <w:jc w:val="center"/>
        <w:rPr>
          <w:rFonts w:ascii="黑体" w:eastAsia="黑体"/>
          <w:b w:val="0"/>
          <w:kern w:val="0"/>
          <w:szCs w:val="28"/>
        </w:rPr>
      </w:pPr>
      <w:r>
        <w:rPr>
          <w:rFonts w:hint="eastAsia" w:ascii="黑体" w:eastAsia="黑体"/>
          <w:b w:val="0"/>
          <w:kern w:val="0"/>
          <w:szCs w:val="28"/>
        </w:rPr>
        <w:t>（三）、履约承诺函</w:t>
      </w:r>
    </w:p>
    <w:p>
      <w:pPr>
        <w:rPr>
          <w:rFonts w:ascii="宋体" w:hAnsi="宋体"/>
          <w:sz w:val="28"/>
          <w:szCs w:val="28"/>
        </w:rPr>
      </w:pP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深圳市南山区住房和建设局</w:t>
      </w:r>
    </w:p>
    <w:p>
      <w:pPr>
        <w:ind w:firstLine="540"/>
        <w:rPr>
          <w:rFonts w:ascii="宋体" w:hAnsi="宋体"/>
          <w:sz w:val="28"/>
          <w:szCs w:val="28"/>
        </w:rPr>
      </w:pPr>
      <w:r>
        <w:rPr>
          <w:rFonts w:hint="eastAsia" w:ascii="宋体" w:hAnsi="宋体"/>
          <w:sz w:val="28"/>
          <w:szCs w:val="28"/>
        </w:rPr>
        <w:t>我单位承诺：</w:t>
      </w:r>
    </w:p>
    <w:p>
      <w:pPr>
        <w:numPr>
          <w:ilvl w:val="0"/>
          <w:numId w:val="7"/>
        </w:numPr>
        <w:rPr>
          <w:rFonts w:ascii="宋体" w:hAnsi="宋体"/>
          <w:sz w:val="28"/>
          <w:szCs w:val="28"/>
        </w:rPr>
      </w:pPr>
      <w:r>
        <w:rPr>
          <w:rFonts w:hint="eastAsia" w:ascii="宋体" w:hAnsi="宋体"/>
          <w:sz w:val="28"/>
          <w:szCs w:val="28"/>
        </w:rPr>
        <w:t>对本招标项目所提供的服务未侵犯知识产权。</w:t>
      </w:r>
    </w:p>
    <w:p>
      <w:pPr>
        <w:ind w:firstLine="540"/>
        <w:rPr>
          <w:rFonts w:ascii="宋体" w:hAnsi="宋体"/>
          <w:sz w:val="28"/>
          <w:szCs w:val="28"/>
        </w:rPr>
      </w:pPr>
      <w:r>
        <w:rPr>
          <w:rFonts w:hint="eastAsia" w:ascii="宋体" w:hAnsi="宋体"/>
          <w:sz w:val="28"/>
          <w:szCs w:val="28"/>
        </w:rPr>
        <w:t>2、经分析研究贵方提供的本项目招标文件，我单位愿以  万元接受本项目任务，严格按照招标人工作安排执行，不再提出其他要求。</w:t>
      </w:r>
    </w:p>
    <w:p>
      <w:pPr>
        <w:ind w:firstLine="540"/>
        <w:rPr>
          <w:rFonts w:ascii="宋体" w:hAnsi="宋体"/>
          <w:sz w:val="28"/>
          <w:szCs w:val="28"/>
        </w:rPr>
      </w:pPr>
      <w:r>
        <w:rPr>
          <w:rFonts w:hint="eastAsia" w:ascii="宋体" w:hAnsi="宋体"/>
          <w:sz w:val="28"/>
          <w:szCs w:val="28"/>
        </w:rPr>
        <w:t>3.我公司参与该项目投标，严格遵守政府采购相关法律，投标做到诚实，不造假，不围标、串标、陪标。我公司已清楚，如违反上述要求，其投标将作废，被列入不良记录名单并在网上曝光。</w:t>
      </w:r>
    </w:p>
    <w:p>
      <w:pPr>
        <w:ind w:firstLine="540"/>
        <w:rPr>
          <w:rFonts w:ascii="宋体" w:hAnsi="宋体"/>
          <w:sz w:val="28"/>
          <w:szCs w:val="28"/>
        </w:rPr>
      </w:pPr>
      <w:r>
        <w:rPr>
          <w:rFonts w:hint="eastAsia" w:ascii="宋体" w:hAnsi="宋体"/>
          <w:sz w:val="28"/>
          <w:szCs w:val="28"/>
        </w:rPr>
        <w:t>4.如果中标，做到守信依照本项目招标文件需求内容、签署合同及本公司在投标中所作的一切承诺履约。项目验收达到全部指标合格，力争优良。</w:t>
      </w:r>
    </w:p>
    <w:p>
      <w:pPr>
        <w:ind w:firstLine="540"/>
        <w:rPr>
          <w:rFonts w:ascii="宋体" w:hAnsi="宋体"/>
          <w:sz w:val="28"/>
          <w:szCs w:val="28"/>
        </w:rPr>
      </w:pPr>
      <w:r>
        <w:rPr>
          <w:rFonts w:hint="eastAsia" w:ascii="宋体" w:hAnsi="宋体"/>
          <w:sz w:val="28"/>
          <w:szCs w:val="28"/>
        </w:rPr>
        <w:t>以上承诺，如有违反，愿依照国家相关法律处理，并承担由此给采购人带来的损失。</w:t>
      </w:r>
    </w:p>
    <w:p>
      <w:pPr>
        <w:ind w:firstLine="645"/>
        <w:rPr>
          <w:rFonts w:ascii="宋体" w:hAnsi="宋体"/>
          <w:sz w:val="28"/>
          <w:szCs w:val="28"/>
        </w:rPr>
      </w:pPr>
      <w:r>
        <w:rPr>
          <w:rFonts w:hint="eastAsia" w:ascii="宋体" w:hAnsi="宋体"/>
          <w:sz w:val="28"/>
          <w:szCs w:val="28"/>
        </w:rPr>
        <w:t xml:space="preserve">                            投标单位名称：</w:t>
      </w:r>
    </w:p>
    <w:p>
      <w:pPr>
        <w:ind w:firstLine="645"/>
        <w:rPr>
          <w:rFonts w:ascii="宋体" w:hAnsi="宋体"/>
          <w:sz w:val="28"/>
          <w:szCs w:val="28"/>
        </w:rPr>
      </w:pPr>
      <w:r>
        <w:rPr>
          <w:rFonts w:hint="eastAsia" w:ascii="宋体" w:hAnsi="宋体"/>
          <w:sz w:val="28"/>
          <w:szCs w:val="28"/>
        </w:rPr>
        <w:t xml:space="preserve">                            法人代表签字：</w:t>
      </w:r>
    </w:p>
    <w:p>
      <w:pPr>
        <w:pStyle w:val="2"/>
        <w:ind w:firstLine="560" w:firstLineChars="200"/>
        <w:rPr>
          <w:rFonts w:ascii="宋体"/>
          <w:b w:val="0"/>
          <w:sz w:val="28"/>
          <w:szCs w:val="28"/>
        </w:rPr>
      </w:pPr>
      <w:r>
        <w:rPr>
          <w:rFonts w:hint="eastAsia" w:ascii="宋体"/>
          <w:b w:val="0"/>
          <w:sz w:val="28"/>
          <w:szCs w:val="28"/>
        </w:rPr>
        <w:t xml:space="preserve">                             二〇    年   月    日</w:t>
      </w:r>
    </w:p>
    <w:p>
      <w:pPr>
        <w:rPr>
          <w:rFonts w:ascii="黑体" w:eastAsia="黑体"/>
          <w:kern w:val="0"/>
          <w:szCs w:val="28"/>
        </w:rPr>
      </w:pPr>
      <w:r>
        <w:rPr>
          <w:rFonts w:hint="eastAsia" w:ascii="黑体" w:eastAsia="黑体"/>
          <w:kern w:val="0"/>
          <w:szCs w:val="28"/>
        </w:rPr>
        <w:br w:type="page"/>
      </w:r>
    </w:p>
    <w:p>
      <w:pPr>
        <w:pStyle w:val="4"/>
        <w:spacing w:before="120" w:after="120"/>
        <w:jc w:val="center"/>
        <w:rPr>
          <w:rFonts w:ascii="黑体" w:eastAsia="黑体"/>
          <w:b w:val="0"/>
          <w:kern w:val="0"/>
          <w:szCs w:val="28"/>
        </w:rPr>
      </w:pPr>
      <w:r>
        <w:rPr>
          <w:rFonts w:hint="eastAsia" w:ascii="黑体" w:eastAsia="黑体"/>
          <w:b w:val="0"/>
          <w:kern w:val="0"/>
          <w:szCs w:val="28"/>
        </w:rPr>
        <w:t>四、投标人情况介绍</w:t>
      </w:r>
    </w:p>
    <w:tbl>
      <w:tblPr>
        <w:tblStyle w:val="11"/>
        <w:tblW w:w="984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655"/>
        <w:gridCol w:w="4514"/>
        <w:gridCol w:w="162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b/>
                <w:sz w:val="28"/>
                <w:szCs w:val="28"/>
              </w:rPr>
            </w:pPr>
            <w:r>
              <w:rPr>
                <w:rFonts w:hint="eastAsia"/>
                <w:b/>
                <w:sz w:val="28"/>
                <w:szCs w:val="28"/>
              </w:rPr>
              <w:t>序号</w:t>
            </w:r>
          </w:p>
        </w:tc>
        <w:tc>
          <w:tcPr>
            <w:tcW w:w="2655" w:type="dxa"/>
          </w:tcPr>
          <w:p>
            <w:pPr>
              <w:jc w:val="center"/>
              <w:rPr>
                <w:b/>
                <w:sz w:val="28"/>
                <w:szCs w:val="28"/>
              </w:rPr>
            </w:pPr>
            <w:r>
              <w:rPr>
                <w:rFonts w:hint="eastAsia"/>
                <w:b/>
                <w:sz w:val="28"/>
                <w:szCs w:val="28"/>
              </w:rPr>
              <w:t>项目</w:t>
            </w:r>
          </w:p>
        </w:tc>
        <w:tc>
          <w:tcPr>
            <w:tcW w:w="4514" w:type="dxa"/>
            <w:vAlign w:val="center"/>
          </w:tcPr>
          <w:p>
            <w:pPr>
              <w:jc w:val="center"/>
              <w:rPr>
                <w:b/>
                <w:sz w:val="28"/>
                <w:szCs w:val="28"/>
              </w:rPr>
            </w:pPr>
            <w:r>
              <w:rPr>
                <w:rFonts w:hint="eastAsia"/>
                <w:b/>
                <w:sz w:val="28"/>
                <w:szCs w:val="28"/>
              </w:rPr>
              <w:t>内容及说明</w:t>
            </w:r>
          </w:p>
        </w:tc>
        <w:tc>
          <w:tcPr>
            <w:tcW w:w="1621" w:type="dxa"/>
            <w:vAlign w:val="center"/>
          </w:tcPr>
          <w:p>
            <w:pPr>
              <w:jc w:val="center"/>
              <w:rPr>
                <w:b/>
                <w:sz w:val="28"/>
                <w:szCs w:val="28"/>
              </w:rPr>
            </w:pPr>
            <w:r>
              <w:rPr>
                <w:rFonts w:hint="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b/>
                <w:sz w:val="28"/>
                <w:szCs w:val="28"/>
              </w:rPr>
            </w:pPr>
            <w:r>
              <w:rPr>
                <w:rFonts w:hint="eastAsia"/>
                <w:b/>
                <w:sz w:val="28"/>
                <w:szCs w:val="28"/>
              </w:rPr>
              <w:t>一</w:t>
            </w:r>
          </w:p>
        </w:tc>
        <w:tc>
          <w:tcPr>
            <w:tcW w:w="7169" w:type="dxa"/>
            <w:gridSpan w:val="2"/>
          </w:tcPr>
          <w:p>
            <w:pPr>
              <w:rPr>
                <w:b/>
                <w:sz w:val="28"/>
                <w:szCs w:val="28"/>
              </w:rPr>
            </w:pPr>
            <w:r>
              <w:rPr>
                <w:rFonts w:hint="eastAsia"/>
                <w:b/>
                <w:sz w:val="28"/>
                <w:szCs w:val="28"/>
              </w:rPr>
              <w:t>营业执照</w:t>
            </w:r>
          </w:p>
        </w:tc>
        <w:tc>
          <w:tcPr>
            <w:tcW w:w="1621" w:type="dxa"/>
            <w:vAlign w:val="center"/>
          </w:tcPr>
          <w:p>
            <w:pPr>
              <w:jc w:val="center"/>
              <w:rPr>
                <w:sz w:val="28"/>
                <w:szCs w:val="28"/>
              </w:rPr>
            </w:pPr>
            <w:r>
              <w:rPr>
                <w:rFonts w:hint="eastAsia"/>
                <w:sz w:val="28"/>
                <w:szCs w:val="28"/>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1</w:t>
            </w:r>
          </w:p>
        </w:tc>
        <w:tc>
          <w:tcPr>
            <w:tcW w:w="2655" w:type="dxa"/>
            <w:vAlign w:val="center"/>
          </w:tcPr>
          <w:p>
            <w:pPr>
              <w:jc w:val="center"/>
              <w:rPr>
                <w:sz w:val="28"/>
                <w:szCs w:val="28"/>
              </w:rPr>
            </w:pPr>
            <w:r>
              <w:rPr>
                <w:rFonts w:hint="eastAsia"/>
                <w:sz w:val="28"/>
                <w:szCs w:val="28"/>
              </w:rPr>
              <w:t>注册年度及注册编号</w:t>
            </w:r>
          </w:p>
        </w:tc>
        <w:tc>
          <w:tcPr>
            <w:tcW w:w="4514" w:type="dxa"/>
            <w:vAlign w:val="center"/>
          </w:tcPr>
          <w:p>
            <w:pP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2</w:t>
            </w:r>
          </w:p>
        </w:tc>
        <w:tc>
          <w:tcPr>
            <w:tcW w:w="2655" w:type="dxa"/>
            <w:vAlign w:val="center"/>
          </w:tcPr>
          <w:p>
            <w:pPr>
              <w:jc w:val="center"/>
              <w:rPr>
                <w:sz w:val="28"/>
                <w:szCs w:val="28"/>
              </w:rPr>
            </w:pPr>
            <w:r>
              <w:rPr>
                <w:rFonts w:hint="eastAsia"/>
                <w:sz w:val="28"/>
                <w:szCs w:val="28"/>
              </w:rPr>
              <w:t>注册资金（万元）</w:t>
            </w:r>
          </w:p>
        </w:tc>
        <w:tc>
          <w:tcPr>
            <w:tcW w:w="4514" w:type="dxa"/>
            <w:vAlign w:val="center"/>
          </w:tcPr>
          <w:p>
            <w:pP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3</w:t>
            </w:r>
          </w:p>
        </w:tc>
        <w:tc>
          <w:tcPr>
            <w:tcW w:w="2655" w:type="dxa"/>
            <w:vAlign w:val="center"/>
          </w:tcPr>
          <w:p>
            <w:pPr>
              <w:jc w:val="center"/>
              <w:rPr>
                <w:sz w:val="28"/>
                <w:szCs w:val="28"/>
              </w:rPr>
            </w:pPr>
            <w:r>
              <w:rPr>
                <w:rFonts w:hint="eastAsia"/>
                <w:sz w:val="28"/>
                <w:szCs w:val="28"/>
              </w:rPr>
              <w:t>经营场所</w:t>
            </w:r>
          </w:p>
        </w:tc>
        <w:tc>
          <w:tcPr>
            <w:tcW w:w="4514" w:type="dxa"/>
            <w:vAlign w:val="center"/>
          </w:tcPr>
          <w:p>
            <w:pP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4</w:t>
            </w:r>
          </w:p>
        </w:tc>
        <w:tc>
          <w:tcPr>
            <w:tcW w:w="2655" w:type="dxa"/>
            <w:vAlign w:val="center"/>
          </w:tcPr>
          <w:p>
            <w:pPr>
              <w:jc w:val="center"/>
              <w:rPr>
                <w:sz w:val="28"/>
                <w:szCs w:val="28"/>
              </w:rPr>
            </w:pPr>
            <w:r>
              <w:rPr>
                <w:rFonts w:hint="eastAsia"/>
                <w:sz w:val="28"/>
                <w:szCs w:val="28"/>
              </w:rPr>
              <w:t>有效期</w:t>
            </w:r>
          </w:p>
        </w:tc>
        <w:tc>
          <w:tcPr>
            <w:tcW w:w="4514" w:type="dxa"/>
            <w:vAlign w:val="center"/>
          </w:tcPr>
          <w:p>
            <w:pP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b/>
                <w:sz w:val="28"/>
                <w:szCs w:val="28"/>
              </w:rPr>
            </w:pPr>
            <w:r>
              <w:rPr>
                <w:rFonts w:hint="eastAsia"/>
                <w:b/>
                <w:sz w:val="28"/>
                <w:szCs w:val="28"/>
              </w:rPr>
              <w:t>二</w:t>
            </w:r>
          </w:p>
        </w:tc>
        <w:tc>
          <w:tcPr>
            <w:tcW w:w="7169" w:type="dxa"/>
            <w:gridSpan w:val="2"/>
            <w:vAlign w:val="center"/>
          </w:tcPr>
          <w:p>
            <w:pPr>
              <w:rPr>
                <w:b/>
                <w:sz w:val="28"/>
                <w:szCs w:val="28"/>
              </w:rPr>
            </w:pPr>
            <w:r>
              <w:rPr>
                <w:rFonts w:hint="eastAsia"/>
                <w:b/>
                <w:sz w:val="28"/>
                <w:szCs w:val="28"/>
              </w:rPr>
              <w:t>税务登记证</w:t>
            </w:r>
          </w:p>
        </w:tc>
        <w:tc>
          <w:tcPr>
            <w:tcW w:w="1621" w:type="dxa"/>
            <w:vAlign w:val="center"/>
          </w:tcPr>
          <w:p>
            <w:pPr>
              <w:jc w:val="center"/>
              <w:rPr>
                <w:sz w:val="28"/>
                <w:szCs w:val="28"/>
              </w:rPr>
            </w:pPr>
            <w:r>
              <w:rPr>
                <w:rFonts w:hint="eastAsia"/>
                <w:sz w:val="28"/>
                <w:szCs w:val="28"/>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1</w:t>
            </w:r>
          </w:p>
        </w:tc>
        <w:tc>
          <w:tcPr>
            <w:tcW w:w="2655" w:type="dxa"/>
            <w:vAlign w:val="center"/>
          </w:tcPr>
          <w:p>
            <w:pPr>
              <w:jc w:val="center"/>
              <w:rPr>
                <w:sz w:val="28"/>
                <w:szCs w:val="28"/>
              </w:rPr>
            </w:pPr>
            <w:r>
              <w:rPr>
                <w:rFonts w:hint="eastAsia"/>
                <w:sz w:val="28"/>
                <w:szCs w:val="28"/>
              </w:rPr>
              <w:t>税务登记证编号</w:t>
            </w:r>
          </w:p>
        </w:tc>
        <w:tc>
          <w:tcPr>
            <w:tcW w:w="4514" w:type="dxa"/>
            <w:vAlign w:val="center"/>
          </w:tcPr>
          <w:p>
            <w:pP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三</w:t>
            </w:r>
          </w:p>
        </w:tc>
        <w:tc>
          <w:tcPr>
            <w:tcW w:w="7169" w:type="dxa"/>
            <w:gridSpan w:val="2"/>
            <w:vAlign w:val="center"/>
          </w:tcPr>
          <w:p>
            <w:pPr>
              <w:rPr>
                <w:b/>
                <w:sz w:val="28"/>
                <w:szCs w:val="28"/>
              </w:rPr>
            </w:pPr>
            <w:r>
              <w:rPr>
                <w:rFonts w:hint="eastAsia"/>
                <w:b/>
                <w:sz w:val="28"/>
                <w:szCs w:val="28"/>
              </w:rPr>
              <w:t>资格（质）证书（</w:t>
            </w:r>
            <w:r>
              <w:rPr>
                <w:rFonts w:hint="eastAsia"/>
                <w:sz w:val="28"/>
                <w:szCs w:val="28"/>
              </w:rPr>
              <w:t>若有其他资质证书，可按表格格式扩展</w:t>
            </w:r>
            <w:r>
              <w:rPr>
                <w:rFonts w:hint="eastAsia"/>
                <w:b/>
                <w:sz w:val="28"/>
                <w:szCs w:val="28"/>
              </w:rPr>
              <w:t>）</w:t>
            </w:r>
          </w:p>
        </w:tc>
        <w:tc>
          <w:tcPr>
            <w:tcW w:w="1621" w:type="dxa"/>
            <w:vAlign w:val="center"/>
          </w:tcPr>
          <w:p>
            <w:pPr>
              <w:jc w:val="center"/>
              <w:rPr>
                <w:sz w:val="28"/>
                <w:szCs w:val="28"/>
              </w:rPr>
            </w:pPr>
            <w:r>
              <w:rPr>
                <w:rFonts w:hint="eastAsia"/>
                <w:sz w:val="28"/>
                <w:szCs w:val="28"/>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1</w:t>
            </w:r>
          </w:p>
        </w:tc>
        <w:tc>
          <w:tcPr>
            <w:tcW w:w="2655" w:type="dxa"/>
            <w:vAlign w:val="center"/>
          </w:tcPr>
          <w:p>
            <w:pPr>
              <w:jc w:val="center"/>
              <w:rPr>
                <w:sz w:val="28"/>
                <w:szCs w:val="28"/>
              </w:rPr>
            </w:pPr>
            <w:r>
              <w:rPr>
                <w:rFonts w:hint="eastAsia"/>
                <w:sz w:val="28"/>
                <w:szCs w:val="28"/>
              </w:rPr>
              <w:t>证书名称</w:t>
            </w:r>
          </w:p>
        </w:tc>
        <w:tc>
          <w:tcPr>
            <w:tcW w:w="4514" w:type="dxa"/>
            <w:vAlign w:val="center"/>
          </w:tcPr>
          <w:p>
            <w:pPr>
              <w:jc w:val="cente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2</w:t>
            </w:r>
          </w:p>
        </w:tc>
        <w:tc>
          <w:tcPr>
            <w:tcW w:w="2655" w:type="dxa"/>
            <w:vAlign w:val="center"/>
          </w:tcPr>
          <w:p>
            <w:pPr>
              <w:jc w:val="center"/>
              <w:rPr>
                <w:sz w:val="28"/>
                <w:szCs w:val="28"/>
              </w:rPr>
            </w:pPr>
            <w:r>
              <w:rPr>
                <w:rFonts w:hint="eastAsia"/>
                <w:sz w:val="28"/>
                <w:szCs w:val="28"/>
              </w:rPr>
              <w:t>批准单位</w:t>
            </w:r>
          </w:p>
        </w:tc>
        <w:tc>
          <w:tcPr>
            <w:tcW w:w="4514" w:type="dxa"/>
            <w:vAlign w:val="center"/>
          </w:tcPr>
          <w:p>
            <w:pPr>
              <w:jc w:val="cente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3</w:t>
            </w:r>
          </w:p>
        </w:tc>
        <w:tc>
          <w:tcPr>
            <w:tcW w:w="2655" w:type="dxa"/>
            <w:vAlign w:val="center"/>
          </w:tcPr>
          <w:p>
            <w:pPr>
              <w:jc w:val="center"/>
              <w:rPr>
                <w:sz w:val="28"/>
                <w:szCs w:val="28"/>
              </w:rPr>
            </w:pPr>
            <w:r>
              <w:rPr>
                <w:rFonts w:hint="eastAsia"/>
                <w:sz w:val="28"/>
                <w:szCs w:val="28"/>
              </w:rPr>
              <w:t>等级</w:t>
            </w:r>
          </w:p>
        </w:tc>
        <w:tc>
          <w:tcPr>
            <w:tcW w:w="4514" w:type="dxa"/>
            <w:vAlign w:val="center"/>
          </w:tcPr>
          <w:p>
            <w:pPr>
              <w:jc w:val="cente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4</w:t>
            </w:r>
          </w:p>
        </w:tc>
        <w:tc>
          <w:tcPr>
            <w:tcW w:w="2655" w:type="dxa"/>
            <w:vAlign w:val="center"/>
          </w:tcPr>
          <w:p>
            <w:pPr>
              <w:jc w:val="center"/>
              <w:rPr>
                <w:sz w:val="28"/>
                <w:szCs w:val="28"/>
              </w:rPr>
            </w:pPr>
            <w:r>
              <w:rPr>
                <w:rFonts w:hint="eastAsia"/>
                <w:sz w:val="28"/>
                <w:szCs w:val="28"/>
              </w:rPr>
              <w:t>批准时间及编号</w:t>
            </w:r>
          </w:p>
        </w:tc>
        <w:tc>
          <w:tcPr>
            <w:tcW w:w="4514" w:type="dxa"/>
            <w:vAlign w:val="center"/>
          </w:tcPr>
          <w:p>
            <w:pPr>
              <w:jc w:val="cente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052" w:type="dxa"/>
            <w:vAlign w:val="center"/>
          </w:tcPr>
          <w:p>
            <w:pPr>
              <w:jc w:val="center"/>
              <w:rPr>
                <w:sz w:val="28"/>
                <w:szCs w:val="28"/>
              </w:rPr>
            </w:pPr>
            <w:r>
              <w:rPr>
                <w:rFonts w:hint="eastAsia"/>
                <w:sz w:val="28"/>
                <w:szCs w:val="28"/>
              </w:rPr>
              <w:t>5</w:t>
            </w:r>
          </w:p>
        </w:tc>
        <w:tc>
          <w:tcPr>
            <w:tcW w:w="2655" w:type="dxa"/>
            <w:vAlign w:val="center"/>
          </w:tcPr>
          <w:p>
            <w:pPr>
              <w:jc w:val="center"/>
              <w:rPr>
                <w:sz w:val="28"/>
                <w:szCs w:val="28"/>
              </w:rPr>
            </w:pPr>
            <w:r>
              <w:rPr>
                <w:rFonts w:hint="eastAsia"/>
                <w:sz w:val="28"/>
                <w:szCs w:val="28"/>
              </w:rPr>
              <w:t>有效期</w:t>
            </w:r>
          </w:p>
        </w:tc>
        <w:tc>
          <w:tcPr>
            <w:tcW w:w="4514" w:type="dxa"/>
            <w:vAlign w:val="center"/>
          </w:tcPr>
          <w:p>
            <w:pPr>
              <w:jc w:val="center"/>
              <w:rPr>
                <w:sz w:val="28"/>
                <w:szCs w:val="28"/>
              </w:rPr>
            </w:pP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b/>
                <w:sz w:val="28"/>
                <w:szCs w:val="28"/>
              </w:rPr>
            </w:pPr>
            <w:r>
              <w:rPr>
                <w:rFonts w:hint="eastAsia"/>
                <w:b/>
                <w:sz w:val="28"/>
                <w:szCs w:val="28"/>
              </w:rPr>
              <w:t>四</w:t>
            </w:r>
          </w:p>
        </w:tc>
        <w:tc>
          <w:tcPr>
            <w:tcW w:w="7169" w:type="dxa"/>
            <w:gridSpan w:val="2"/>
            <w:vAlign w:val="center"/>
          </w:tcPr>
          <w:p>
            <w:pPr>
              <w:rPr>
                <w:b/>
                <w:sz w:val="28"/>
                <w:szCs w:val="28"/>
              </w:rPr>
            </w:pPr>
            <w:r>
              <w:rPr>
                <w:rFonts w:hint="eastAsia"/>
                <w:b/>
                <w:sz w:val="28"/>
                <w:szCs w:val="28"/>
              </w:rPr>
              <w:t>其他</w:t>
            </w:r>
            <w:r>
              <w:rPr>
                <w:rFonts w:hint="eastAsia"/>
                <w:sz w:val="28"/>
                <w:szCs w:val="28"/>
              </w:rPr>
              <w:t>（投标人认为需补充的其他说明）</w:t>
            </w:r>
          </w:p>
        </w:tc>
        <w:tc>
          <w:tcPr>
            <w:tcW w:w="1621" w:type="dxa"/>
            <w:vAlign w:val="center"/>
          </w:tcPr>
          <w:p>
            <w:pPr>
              <w:jc w:val="center"/>
              <w:rPr>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52" w:type="dxa"/>
            <w:vAlign w:val="center"/>
          </w:tcPr>
          <w:p>
            <w:pPr>
              <w:jc w:val="center"/>
              <w:rPr>
                <w:sz w:val="28"/>
                <w:szCs w:val="28"/>
              </w:rPr>
            </w:pPr>
            <w:r>
              <w:rPr>
                <w:rFonts w:hint="eastAsia"/>
                <w:sz w:val="28"/>
                <w:szCs w:val="28"/>
              </w:rPr>
              <w:t>1</w:t>
            </w:r>
          </w:p>
        </w:tc>
        <w:tc>
          <w:tcPr>
            <w:tcW w:w="2655" w:type="dxa"/>
            <w:vAlign w:val="center"/>
          </w:tcPr>
          <w:p>
            <w:pPr>
              <w:jc w:val="center"/>
              <w:rPr>
                <w:sz w:val="28"/>
                <w:szCs w:val="28"/>
              </w:rPr>
            </w:pPr>
          </w:p>
        </w:tc>
        <w:tc>
          <w:tcPr>
            <w:tcW w:w="4514" w:type="dxa"/>
            <w:vAlign w:val="center"/>
          </w:tcPr>
          <w:p>
            <w:pPr>
              <w:jc w:val="center"/>
              <w:rPr>
                <w:sz w:val="28"/>
                <w:szCs w:val="28"/>
              </w:rPr>
            </w:pPr>
          </w:p>
        </w:tc>
        <w:tc>
          <w:tcPr>
            <w:tcW w:w="1621" w:type="dxa"/>
            <w:vAlign w:val="center"/>
          </w:tcPr>
          <w:p>
            <w:pPr>
              <w:jc w:val="center"/>
              <w:rPr>
                <w:sz w:val="28"/>
                <w:szCs w:val="28"/>
              </w:rPr>
            </w:pPr>
          </w:p>
        </w:tc>
      </w:tr>
    </w:tbl>
    <w:p>
      <w:pPr>
        <w:ind w:left="424" w:leftChars="-270" w:hanging="991" w:hangingChars="354"/>
        <w:rPr>
          <w:sz w:val="28"/>
          <w:szCs w:val="28"/>
        </w:rPr>
      </w:pPr>
      <w:r>
        <w:rPr>
          <w:rFonts w:hint="eastAsia"/>
          <w:sz w:val="28"/>
          <w:szCs w:val="28"/>
        </w:rPr>
        <w:t>注：1、在按要求填写好此表格后，各投标单位可以用其它的方式，就自身整体情况作出详细的介绍。</w:t>
      </w:r>
    </w:p>
    <w:p>
      <w:pPr>
        <w:ind w:right="-197" w:rightChars="-94"/>
        <w:rPr>
          <w:b/>
          <w:bCs/>
          <w:sz w:val="28"/>
          <w:szCs w:val="28"/>
        </w:rPr>
      </w:pPr>
      <w:r>
        <w:rPr>
          <w:rFonts w:hint="eastAsia"/>
          <w:sz w:val="28"/>
          <w:szCs w:val="28"/>
        </w:rPr>
        <w:t>2、提供“投标人资质要求：”的相关证明材料扫描件。</w:t>
      </w:r>
    </w:p>
    <w:p>
      <w:pPr>
        <w:ind w:left="843" w:hanging="843" w:hangingChars="300"/>
        <w:rPr>
          <w:b/>
          <w:bCs/>
          <w:sz w:val="28"/>
          <w:szCs w:val="28"/>
        </w:rPr>
      </w:pPr>
    </w:p>
    <w:p>
      <w:pPr>
        <w:pStyle w:val="4"/>
        <w:jc w:val="center"/>
        <w:rPr>
          <w:rFonts w:ascii="黑体" w:eastAsia="黑体"/>
          <w:b w:val="0"/>
          <w:kern w:val="0"/>
          <w:szCs w:val="28"/>
        </w:rPr>
      </w:pPr>
      <w:r>
        <w:rPr>
          <w:rFonts w:hint="eastAsia" w:ascii="黑体" w:eastAsia="黑体"/>
          <w:b w:val="0"/>
          <w:kern w:val="0"/>
          <w:szCs w:val="28"/>
        </w:rPr>
        <w:t>五、投标人资格情况及通过相关认证情况</w:t>
      </w:r>
    </w:p>
    <w:p>
      <w:pPr>
        <w:pStyle w:val="4"/>
        <w:jc w:val="center"/>
        <w:rPr>
          <w:rFonts w:ascii="黑体" w:eastAsia="黑体"/>
          <w:b w:val="0"/>
          <w:kern w:val="0"/>
          <w:szCs w:val="28"/>
        </w:rPr>
      </w:pPr>
      <w:r>
        <w:rPr>
          <w:rFonts w:hint="eastAsia" w:ascii="黑体" w:eastAsia="黑体"/>
          <w:b w:val="0"/>
          <w:kern w:val="0"/>
          <w:szCs w:val="28"/>
        </w:rPr>
        <w:t>六、拟安排的项目负责人情况</w:t>
      </w:r>
    </w:p>
    <w:p>
      <w:pPr>
        <w:pStyle w:val="4"/>
        <w:jc w:val="center"/>
        <w:rPr>
          <w:rFonts w:ascii="黑体" w:eastAsia="黑体"/>
          <w:b w:val="0"/>
          <w:kern w:val="0"/>
          <w:szCs w:val="28"/>
        </w:rPr>
      </w:pPr>
      <w:r>
        <w:rPr>
          <w:rFonts w:hint="eastAsia" w:ascii="黑体" w:eastAsia="黑体"/>
          <w:b w:val="0"/>
          <w:kern w:val="0"/>
          <w:szCs w:val="28"/>
        </w:rPr>
        <w:t>七、拟安排的项目团队成员（项目负责人除外）情况</w:t>
      </w:r>
    </w:p>
    <w:p>
      <w:pPr>
        <w:jc w:val="center"/>
        <w:rPr>
          <w:rFonts w:ascii="黑体" w:hAnsi="宋体" w:eastAsia="黑体"/>
          <w:kern w:val="0"/>
          <w:sz w:val="28"/>
          <w:szCs w:val="28"/>
        </w:rPr>
      </w:pPr>
      <w:r>
        <w:rPr>
          <w:rFonts w:hint="eastAsia" w:ascii="黑体" w:hAnsi="宋体" w:eastAsia="黑体"/>
          <w:kern w:val="0"/>
          <w:sz w:val="28"/>
          <w:szCs w:val="28"/>
        </w:rPr>
        <w:t>八、投标人近两年以来有关业绩情况（格式自定）</w:t>
      </w:r>
    </w:p>
    <w:p>
      <w:pPr>
        <w:pStyle w:val="4"/>
        <w:jc w:val="center"/>
        <w:rPr>
          <w:rFonts w:ascii="黑体" w:eastAsia="黑体"/>
          <w:b w:val="0"/>
          <w:kern w:val="0"/>
          <w:szCs w:val="28"/>
        </w:rPr>
      </w:pPr>
      <w:r>
        <w:rPr>
          <w:rFonts w:hint="eastAsia" w:ascii="黑体" w:eastAsia="黑体"/>
          <w:b w:val="0"/>
          <w:kern w:val="0"/>
          <w:szCs w:val="28"/>
        </w:rPr>
        <w:t>九、</w:t>
      </w:r>
      <w:r>
        <w:rPr>
          <w:rFonts w:hint="eastAsia" w:ascii="黑体" w:eastAsia="黑体"/>
          <w:b w:val="0"/>
          <w:szCs w:val="28"/>
        </w:rPr>
        <w:t>其它招标文件要求的内容及投标人认为需要补充的内容（格式自定）</w:t>
      </w:r>
    </w:p>
    <w:p>
      <w:pPr>
        <w:rPr>
          <w:sz w:val="28"/>
          <w:szCs w:val="28"/>
        </w:rPr>
      </w:pPr>
    </w:p>
    <w:p>
      <w:pPr>
        <w:rPr>
          <w:b/>
          <w:sz w:val="28"/>
          <w:szCs w:val="28"/>
        </w:rPr>
      </w:pPr>
      <w:r>
        <w:rPr>
          <w:rFonts w:hint="eastAsia" w:ascii="仿宋_GB2312" w:eastAsia="仿宋_GB2312"/>
          <w:b/>
          <w:sz w:val="28"/>
          <w:szCs w:val="28"/>
        </w:rPr>
        <w:br w:type="page"/>
      </w:r>
      <w:r>
        <w:rPr>
          <w:rFonts w:hint="eastAsia" w:ascii="仿宋_GB2312" w:eastAsia="仿宋_GB2312"/>
          <w:b/>
          <w:sz w:val="28"/>
          <w:szCs w:val="28"/>
        </w:rPr>
        <w:t>投标文件附件（非信息公开部分）：</w:t>
      </w:r>
    </w:p>
    <w:p>
      <w:pPr>
        <w:pStyle w:val="4"/>
        <w:jc w:val="center"/>
        <w:rPr>
          <w:rFonts w:ascii="黑体" w:eastAsia="黑体"/>
          <w:b w:val="0"/>
          <w:szCs w:val="28"/>
        </w:rPr>
      </w:pPr>
      <w:r>
        <w:rPr>
          <w:szCs w:val="28"/>
        </w:rPr>
        <w:tab/>
      </w:r>
      <w:r>
        <w:rPr>
          <w:rFonts w:hint="eastAsia" w:ascii="黑体" w:eastAsia="黑体"/>
          <w:b w:val="0"/>
          <w:kern w:val="0"/>
          <w:szCs w:val="28"/>
        </w:rPr>
        <w:t>一、授权委托</w:t>
      </w:r>
      <w:r>
        <w:rPr>
          <w:rFonts w:hint="eastAsia" w:ascii="黑体" w:eastAsia="黑体"/>
          <w:b w:val="0"/>
          <w:szCs w:val="28"/>
        </w:rPr>
        <w:t>代理人联系方式</w:t>
      </w:r>
    </w:p>
    <w:p>
      <w:pPr>
        <w:spacing w:line="360" w:lineRule="auto"/>
        <w:ind w:firstLine="560" w:firstLineChars="200"/>
        <w:rPr>
          <w:sz w:val="28"/>
          <w:szCs w:val="28"/>
        </w:rPr>
      </w:pPr>
      <w:r>
        <w:rPr>
          <w:rFonts w:hint="eastAsia"/>
          <w:sz w:val="28"/>
          <w:szCs w:val="28"/>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pStyle w:val="6"/>
        <w:spacing w:line="360" w:lineRule="auto"/>
        <w:rPr>
          <w:sz w:val="28"/>
          <w:szCs w:val="28"/>
        </w:rPr>
      </w:pPr>
      <w:r>
        <w:rPr>
          <w:rFonts w:hint="eastAsia"/>
          <w:sz w:val="28"/>
          <w:szCs w:val="28"/>
        </w:rPr>
        <w:t>代理人无转委托权，特此委托。</w:t>
      </w:r>
    </w:p>
    <w:p>
      <w:pPr>
        <w:rPr>
          <w:sz w:val="28"/>
          <w:szCs w:val="28"/>
        </w:rPr>
      </w:pPr>
    </w:p>
    <w:p>
      <w:pPr>
        <w:spacing w:line="360" w:lineRule="auto"/>
        <w:ind w:left="540" w:leftChars="257"/>
        <w:rPr>
          <w:sz w:val="28"/>
          <w:szCs w:val="28"/>
          <w:u w:val="single"/>
        </w:rPr>
      </w:pPr>
      <w:r>
        <w:rPr>
          <w:rFonts w:hint="eastAsia"/>
          <w:sz w:val="28"/>
          <w:szCs w:val="28"/>
        </w:rPr>
        <w:t>代理人：性别：年龄：</w:t>
      </w:r>
    </w:p>
    <w:p>
      <w:pPr>
        <w:spacing w:line="360" w:lineRule="auto"/>
        <w:ind w:left="540" w:leftChars="257"/>
        <w:rPr>
          <w:sz w:val="28"/>
          <w:szCs w:val="28"/>
        </w:rPr>
      </w:pPr>
      <w:r>
        <w:rPr>
          <w:rFonts w:hint="eastAsia"/>
          <w:sz w:val="28"/>
          <w:szCs w:val="28"/>
        </w:rPr>
        <w:t>联系电话：手机：</w:t>
      </w:r>
    </w:p>
    <w:p>
      <w:pPr>
        <w:spacing w:line="360" w:lineRule="auto"/>
        <w:ind w:left="540" w:leftChars="257"/>
        <w:rPr>
          <w:sz w:val="28"/>
          <w:szCs w:val="28"/>
          <w:u w:val="single"/>
        </w:rPr>
      </w:pPr>
      <w:r>
        <w:rPr>
          <w:rFonts w:hint="eastAsia"/>
          <w:sz w:val="28"/>
          <w:szCs w:val="28"/>
        </w:rPr>
        <w:t>身份证号码：职务：</w:t>
      </w:r>
    </w:p>
    <w:p>
      <w:pPr>
        <w:spacing w:line="360" w:lineRule="auto"/>
        <w:ind w:left="540" w:leftChars="257"/>
        <w:rPr>
          <w:sz w:val="28"/>
          <w:szCs w:val="28"/>
        </w:rPr>
      </w:pPr>
      <w:r>
        <w:rPr>
          <w:rFonts w:hint="eastAsia"/>
          <w:sz w:val="28"/>
          <w:szCs w:val="28"/>
        </w:rPr>
        <w:t>投标人：</w:t>
      </w:r>
    </w:p>
    <w:p>
      <w:pPr>
        <w:spacing w:line="360" w:lineRule="auto"/>
        <w:ind w:left="540" w:leftChars="257"/>
        <w:rPr>
          <w:sz w:val="28"/>
          <w:szCs w:val="28"/>
        </w:rPr>
      </w:pPr>
      <w:r>
        <w:rPr>
          <w:rFonts w:hint="eastAsia"/>
          <w:sz w:val="28"/>
          <w:szCs w:val="28"/>
        </w:rPr>
        <w:t>法定代表人：</w:t>
      </w:r>
    </w:p>
    <w:p>
      <w:pPr>
        <w:spacing w:line="360" w:lineRule="auto"/>
        <w:ind w:left="540" w:leftChars="257"/>
        <w:rPr>
          <w:sz w:val="28"/>
          <w:szCs w:val="28"/>
        </w:rPr>
      </w:pPr>
      <w:r>
        <w:rPr>
          <w:rFonts w:hint="eastAsia"/>
          <w:sz w:val="28"/>
          <w:szCs w:val="28"/>
        </w:rPr>
        <w:t>授权委托日期：年月日</w:t>
      </w:r>
    </w:p>
    <w:p>
      <w:pPr>
        <w:pStyle w:val="4"/>
        <w:jc w:val="center"/>
        <w:rPr>
          <w:rFonts w:ascii="黑体" w:eastAsia="黑体"/>
          <w:b w:val="0"/>
          <w:kern w:val="0"/>
          <w:szCs w:val="28"/>
        </w:rPr>
      </w:pPr>
      <w:r>
        <w:rPr>
          <w:rFonts w:hint="eastAsia" w:ascii="黑体" w:eastAsia="黑体"/>
          <w:b w:val="0"/>
          <w:kern w:val="0"/>
          <w:szCs w:val="28"/>
        </w:rPr>
        <w:t>二、违约承诺</w:t>
      </w:r>
    </w:p>
    <w:p>
      <w:pPr>
        <w:pStyle w:val="4"/>
        <w:jc w:val="center"/>
        <w:rPr>
          <w:rFonts w:ascii="黑体" w:eastAsia="黑体"/>
          <w:b w:val="0"/>
          <w:kern w:val="0"/>
          <w:szCs w:val="28"/>
        </w:rPr>
      </w:pPr>
      <w:r>
        <w:rPr>
          <w:rFonts w:hint="eastAsia" w:ascii="黑体" w:eastAsia="黑体"/>
          <w:b w:val="0"/>
          <w:kern w:val="0"/>
          <w:szCs w:val="28"/>
        </w:rPr>
        <w:t>三、</w:t>
      </w:r>
      <w:r>
        <w:rPr>
          <w:rFonts w:hint="eastAsia" w:ascii="黑体" w:eastAsia="黑体"/>
          <w:b w:val="0"/>
          <w:szCs w:val="28"/>
        </w:rPr>
        <w:t>其它招标文件要求的内容及投标人认为需要补充的内容</w:t>
      </w:r>
      <w:r>
        <w:rPr>
          <w:rFonts w:hint="eastAsia" w:ascii="黑体" w:eastAsia="黑体"/>
          <w:b w:val="0"/>
          <w:kern w:val="0"/>
          <w:szCs w:val="28"/>
        </w:rPr>
        <w:t>（格式自定）</w:t>
      </w:r>
    </w:p>
    <w:p>
      <w:pPr>
        <w:jc w:val="center"/>
        <w:rPr>
          <w:rFonts w:ascii="黑体" w:hAnsi="黑体" w:eastAsia="黑体"/>
          <w:b/>
          <w:sz w:val="36"/>
          <w:szCs w:val="36"/>
        </w:rPr>
      </w:pPr>
    </w:p>
    <w:p>
      <w:pPr>
        <w:jc w:val="center"/>
        <w:rPr>
          <w:rFonts w:ascii="黑体" w:hAnsi="黑体" w:eastAsia="黑体"/>
          <w:b/>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448285"/>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37A095"/>
    <w:multiLevelType w:val="singleLevel"/>
    <w:tmpl w:val="B837A095"/>
    <w:lvl w:ilvl="0" w:tentative="0">
      <w:start w:val="1"/>
      <w:numFmt w:val="decimal"/>
      <w:suff w:val="nothing"/>
      <w:lvlText w:val="%1、"/>
      <w:lvlJc w:val="left"/>
      <w:pPr>
        <w:ind w:left="-10"/>
      </w:pPr>
    </w:lvl>
  </w:abstractNum>
  <w:abstractNum w:abstractNumId="1">
    <w:nsid w:val="32F655B6"/>
    <w:multiLevelType w:val="multilevel"/>
    <w:tmpl w:val="32F655B6"/>
    <w:lvl w:ilvl="0" w:tentative="0">
      <w:start w:val="1"/>
      <w:numFmt w:val="decimal"/>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
    <w:nsid w:val="372065C6"/>
    <w:multiLevelType w:val="singleLevel"/>
    <w:tmpl w:val="372065C6"/>
    <w:lvl w:ilvl="0" w:tentative="0">
      <w:start w:val="2"/>
      <w:numFmt w:val="chineseCounting"/>
      <w:suff w:val="nothing"/>
      <w:lvlText w:val="%1、"/>
      <w:lvlJc w:val="left"/>
      <w:rPr>
        <w:rFonts w:hint="eastAsia"/>
      </w:rPr>
    </w:lvl>
  </w:abstractNum>
  <w:abstractNum w:abstractNumId="3">
    <w:nsid w:val="49B49C6D"/>
    <w:multiLevelType w:val="singleLevel"/>
    <w:tmpl w:val="49B49C6D"/>
    <w:lvl w:ilvl="0" w:tentative="0">
      <w:start w:val="1"/>
      <w:numFmt w:val="decimal"/>
      <w:suff w:val="nothing"/>
      <w:lvlText w:val="%1、"/>
      <w:lvlJc w:val="left"/>
    </w:lvl>
  </w:abstractNum>
  <w:abstractNum w:abstractNumId="4">
    <w:nsid w:val="5966D4E7"/>
    <w:multiLevelType w:val="singleLevel"/>
    <w:tmpl w:val="5966D4E7"/>
    <w:lvl w:ilvl="0" w:tentative="0">
      <w:start w:val="2"/>
      <w:numFmt w:val="decimal"/>
      <w:suff w:val="nothing"/>
      <w:lvlText w:val="%1、"/>
      <w:lvlJc w:val="left"/>
    </w:lvl>
  </w:abstractNum>
  <w:abstractNum w:abstractNumId="5">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6F66217"/>
    <w:rsid w:val="00021BC9"/>
    <w:rsid w:val="000F0D52"/>
    <w:rsid w:val="00142BE1"/>
    <w:rsid w:val="0018195C"/>
    <w:rsid w:val="001D3E2C"/>
    <w:rsid w:val="00204EED"/>
    <w:rsid w:val="002120E1"/>
    <w:rsid w:val="00240A73"/>
    <w:rsid w:val="002A0B15"/>
    <w:rsid w:val="002F1629"/>
    <w:rsid w:val="002F6EDB"/>
    <w:rsid w:val="004603F5"/>
    <w:rsid w:val="004F5F2C"/>
    <w:rsid w:val="005A4DD8"/>
    <w:rsid w:val="006B46AD"/>
    <w:rsid w:val="006F29D8"/>
    <w:rsid w:val="006F4C5B"/>
    <w:rsid w:val="007005BC"/>
    <w:rsid w:val="00744D81"/>
    <w:rsid w:val="007A77AB"/>
    <w:rsid w:val="007B6AF8"/>
    <w:rsid w:val="008917FB"/>
    <w:rsid w:val="00935754"/>
    <w:rsid w:val="00953438"/>
    <w:rsid w:val="009941EA"/>
    <w:rsid w:val="009A30CA"/>
    <w:rsid w:val="00BD4D23"/>
    <w:rsid w:val="00BF07BC"/>
    <w:rsid w:val="00C35A3E"/>
    <w:rsid w:val="00D42926"/>
    <w:rsid w:val="00E5755A"/>
    <w:rsid w:val="00E71941"/>
    <w:rsid w:val="00EA549A"/>
    <w:rsid w:val="00F06B1C"/>
    <w:rsid w:val="00F65D68"/>
    <w:rsid w:val="010066F5"/>
    <w:rsid w:val="022D0F53"/>
    <w:rsid w:val="041E2563"/>
    <w:rsid w:val="04D35144"/>
    <w:rsid w:val="074D179B"/>
    <w:rsid w:val="07F27D7E"/>
    <w:rsid w:val="08987C53"/>
    <w:rsid w:val="08F7690C"/>
    <w:rsid w:val="09026150"/>
    <w:rsid w:val="0BC7170F"/>
    <w:rsid w:val="0BD063C2"/>
    <w:rsid w:val="0BD818C5"/>
    <w:rsid w:val="100A6CBF"/>
    <w:rsid w:val="10D46896"/>
    <w:rsid w:val="115773A4"/>
    <w:rsid w:val="12613EBF"/>
    <w:rsid w:val="12F722CA"/>
    <w:rsid w:val="15333986"/>
    <w:rsid w:val="16DC79ED"/>
    <w:rsid w:val="1954258E"/>
    <w:rsid w:val="19D009CB"/>
    <w:rsid w:val="1A2610B1"/>
    <w:rsid w:val="1E48363B"/>
    <w:rsid w:val="1EE32025"/>
    <w:rsid w:val="1F8F3144"/>
    <w:rsid w:val="1F910D2A"/>
    <w:rsid w:val="24E461D0"/>
    <w:rsid w:val="27BD687A"/>
    <w:rsid w:val="27FC1DE4"/>
    <w:rsid w:val="292740AC"/>
    <w:rsid w:val="2A393554"/>
    <w:rsid w:val="2C0B17D7"/>
    <w:rsid w:val="2D1D6C5A"/>
    <w:rsid w:val="2F3703BA"/>
    <w:rsid w:val="34267254"/>
    <w:rsid w:val="381B7469"/>
    <w:rsid w:val="3849409E"/>
    <w:rsid w:val="398B6CBB"/>
    <w:rsid w:val="3A1C30B1"/>
    <w:rsid w:val="3A2A2EC4"/>
    <w:rsid w:val="3BBA51BA"/>
    <w:rsid w:val="3DAF3488"/>
    <w:rsid w:val="410C0484"/>
    <w:rsid w:val="4184794F"/>
    <w:rsid w:val="45520669"/>
    <w:rsid w:val="4702793B"/>
    <w:rsid w:val="481B38E5"/>
    <w:rsid w:val="48EC2DC0"/>
    <w:rsid w:val="49195CCE"/>
    <w:rsid w:val="4B5F35E0"/>
    <w:rsid w:val="4D177A60"/>
    <w:rsid w:val="4D45446A"/>
    <w:rsid w:val="4F1F5EC4"/>
    <w:rsid w:val="51041EB2"/>
    <w:rsid w:val="53080ADA"/>
    <w:rsid w:val="53E96DC8"/>
    <w:rsid w:val="53EF2583"/>
    <w:rsid w:val="55FF0C89"/>
    <w:rsid w:val="567D21B3"/>
    <w:rsid w:val="57054F7A"/>
    <w:rsid w:val="60B16093"/>
    <w:rsid w:val="62CA5F8E"/>
    <w:rsid w:val="63821F66"/>
    <w:rsid w:val="6511352F"/>
    <w:rsid w:val="658316FA"/>
    <w:rsid w:val="66B125A7"/>
    <w:rsid w:val="680E68CF"/>
    <w:rsid w:val="6A9065A9"/>
    <w:rsid w:val="6ADE6C95"/>
    <w:rsid w:val="6C107C88"/>
    <w:rsid w:val="6D4A3A91"/>
    <w:rsid w:val="6F3934CD"/>
    <w:rsid w:val="70562108"/>
    <w:rsid w:val="71BF59A9"/>
    <w:rsid w:val="71C64FF0"/>
    <w:rsid w:val="73B6086C"/>
    <w:rsid w:val="75DC6071"/>
    <w:rsid w:val="76F66217"/>
    <w:rsid w:val="77350885"/>
    <w:rsid w:val="79F367E6"/>
    <w:rsid w:val="7C9D47A1"/>
    <w:rsid w:val="7CB72EFD"/>
    <w:rsid w:val="7F5D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6">
    <w:name w:val="Normal Indent"/>
    <w:basedOn w:val="1"/>
    <w:qFormat/>
    <w:uiPriority w:val="0"/>
    <w:pPr>
      <w:ind w:firstLine="420"/>
    </w:pPr>
    <w:rPr>
      <w:szCs w:val="20"/>
    </w:rPr>
  </w:style>
  <w:style w:type="paragraph" w:styleId="7">
    <w:name w:val="Balloon Text"/>
    <w:basedOn w:val="1"/>
    <w:link w:val="20"/>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character" w:styleId="13">
    <w:name w:val="Strong"/>
    <w:basedOn w:val="12"/>
    <w:qFormat/>
    <w:uiPriority w:val="0"/>
    <w:rPr>
      <w:b/>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16">
    <w:name w:val="列出段落11"/>
    <w:basedOn w:val="1"/>
    <w:qFormat/>
    <w:uiPriority w:val="0"/>
    <w:pPr>
      <w:ind w:firstLine="420" w:firstLineChars="200"/>
    </w:pPr>
    <w:rPr>
      <w:rFonts w:ascii="Times New Roman" w:hAnsi="Times New Roman"/>
    </w:rPr>
  </w:style>
  <w:style w:type="paragraph" w:customStyle="1" w:styleId="17">
    <w:name w:val="_Style 4"/>
    <w:basedOn w:val="1"/>
    <w:qFormat/>
    <w:uiPriority w:val="0"/>
    <w:pPr>
      <w:ind w:firstLine="420" w:firstLineChars="200"/>
    </w:pPr>
  </w:style>
  <w:style w:type="character" w:customStyle="1" w:styleId="18">
    <w:name w:val="页眉 Char"/>
    <w:basedOn w:val="12"/>
    <w:link w:val="9"/>
    <w:qFormat/>
    <w:uiPriority w:val="0"/>
    <w:rPr>
      <w:kern w:val="2"/>
      <w:sz w:val="18"/>
      <w:szCs w:val="18"/>
    </w:rPr>
  </w:style>
  <w:style w:type="character" w:customStyle="1" w:styleId="19">
    <w:name w:val="页脚 Char"/>
    <w:basedOn w:val="12"/>
    <w:link w:val="8"/>
    <w:qFormat/>
    <w:uiPriority w:val="99"/>
    <w:rPr>
      <w:kern w:val="2"/>
      <w:sz w:val="18"/>
      <w:szCs w:val="18"/>
    </w:rPr>
  </w:style>
  <w:style w:type="character" w:customStyle="1" w:styleId="20">
    <w:name w:val="批注框文本 Char"/>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1755</Words>
  <Characters>10008</Characters>
  <Lines>83</Lines>
  <Paragraphs>23</Paragraphs>
  <TotalTime>0</TotalTime>
  <ScaleCrop>false</ScaleCrop>
  <LinksUpToDate>false</LinksUpToDate>
  <CharactersWithSpaces>11740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2021-01-28T09:05:00Z</dcterms:created>
  <dc:creator>Administrator</dc:creator>
  <cp:lastModifiedBy>住建局帐户</cp:lastModifiedBy>
  <cp:lastPrinted>2021-01-27T02:09:00Z</cp:lastPrinted>
  <dcterms:modified xsi:type="dcterms:W3CDTF">2021-01-28T09:25:10Z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