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tbl>
      <w:tblPr>
        <w:tblStyle w:val="4"/>
        <w:tblW w:w="10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39"/>
        <w:gridCol w:w="1568"/>
        <w:gridCol w:w="517"/>
        <w:gridCol w:w="121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804"/>
              </w:tabs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Theme="minorEastAsia" w:hAnsiTheme="minorEastAsia"/>
                <w:sz w:val="32"/>
                <w:szCs w:val="32"/>
              </w:rPr>
              <w:t>建设工程预选库子项目中标单位等级评定表（工程施工类）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用库单位名称（评价单位）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评价期限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         年  月  日</w:t>
            </w:r>
          </w:p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入库单位名称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工程名称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工程地点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中标价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1285" w:firstLineChars="40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（万元）</w:t>
            </w:r>
          </w:p>
        </w:tc>
      </w:tr>
    </w:tbl>
    <w:tbl>
      <w:tblPr>
        <w:tblStyle w:val="5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993"/>
        <w:gridCol w:w="567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等级评定分项内容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567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评分细则</w:t>
            </w:r>
          </w:p>
        </w:tc>
        <w:tc>
          <w:tcPr>
            <w:tcW w:w="1164" w:type="dxa"/>
            <w:vAlign w:val="center"/>
          </w:tcPr>
          <w:p>
            <w:pPr>
              <w:widowControl w:val="0"/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项目组织管理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及配合情况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spacing w:line="3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经理的责任心、组织协调能力和专业的业务水平；工作人员业务素质；承包方的财务履约能力和履行合同相应的技术实力；应急处理能力；能够依法、认真主动地配合建设单位及其他相关部门的工作；能够按照合同中的约定与建设单位配合完成工作；在没有得到相应许可的情况下，不对外公开涉及任何机密的资料。（A-优秀；B-良好；C-一般；D-差）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材料品控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及工程质量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spacing w:line="30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A-组织的任何一项施工验收，一次性验收合格；B-组织的任何一项施工验收，在一次整改后验收合格；C-施工验收中，整改两次后验收合格；D-施工验收中，整改两次后仍然达不到要求。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安全文明施工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</w:tcPr>
          <w:p>
            <w:pPr>
              <w:widowControl w:val="0"/>
              <w:spacing w:line="30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明施工，有效投诉的数量及投诉的处理情况（受到一次或以上的有效投诉评分不得为“A”）；施工安全措施的完善情况；是否发生安全事故（发生一般安全事故评分不得为“A”）；有效防止污染措施及施工现场环境。（A-优秀；B-良好；C-一般；D-差）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工期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A-工期提前10%或以上完成；B-正常完工（子项目中标单位自身原因未提前完工）；C-子项目中标单位自身原因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超期达</w:t>
            </w:r>
            <w:r>
              <w:rPr>
                <w:rFonts w:ascii="仿宋" w:hAnsi="仿宋" w:eastAsia="仿宋"/>
                <w:sz w:val="24"/>
                <w:szCs w:val="24"/>
              </w:rPr>
              <w:t>10%以下；D—子项目中标单位自身原因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超期达</w:t>
            </w:r>
            <w:r>
              <w:rPr>
                <w:rFonts w:ascii="仿宋" w:hAnsi="仿宋" w:eastAsia="仿宋"/>
                <w:sz w:val="24"/>
                <w:szCs w:val="24"/>
              </w:rPr>
              <w:t>50%及以上。</w:t>
            </w:r>
          </w:p>
          <w:p>
            <w:pPr>
              <w:widowControl w:val="0"/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此处的“工期”包括合同中约定的阶段性工期节点；2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若项目尚未完工，且合同未约定阶段性工期节点的，则可默认基准评定得分“B”。</w:t>
            </w:r>
          </w:p>
        </w:tc>
        <w:tc>
          <w:tcPr>
            <w:tcW w:w="1164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3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评定得分</w:t>
            </w:r>
          </w:p>
        </w:tc>
        <w:tc>
          <w:tcPr>
            <w:tcW w:w="993" w:type="dxa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各项“A”得25分，“B”得20分，“C”得15分，“D”得0分，逐项累加。若项目存在《南山区建设工程预选库动态管理实施细则》第十一条或第十二条所列情形的，则需按规定计取最终评定得分，并在“备注栏”中予以说明。</w:t>
            </w:r>
          </w:p>
        </w:tc>
        <w:tc>
          <w:tcPr>
            <w:tcW w:w="1164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657" w:type="dxa"/>
            <w:gridSpan w:val="4"/>
            <w:vAlign w:val="center"/>
          </w:tcPr>
          <w:p>
            <w:pPr>
              <w:widowControl w:val="0"/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评定小组负责人签名：</w:t>
            </w:r>
          </w:p>
          <w:p>
            <w:pPr>
              <w:widowControl w:val="0"/>
              <w:spacing w:line="500" w:lineRule="exact"/>
              <w:jc w:val="both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单位（加盖公章）：</w:t>
            </w:r>
          </w:p>
        </w:tc>
      </w:tr>
    </w:tbl>
    <w:p>
      <w:pPr>
        <w:widowControl w:val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14FF1"/>
    <w:rsid w:val="1E91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2020-12-03T09:32:00Z</dcterms:created>
  <dc:creator>WPS_vivi</dc:creator>
  <cp:lastModifiedBy>WPS_vivi</cp:lastModifiedBy>
  <dcterms:modified xsi:type="dcterms:W3CDTF">2020-12-03T09:34:30Z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