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27AB3">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bookmarkStart w:id="0" w:name="_Toc32562"/>
      <w:bookmarkStart w:id="1" w:name="_Toc125127182"/>
      <w:bookmarkStart w:id="2" w:name="_Toc5810"/>
      <w:bookmarkStart w:id="3" w:name="_Toc13216"/>
      <w:r>
        <w:rPr>
          <w:rFonts w:hint="eastAsia" w:ascii="黑体" w:hAnsi="黑体" w:eastAsia="黑体" w:cs="黑体"/>
          <w:color w:val="auto"/>
          <w:sz w:val="32"/>
          <w:szCs w:val="32"/>
          <w:highlight w:val="none"/>
          <w:lang w:val="en-US" w:eastAsia="zh-CN"/>
        </w:rPr>
        <w:t>附件</w:t>
      </w:r>
      <w:r>
        <w:rPr>
          <w:rFonts w:hint="default" w:ascii="黑体" w:hAnsi="黑体" w:eastAsia="黑体" w:cs="黑体"/>
          <w:color w:val="auto"/>
          <w:sz w:val="32"/>
          <w:szCs w:val="32"/>
          <w:highlight w:val="none"/>
          <w:lang w:val="en-US" w:eastAsia="zh-CN"/>
        </w:rPr>
        <w:t>5</w:t>
      </w:r>
    </w:p>
    <w:p w14:paraId="5C3CE2BC">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黑体" w:hAnsi="黑体" w:eastAsia="黑体" w:cs="黑体"/>
          <w:color w:val="auto"/>
          <w:sz w:val="32"/>
          <w:szCs w:val="32"/>
          <w:highlight w:val="none"/>
          <w:lang w:val="en-US" w:eastAsia="zh-CN"/>
        </w:rPr>
      </w:pPr>
    </w:p>
    <w:bookmarkEnd w:id="0"/>
    <w:bookmarkEnd w:id="1"/>
    <w:bookmarkEnd w:id="2"/>
    <w:bookmarkEnd w:id="3"/>
    <w:p w14:paraId="2F35B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深圳市2026年中央资金消费新业态新模式新场景试点（支持优质消费资源与知名IP跨界联名—优质消费资源与知名IP跨界联合单体场景资助项目）申报指南</w:t>
      </w:r>
    </w:p>
    <w:p w14:paraId="006265D2">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14:paraId="40836FC4">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14:paraId="108FF02D">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支持具备影响力和粉丝基础的IP（包含影视、游戏、动漫、国潮文化等）与消费场景深度融合，通过场景搭建、业态创新和互动设计，打造具有一定规模、影响力、兼具情感共鸣与沉浸式体验的新型消费空间。</w:t>
      </w:r>
    </w:p>
    <w:p w14:paraId="67BA3AB6">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15437"/>
      <w:bookmarkStart w:id="7" w:name="_Toc8852"/>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14:paraId="2167D79D">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14:paraId="2955DA0C">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p>
    <w:p w14:paraId="014B2084">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14:paraId="4661D878">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14:paraId="3A34DD77">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14:paraId="6F3C88F1">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14:paraId="00751F0C">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14:paraId="084DA8AD">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14:paraId="47515C66">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14:paraId="494CDBD7">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14:paraId="25C7A5D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14:paraId="0CADE283">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14:paraId="7C7BF810">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14:paraId="5843F59E">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14:paraId="1EC3E591">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14:paraId="60D835D1">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14:paraId="7FEB279C">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14:paraId="3AE86EAD">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w:t>
      </w:r>
      <w:r>
        <w:rPr>
          <w:rFonts w:hint="default"/>
          <w:color w:val="auto"/>
          <w:highlight w:val="none"/>
          <w:lang w:eastAsia="zh-CN"/>
        </w:rPr>
        <w:t>内容</w:t>
      </w:r>
      <w:r>
        <w:rPr>
          <w:rFonts w:hint="eastAsia"/>
          <w:color w:val="auto"/>
          <w:highlight w:val="none"/>
          <w:lang w:val="en-US" w:eastAsia="zh-CN"/>
        </w:rPr>
        <w:t>。</w:t>
      </w:r>
    </w:p>
    <w:p w14:paraId="74DFCD9D">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14:paraId="0952F482">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14:paraId="496EC1EA">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14:paraId="5029DB96">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14:paraId="4087D642">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申报项目应符合以下类型之一：</w:t>
      </w:r>
    </w:p>
    <w:p w14:paraId="2E178334">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1.支持新开设IP主题文化消费店铺</w:t>
      </w:r>
    </w:p>
    <w:p w14:paraId="29971877">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（1）申报项目以IP主题衍生品销售、IP文化体验等为核心业务；</w:t>
      </w:r>
    </w:p>
    <w:p w14:paraId="11FEB46C">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（2）拥有自主知识产权或正规授权、IP衍生品产品类型不少于3类；</w:t>
      </w:r>
    </w:p>
    <w:p w14:paraId="2935EF07">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（3）月均提供服务次数不低于1000次（统计周期为2025年9月30日至申报受理前一个月月末；月均值按该期间实际运营数据计算，不足一个月的部分，按日均值折算为月均值）。</w:t>
      </w:r>
    </w:p>
    <w:p w14:paraId="57D49FBB">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2.支持新开设IP焕新体验空间</w:t>
      </w:r>
    </w:p>
    <w:p w14:paraId="3403EBFB">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lang w:val="en-US" w:eastAsia="zh-CN"/>
        </w:rPr>
      </w:pPr>
      <w:r>
        <w:rPr>
          <w:rFonts w:hint="eastAsia"/>
          <w:color w:val="auto"/>
          <w:highlight w:val="none"/>
          <w:lang w:val="en-US" w:eastAsia="zh-CN"/>
        </w:rPr>
        <w:t>（1）</w:t>
      </w:r>
      <w:r>
        <w:rPr>
          <w:rFonts w:hint="eastAsia"/>
          <w:color w:val="auto"/>
          <w:lang w:val="en-US" w:eastAsia="zh-CN"/>
        </w:rPr>
        <w:t>申报</w:t>
      </w:r>
      <w:r>
        <w:rPr>
          <w:rFonts w:hint="eastAsia"/>
          <w:color w:val="auto"/>
          <w:lang w:eastAsia="zh-CN"/>
        </w:rPr>
        <w:t>项目</w:t>
      </w:r>
      <w:r>
        <w:rPr>
          <w:rFonts w:hint="eastAsia"/>
          <w:color w:val="auto"/>
          <w:lang w:val="en-US" w:eastAsia="zh-CN"/>
        </w:rPr>
        <w:t>须对现有商业空间进行跨界联名、主题升级、内容共创等IP化改造与内容焕新，成功打造兼具情感共鸣与沉浸式体验的新型消费场景；</w:t>
      </w:r>
    </w:p>
    <w:p w14:paraId="5C7D8D41">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lang w:val="en-US" w:eastAsia="zh-CN"/>
        </w:rPr>
      </w:pPr>
      <w:r>
        <w:rPr>
          <w:rFonts w:hint="eastAsia"/>
          <w:color w:val="auto"/>
          <w:lang w:val="en-US" w:eastAsia="zh-CN"/>
        </w:rPr>
        <w:t>（2）场景主题明确，拥有自主知识产权或正规授权。</w:t>
      </w:r>
    </w:p>
    <w:p w14:paraId="328FE026">
      <w:pPr>
        <w:pStyle w:val="35"/>
        <w:keepNext w:val="0"/>
        <w:keepLines w:val="0"/>
        <w:pageBreakBefore w:val="0"/>
        <w:widowControl w:val="0"/>
        <w:kinsoku/>
        <w:wordWrap/>
        <w:overflowPunct/>
        <w:topLinePunct w:val="0"/>
        <w:autoSpaceDE/>
        <w:autoSpaceDN/>
        <w:bidi w:val="0"/>
        <w:adjustRightInd/>
        <w:snapToGrid/>
        <w:spacing w:before="0" w:after="0"/>
        <w:ind w:firstLine="640"/>
        <w:textAlignment w:val="auto"/>
        <w:rPr>
          <w:rFonts w:hint="eastAsia"/>
          <w:color w:val="auto"/>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14:paraId="7A0E529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14:paraId="0314508F">
      <w:pPr>
        <w:bidi w:val="0"/>
        <w:rPr>
          <w:rFonts w:hint="eastAsia"/>
          <w:color w:val="auto"/>
          <w:highlight w:val="none"/>
          <w:lang w:val="en-US" w:eastAsia="zh-CN"/>
        </w:rPr>
      </w:pPr>
      <w:r>
        <w:rPr>
          <w:rFonts w:hint="eastAsia"/>
          <w:color w:val="auto"/>
          <w:highlight w:val="none"/>
          <w:lang w:val="en-US" w:eastAsia="zh-CN"/>
        </w:rPr>
        <w:t>（一）支持新开设IP主题文化消费店铺，按项目相关的实际有效投入的20%给予资助，试点期间最高不超过100万元。</w:t>
      </w:r>
    </w:p>
    <w:p w14:paraId="3107739C">
      <w:pPr>
        <w:bidi w:val="0"/>
        <w:rPr>
          <w:rFonts w:hint="eastAsia" w:ascii="仿宋_GB2312" w:eastAsia="仿宋_GB2312"/>
          <w:color w:val="auto"/>
          <w:highlight w:val="none"/>
          <w:lang w:val="en-US" w:eastAsia="zh-CN"/>
        </w:rPr>
      </w:pPr>
      <w:r>
        <w:rPr>
          <w:rFonts w:hint="eastAsia"/>
          <w:color w:val="auto"/>
          <w:highlight w:val="none"/>
          <w:lang w:val="en-US" w:eastAsia="zh-CN"/>
        </w:rPr>
        <w:t>（二）支持新开设IP焕新体验空间，按项目相关的实际有效投入的20%给予资助，试点期间最高不超过100万元</w:t>
      </w:r>
      <w:r>
        <w:rPr>
          <w:rFonts w:hint="eastAsia" w:ascii="仿宋_GB2312" w:eastAsia="仿宋_GB2312"/>
          <w:color w:val="auto"/>
          <w:highlight w:val="none"/>
          <w:lang w:val="en-US" w:eastAsia="zh-CN"/>
        </w:rPr>
        <w:t>。</w:t>
      </w:r>
    </w:p>
    <w:p w14:paraId="5C391B7D">
      <w:pPr>
        <w:tabs>
          <w:tab w:val="center" w:pos="4153"/>
          <w:tab w:val="right" w:pos="8306"/>
        </w:tabs>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w:t>
      </w:r>
      <w:r>
        <w:rPr>
          <w:rStyle w:val="19"/>
          <w:rFonts w:hint="eastAsia"/>
          <w:color w:val="auto"/>
          <w:sz w:val="32"/>
          <w:szCs w:val="32"/>
          <w:highlight w:val="none"/>
          <w:lang w:val="en-US" w:eastAsia="zh-CN"/>
        </w:rPr>
        <w:t>IP单体场景</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14:paraId="12B16713">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27028"/>
      <w:bookmarkStart w:id="15" w:name="_Toc7147"/>
      <w:r>
        <w:rPr>
          <w:rFonts w:hint="eastAsia" w:ascii="黑体" w:hAnsi="黑体" w:eastAsia="黑体" w:cs="仿宋"/>
          <w:color w:val="auto"/>
          <w:kern w:val="2"/>
          <w:sz w:val="32"/>
          <w:szCs w:val="22"/>
          <w:highlight w:val="none"/>
          <w:lang w:val="en-US" w:eastAsia="zh-CN" w:bidi="ar-SA"/>
        </w:rPr>
        <w:t>六、申报材料</w:t>
      </w:r>
      <w:bookmarkEnd w:id="14"/>
      <w:bookmarkEnd w:id="15"/>
    </w:p>
    <w:p w14:paraId="351B562F">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14:paraId="2825647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于线上填写并提交《项目申报书》，网址：https://www.gdzwfw.gov.cn/（广东政务服务网），搜索“深圳市消费新业态新模式新场景试点项目（支持优质消费资源与知名IP跨界联名—优质消费资源与知名IP跨界联合单体场景资助项目）”——选择深圳市-南山区后，按照相关事项提示流程和要求进行线上申报（特别提醒该事项办理需申报主体以法人账号登录提交，不接受个人账号提交），并按办理指南提交相关材料（包括并不限于）如下：</w:t>
      </w:r>
    </w:p>
    <w:p w14:paraId="1E936C42">
      <w:pPr>
        <w:bidi w:val="0"/>
        <w:rPr>
          <w:rFonts w:hint="eastAsia"/>
          <w:highlight w:val="none"/>
          <w:lang w:val="en-US" w:eastAsia="zh-CN"/>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w:t>
      </w:r>
      <w:r>
        <w:rPr>
          <w:rFonts w:hint="eastAsia"/>
          <w:color w:val="auto"/>
          <w:highlight w:val="none"/>
          <w:lang w:val="en-US" w:eastAsia="zh-CN"/>
        </w:rPr>
        <w:t>（温馨提示：材料要求齐备，缺漏无法受理，请务必认真研读相关指南，切实准备资料，确认符合申请条件和材料齐备后再行提交，避免资料补缺导致办理时间过长或条件不符合退回）</w:t>
      </w:r>
      <w:r>
        <w:rPr>
          <w:rFonts w:hint="default"/>
          <w:highlight w:val="none"/>
        </w:rPr>
        <w:t>，初审通过后提供申请书纸质文件原件</w:t>
      </w:r>
      <w:r>
        <w:rPr>
          <w:rFonts w:hint="eastAsia"/>
          <w:highlight w:val="none"/>
          <w:lang w:eastAsia="zh-CN"/>
        </w:rPr>
        <w:t>，并按照</w:t>
      </w:r>
      <w:r>
        <w:rPr>
          <w:rFonts w:hint="default"/>
          <w:highlight w:val="none"/>
        </w:rPr>
        <w:t>本指南第六条要求的项目申报材料</w:t>
      </w:r>
      <w:r>
        <w:rPr>
          <w:rFonts w:hint="eastAsia"/>
          <w:highlight w:val="none"/>
          <w:lang w:eastAsia="zh-CN"/>
        </w:rPr>
        <w:t>（一式四份）</w:t>
      </w:r>
      <w:r>
        <w:rPr>
          <w:rFonts w:hint="default"/>
          <w:highlight w:val="none"/>
        </w:rPr>
        <w:t>一并线下或通过邮寄方式</w:t>
      </w:r>
      <w:r>
        <w:rPr>
          <w:rFonts w:hint="default"/>
          <w:highlight w:val="none"/>
          <w:lang w:val="en-US"/>
        </w:rPr>
        <w:t>将材料递交至政务服务大厅</w:t>
      </w:r>
      <w:r>
        <w:rPr>
          <w:rFonts w:hint="default"/>
          <w:highlight w:val="none"/>
        </w:rPr>
        <w:t>，线下受理地址</w:t>
      </w:r>
      <w:r>
        <w:rPr>
          <w:rFonts w:hint="default"/>
          <w:highlight w:val="none"/>
          <w:lang w:val="en-US"/>
        </w:rPr>
        <w:t>可通过</w:t>
      </w:r>
      <w:r>
        <w:rPr>
          <w:rFonts w:hint="default"/>
          <w:highlight w:val="none"/>
        </w:rPr>
        <w:t>线上申报系统申请页面查询</w:t>
      </w:r>
      <w:r>
        <w:rPr>
          <w:rFonts w:hint="default"/>
          <w:highlight w:val="none"/>
          <w:lang w:val="en-US"/>
        </w:rPr>
        <w:t>，</w:t>
      </w:r>
      <w:r>
        <w:rPr>
          <w:rFonts w:hint="eastAsia"/>
          <w:highlight w:val="none"/>
          <w:lang w:val="en-US" w:eastAsia="zh-CN"/>
        </w:rPr>
        <w:t>或见本指南第八条（三）受理地址。</w:t>
      </w:r>
    </w:p>
    <w:p w14:paraId="7B448FD9">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14:paraId="6D0615B0">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14:paraId="1186FCD5">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14:paraId="63664DCC">
      <w:pPr>
        <w:bidi w:val="0"/>
        <w:rPr>
          <w:rFonts w:hint="default"/>
          <w:color w:val="auto"/>
          <w:highlight w:val="none"/>
          <w:lang w:val="en-US" w:eastAsia="zh-CN"/>
        </w:rPr>
      </w:pPr>
      <w:r>
        <w:rPr>
          <w:rFonts w:hint="default"/>
          <w:color w:val="auto"/>
          <w:highlight w:val="none"/>
          <w:lang w:val="en-US" w:eastAsia="zh-CN"/>
        </w:rPr>
        <w:t>1.通用专项材料（两类方向均需提交）</w:t>
      </w:r>
      <w:r>
        <w:rPr>
          <w:rFonts w:hint="eastAsia"/>
          <w:color w:val="auto"/>
          <w:highlight w:val="none"/>
          <w:lang w:val="en-US" w:eastAsia="zh-CN"/>
        </w:rPr>
        <w:t>：</w:t>
      </w:r>
    </w:p>
    <w:p w14:paraId="51B1BEC1">
      <w:pPr>
        <w:bidi w:val="0"/>
        <w:rPr>
          <w:rFonts w:hint="eastAsia"/>
          <w:color w:val="auto"/>
          <w:highlight w:val="none"/>
          <w:lang w:val="en-US" w:eastAsia="zh-CN"/>
        </w:rPr>
      </w:pPr>
      <w:r>
        <w:rPr>
          <w:rFonts w:hint="eastAsia"/>
          <w:color w:val="auto"/>
          <w:highlight w:val="none"/>
          <w:lang w:val="en-US" w:eastAsia="zh-CN"/>
        </w:rPr>
        <w:t>（1）项目成效总结（模板详见项目申报书）。</w:t>
      </w:r>
    </w:p>
    <w:p w14:paraId="6FD519AB">
      <w:pPr>
        <w:bidi w:val="0"/>
        <w:rPr>
          <w:rFonts w:hint="eastAsia"/>
          <w:color w:val="auto"/>
          <w:highlight w:val="none"/>
          <w:lang w:val="en-US" w:eastAsia="zh-CN"/>
        </w:rPr>
      </w:pPr>
      <w:r>
        <w:rPr>
          <w:rFonts w:hint="eastAsia"/>
          <w:color w:val="auto"/>
          <w:highlight w:val="none"/>
          <w:lang w:val="en-US" w:eastAsia="zh-CN"/>
        </w:rPr>
        <w:t>（2）专项资金项目投入明细表及佐证材料（详见项目申报书）。</w:t>
      </w:r>
    </w:p>
    <w:p w14:paraId="1C44DFC3">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IP授权证明</w:t>
      </w:r>
      <w:r>
        <w:rPr>
          <w:rFonts w:hint="eastAsia"/>
          <w:color w:val="auto"/>
          <w:highlight w:val="none"/>
          <w:lang w:val="en-US" w:eastAsia="zh-CN"/>
        </w:rPr>
        <w:t>：</w:t>
      </w:r>
      <w:r>
        <w:rPr>
          <w:rFonts w:hint="default"/>
          <w:color w:val="auto"/>
          <w:highlight w:val="none"/>
          <w:lang w:val="en-US" w:eastAsia="zh-CN"/>
        </w:rPr>
        <w:tab/>
      </w:r>
      <w:r>
        <w:rPr>
          <w:rFonts w:hint="default"/>
          <w:color w:val="auto"/>
          <w:highlight w:val="none"/>
          <w:lang w:val="en-US" w:eastAsia="zh-CN"/>
        </w:rPr>
        <w:t>IP方出具的正式授权书或合作协议</w:t>
      </w:r>
      <w:r>
        <w:rPr>
          <w:rFonts w:hint="eastAsia"/>
          <w:color w:val="auto"/>
          <w:highlight w:val="none"/>
          <w:lang w:val="en-US" w:eastAsia="zh-CN"/>
        </w:rPr>
        <w:t>。</w:t>
      </w:r>
    </w:p>
    <w:p w14:paraId="2D8BF0F5">
      <w:pPr>
        <w:bidi w:val="0"/>
        <w:rPr>
          <w:rFonts w:hint="eastAsia"/>
          <w:color w:val="auto"/>
          <w:highlight w:val="none"/>
          <w:lang w:val="en-US" w:eastAsia="zh-CN"/>
        </w:rPr>
      </w:pPr>
      <w:r>
        <w:rPr>
          <w:rFonts w:hint="eastAsia"/>
          <w:color w:val="auto"/>
          <w:highlight w:val="none"/>
          <w:lang w:val="en-US" w:eastAsia="zh-CN"/>
        </w:rPr>
        <w:t>（4）固定经营场所佐证材料：不动产权证书、租赁合同或场地使用文件。</w:t>
      </w:r>
    </w:p>
    <w:p w14:paraId="65CE4F36">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分类型专项材料（选择</w:t>
      </w:r>
      <w:r>
        <w:rPr>
          <w:rFonts w:hint="eastAsia"/>
          <w:color w:val="auto"/>
          <w:highlight w:val="none"/>
          <w:lang w:val="en-US" w:eastAsia="zh-CN"/>
        </w:rPr>
        <w:t>一类型</w:t>
      </w:r>
      <w:r>
        <w:rPr>
          <w:rFonts w:hint="default"/>
          <w:color w:val="auto"/>
          <w:highlight w:val="none"/>
          <w:lang w:val="en-US" w:eastAsia="zh-CN"/>
        </w:rPr>
        <w:t>提交）</w:t>
      </w:r>
      <w:r>
        <w:rPr>
          <w:rFonts w:hint="eastAsia"/>
          <w:color w:val="auto"/>
          <w:highlight w:val="none"/>
          <w:lang w:val="en-US" w:eastAsia="zh-CN"/>
        </w:rPr>
        <w:t>：</w:t>
      </w:r>
    </w:p>
    <w:p w14:paraId="46F6BE84">
      <w:pPr>
        <w:bidi w:val="0"/>
        <w:rPr>
          <w:rFonts w:hint="default"/>
          <w:color w:val="auto"/>
          <w:highlight w:val="none"/>
          <w:lang w:val="en-US" w:eastAsia="zh-CN"/>
        </w:rPr>
      </w:pPr>
      <w:r>
        <w:rPr>
          <w:rFonts w:hint="eastAsia"/>
          <w:color w:val="auto"/>
          <w:highlight w:val="none"/>
          <w:lang w:val="en-US" w:eastAsia="zh-CN"/>
        </w:rPr>
        <w:t>一是</w:t>
      </w:r>
      <w:r>
        <w:rPr>
          <w:rFonts w:hint="default"/>
          <w:color w:val="auto"/>
          <w:highlight w:val="none"/>
          <w:lang w:val="en-US" w:eastAsia="zh-CN"/>
        </w:rPr>
        <w:t>IP主题文化消费店铺</w:t>
      </w:r>
      <w:r>
        <w:rPr>
          <w:rFonts w:hint="eastAsia"/>
          <w:color w:val="auto"/>
          <w:highlight w:val="none"/>
          <w:lang w:val="en-US" w:eastAsia="zh-CN"/>
        </w:rPr>
        <w:t>：</w:t>
      </w:r>
    </w:p>
    <w:p w14:paraId="20819237">
      <w:pPr>
        <w:bidi w:val="0"/>
        <w:rPr>
          <w:rFonts w:hint="eastAsia"/>
          <w:color w:val="auto"/>
          <w:highlight w:val="none"/>
          <w:lang w:val="en-US" w:eastAsia="zh-CN"/>
        </w:rPr>
      </w:pPr>
      <w:r>
        <w:rPr>
          <w:rFonts w:hint="eastAsia"/>
          <w:color w:val="auto"/>
          <w:highlight w:val="none"/>
          <w:lang w:val="en-US" w:eastAsia="zh-CN"/>
        </w:rPr>
        <w:t>（1）核心业务材料：项目说明（须体现以IP衍生品销售、IP文化体验为核心业务）。</w:t>
      </w:r>
    </w:p>
    <w:p w14:paraId="36D6733B">
      <w:pPr>
        <w:bidi w:val="0"/>
        <w:rPr>
          <w:rFonts w:hint="eastAsia"/>
          <w:color w:val="auto"/>
          <w:highlight w:val="none"/>
          <w:lang w:val="en-US" w:eastAsia="zh-CN"/>
        </w:rPr>
      </w:pPr>
      <w:r>
        <w:rPr>
          <w:rFonts w:hint="eastAsia"/>
          <w:color w:val="auto"/>
          <w:highlight w:val="none"/>
          <w:lang w:val="en-US" w:eastAsia="zh-CN"/>
        </w:rPr>
        <w:t>（2）产品类型佐证材料：IP衍生品清单（须体现产品类型不少于3类）。</w:t>
      </w:r>
    </w:p>
    <w:p w14:paraId="7F70C5F5">
      <w:pPr>
        <w:bidi w:val="0"/>
        <w:rPr>
          <w:rFonts w:hint="eastAsia"/>
          <w:color w:val="auto"/>
          <w:highlight w:val="none"/>
          <w:lang w:val="en-US" w:eastAsia="zh-CN"/>
        </w:rPr>
      </w:pPr>
      <w:r>
        <w:rPr>
          <w:rFonts w:hint="eastAsia"/>
          <w:color w:val="auto"/>
          <w:highlight w:val="none"/>
          <w:lang w:val="en-US" w:eastAsia="zh-CN"/>
        </w:rPr>
        <w:t>（3）服务次数佐证材料：后台服务记录、消费订单数据等（须体现月均不低于1000次）。</w:t>
      </w:r>
    </w:p>
    <w:p w14:paraId="32F3CB43">
      <w:pPr>
        <w:bidi w:val="0"/>
        <w:rPr>
          <w:rFonts w:hint="eastAsia"/>
          <w:color w:val="auto"/>
          <w:highlight w:val="none"/>
          <w:lang w:val="en-US" w:eastAsia="zh-CN"/>
        </w:rPr>
      </w:pPr>
      <w:r>
        <w:rPr>
          <w:rFonts w:hint="eastAsia"/>
          <w:color w:val="auto"/>
          <w:highlight w:val="none"/>
          <w:lang w:val="en-US" w:eastAsia="zh-CN"/>
        </w:rPr>
        <w:t>（4）开设时间佐证材料：营业执照或开业登记、媒体报道等材料（须体现为2025年9月30日（含）之后新开设店铺）。</w:t>
      </w:r>
    </w:p>
    <w:p w14:paraId="49AB0462">
      <w:pPr>
        <w:bidi w:val="0"/>
        <w:rPr>
          <w:rFonts w:hint="default"/>
          <w:color w:val="auto"/>
          <w:highlight w:val="none"/>
          <w:lang w:val="en-US" w:eastAsia="zh-CN"/>
        </w:rPr>
      </w:pPr>
      <w:r>
        <w:rPr>
          <w:rFonts w:hint="eastAsia"/>
          <w:color w:val="auto"/>
          <w:highlight w:val="none"/>
          <w:lang w:val="en-US" w:eastAsia="zh-CN"/>
        </w:rPr>
        <w:t>二是</w:t>
      </w:r>
      <w:r>
        <w:rPr>
          <w:rFonts w:hint="default"/>
          <w:color w:val="auto"/>
          <w:highlight w:val="none"/>
          <w:lang w:val="en-US" w:eastAsia="zh-CN"/>
        </w:rPr>
        <w:t>IP焕新体验空间</w:t>
      </w:r>
      <w:r>
        <w:rPr>
          <w:rFonts w:hint="eastAsia"/>
          <w:color w:val="auto"/>
          <w:highlight w:val="none"/>
          <w:lang w:val="en-US" w:eastAsia="zh-CN"/>
        </w:rPr>
        <w:t>：</w:t>
      </w:r>
    </w:p>
    <w:p w14:paraId="5224721A">
      <w:pPr>
        <w:bidi w:val="0"/>
        <w:rPr>
          <w:rFonts w:hint="eastAsia"/>
          <w:color w:val="auto"/>
          <w:highlight w:val="none"/>
          <w:lang w:val="en-US" w:eastAsia="zh-CN"/>
        </w:rPr>
      </w:pPr>
      <w:r>
        <w:rPr>
          <w:rFonts w:hint="eastAsia"/>
          <w:color w:val="auto"/>
          <w:highlight w:val="none"/>
          <w:lang w:val="en-US" w:eastAsia="zh-CN"/>
        </w:rPr>
        <w:t>（1）焕新体验说明材料：详细说明跨界联名、主题升级、内容共创等改造升级内容，附改造前后对比照片、改造方案、施工记录等。</w:t>
      </w:r>
    </w:p>
    <w:p w14:paraId="59CC151B">
      <w:pPr>
        <w:bidi w:val="0"/>
        <w:rPr>
          <w:rFonts w:hint="eastAsia"/>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场景主题佐证材料：明确场景IP主题，提供主题设计方案、实景呈现资料</w:t>
      </w:r>
      <w:r>
        <w:rPr>
          <w:rFonts w:hint="eastAsia"/>
          <w:color w:val="auto"/>
          <w:highlight w:val="none"/>
          <w:lang w:val="en-US" w:eastAsia="zh-CN"/>
        </w:rPr>
        <w:t>等。</w:t>
      </w:r>
    </w:p>
    <w:p w14:paraId="64C4482B">
      <w:pPr>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开设时间佐证材料：营业执照</w:t>
      </w:r>
      <w:r>
        <w:rPr>
          <w:rFonts w:hint="eastAsia"/>
          <w:color w:val="auto"/>
          <w:highlight w:val="none"/>
          <w:lang w:val="en-US" w:eastAsia="zh-CN"/>
        </w:rPr>
        <w:t>或开业登记、媒体报道等材料（须体现为2025年9月30日（含）之后新开设店铺）。</w:t>
      </w:r>
    </w:p>
    <w:p w14:paraId="60489354">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14:paraId="61F65A6F">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6" w:name="_Toc19526"/>
      <w:bookmarkStart w:id="17" w:name="_Toc5711"/>
      <w:bookmarkStart w:id="18" w:name="_Toc10305"/>
      <w:bookmarkStart w:id="19" w:name="_Toc161850809"/>
      <w:bookmarkStart w:id="20" w:name="_Toc125127183"/>
      <w:bookmarkStart w:id="21" w:name="_Toc2137"/>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七、申请表格</w:t>
      </w:r>
      <w:bookmarkEnd w:id="16"/>
      <w:bookmarkEnd w:id="17"/>
    </w:p>
    <w:p w14:paraId="014257E7">
      <w:pPr>
        <w:keepNext w:val="0"/>
        <w:keepLines w:val="0"/>
        <w:pageBreakBefore w:val="0"/>
        <w:kinsoku/>
        <w:wordWrap/>
        <w:overflowPunct w:val="0"/>
        <w:topLinePunct w:val="0"/>
        <w:autoSpaceDE/>
        <w:autoSpaceDN/>
        <w:bidi w:val="0"/>
        <w:adjustRightInd w:val="0"/>
        <w:snapToGrid w:val="0"/>
        <w:spacing w:line="560" w:lineRule="exact"/>
        <w:ind w:left="0" w:right="0" w:firstLine="640" w:firstLineChars="200"/>
        <w:textAlignment w:val="auto"/>
        <w:rPr>
          <w:rFonts w:hint="eastAsia" w:ascii="仿宋_GB2312" w:eastAsia="仿宋_GB2312" w:cs="Times New Roman"/>
          <w:color w:val="000000"/>
          <w:sz w:val="32"/>
          <w:szCs w:val="32"/>
          <w:highlight w:val="none"/>
        </w:rPr>
      </w:pPr>
      <w:bookmarkStart w:id="22" w:name="_Toc13760"/>
      <w:bookmarkStart w:id="23" w:name="_Toc20121"/>
      <w:r>
        <w:rPr>
          <w:rFonts w:hint="eastAsia" w:hAnsi="Calibri" w:cs="Times New Roman"/>
          <w:color w:val="000000"/>
          <w:spacing w:val="0"/>
          <w:sz w:val="32"/>
          <w:szCs w:val="32"/>
          <w:highlight w:val="none"/>
          <w:lang w:eastAsia="zh-CN"/>
        </w:rPr>
        <w:t>按照</w:t>
      </w:r>
      <w:r>
        <w:rPr>
          <w:rFonts w:hint="eastAsia" w:ascii="仿宋_GB2312" w:hAnsi="Calibri" w:eastAsia="仿宋_GB2312" w:cs="Times New Roman"/>
          <w:color w:val="000000"/>
          <w:spacing w:val="0"/>
          <w:sz w:val="32"/>
          <w:szCs w:val="32"/>
          <w:highlight w:val="none"/>
        </w:rPr>
        <w:t>本指南第六条（一）规定登录广东政务服务网在线填报申请书，网址：https://www.gdzwfw.gov.cn/</w:t>
      </w:r>
      <w:r>
        <w:rPr>
          <w:rFonts w:hint="eastAsia" w:ascii="仿宋_GB2312" w:eastAsia="仿宋_GB2312" w:cs="Times New Roman"/>
          <w:color w:val="000000"/>
          <w:spacing w:val="0"/>
          <w:sz w:val="32"/>
          <w:szCs w:val="32"/>
          <w:highlight w:val="none"/>
          <w:lang w:eastAsia="zh-CN"/>
        </w:rPr>
        <w:t>。</w:t>
      </w:r>
      <w:r>
        <w:rPr>
          <w:rFonts w:hint="eastAsia" w:cs="Times New Roman"/>
          <w:color w:val="000000"/>
          <w:spacing w:val="0"/>
          <w:sz w:val="32"/>
          <w:szCs w:val="32"/>
          <w:highlight w:val="none"/>
          <w:lang w:eastAsia="zh-CN"/>
        </w:rPr>
        <w:t>请在线上下载并填写《深圳市2026年中央资金消费新业态新模式新场景试点项目申报书》。</w:t>
      </w:r>
    </w:p>
    <w:p w14:paraId="516DF09F">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八、受理机关</w:t>
      </w:r>
      <w:bookmarkEnd w:id="22"/>
      <w:bookmarkEnd w:id="23"/>
    </w:p>
    <w:p w14:paraId="364B4644">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（一）受理机关</w:t>
      </w:r>
    </w:p>
    <w:p w14:paraId="1ABFC2F7">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深圳市南山区商务局。</w:t>
      </w:r>
    </w:p>
    <w:p w14:paraId="3B006E7E">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（二）受理时间</w:t>
      </w:r>
    </w:p>
    <w:p w14:paraId="647F4135">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14:paraId="4E5211B2">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14:paraId="75C0D40D">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申报单位在上述规定时间内填报、提交材料，逾期不予受理。</w:t>
      </w:r>
    </w:p>
    <w:p w14:paraId="0FF0CD85">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14:paraId="01706AEC">
      <w:pPr>
        <w:keepNext w:val="0"/>
        <w:keepLines w:val="0"/>
        <w:widowControl/>
        <w:suppressLineNumbers w:val="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auto"/>
          <w:sz w:val="32"/>
          <w:szCs w:val="32"/>
          <w:highlight w:val="none"/>
          <w:lang w:eastAsia="zh-CN"/>
        </w:rPr>
        <w:t>线上受理：</w:t>
      </w:r>
      <w:r>
        <w:rPr>
          <w:rFonts w:hint="eastAsia"/>
          <w:color w:val="auto"/>
          <w:highlight w:val="none"/>
          <w:lang w:val="en-US" w:eastAsia="zh-CN"/>
        </w:rPr>
        <w:t>https://www.gdzwfw.gov.cn/（广东政务服务网）。</w:t>
      </w:r>
    </w:p>
    <w:p w14:paraId="756A1CF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线下材料递交地址：</w:t>
      </w:r>
    </w:p>
    <w:p w14:paraId="76F1BEE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（1）深圳市南山区政务服务中心</w:t>
      </w:r>
    </w:p>
    <w:p w14:paraId="47612FE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地址：深圳市南山区滨海大道辅路3001号深圳湾体育中心南山区政务服务中心一楼综合窗口（深圳湾体育中心东南侧独栋楼房）；办公电话：0755-86975095。</w:t>
      </w:r>
    </w:p>
    <w:p w14:paraId="76D84B0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时间：周一至周五：9:00－12:00</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14:00-17:45（午间服务时间12:00-14:00。法定节假日休息，不对外办公</w:t>
      </w:r>
      <w:r>
        <w:rPr>
          <w:rFonts w:hint="eastAsia"/>
          <w:color w:val="000000" w:themeColor="text1"/>
          <w:highlight w:val="none"/>
          <w:lang w:val="en-US" w:eastAsia="zh-CN"/>
          <w14:textFill>
            <w14:solidFill>
              <w14:schemeClr w14:val="tx1"/>
            </w14:solidFill>
          </w14:textFill>
        </w:rPr>
        <w:t>）。</w:t>
      </w:r>
    </w:p>
    <w:p w14:paraId="1961B22E">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（2）深圳市南山区政务服务中心创智云城服务厅</w:t>
      </w:r>
    </w:p>
    <w:p w14:paraId="5F42962F">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详细地址：深圳市南山区创科路260号创智云城A3栋3楼综合窗口；办公电话：0755-86965234。</w:t>
      </w:r>
    </w:p>
    <w:p w14:paraId="2D6A3532">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00－12:00，14:00-17</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45（法定节假日休息，不对外办公）</w:t>
      </w:r>
    </w:p>
    <w:p w14:paraId="57ADBE5C">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（3）深圳市南山区政务服务中心创新广场服务厅</w:t>
      </w:r>
    </w:p>
    <w:p w14:paraId="1FBFEF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详细地址：深圳市南山区白石路3069号深圳湾科技生态园9栋A座B3层南山区政务服务中心创新广场服务厅综合窗口；办公电话：0755-26923005。</w:t>
      </w:r>
    </w:p>
    <w:p w14:paraId="5ABDEFB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办理时间：周一至周五上午9:00—12:00；14:00—17:45（法定节假日及调休除外）</w:t>
      </w:r>
    </w:p>
    <w:p w14:paraId="3691D816">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14:paraId="1112CF47">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4" w:name="_Toc9722"/>
      <w:bookmarkStart w:id="25" w:name="_Toc1376"/>
      <w:r>
        <w:rPr>
          <w:rFonts w:hint="eastAsia" w:hAnsi="宋体" w:cs="宋体"/>
          <w:color w:val="000000" w:themeColor="text1"/>
          <w:kern w:val="0"/>
          <w:sz w:val="32"/>
          <w:szCs w:val="32"/>
          <w:highlight w:val="none"/>
          <w:lang w:val="en-US" w:eastAsia="zh-CN"/>
          <w14:textFill>
            <w14:solidFill>
              <w14:schemeClr w14:val="tx1"/>
            </w14:solidFill>
          </w14:textFill>
        </w:rPr>
        <w:t>0755-88167804、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0755-88167811</w:t>
      </w:r>
    </w:p>
    <w:p w14:paraId="4F9ADDD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九、申请决定机关</w:t>
      </w:r>
      <w:bookmarkEnd w:id="24"/>
      <w:bookmarkEnd w:id="25"/>
    </w:p>
    <w:p w14:paraId="1C1B9107">
      <w:pPr>
        <w:keepNext/>
        <w:keepLines/>
        <w:widowControl w:val="0"/>
        <w:bidi w:val="0"/>
        <w:spacing w:before="0" w:beforeLines="0" w:beforeAutospacing="0" w:after="0" w:afterLines="0" w:afterAutospacing="0" w:line="560" w:lineRule="exact"/>
        <w:ind w:firstLine="640" w:firstLineChars="200"/>
        <w:jc w:val="both"/>
        <w:outlineLvl w:val="0"/>
        <w:rPr>
          <w:rFonts w:hint="eastAsia" w:ascii="仿宋_GB2312" w:hAnsi="宋体" w:eastAsia="仿宋_GB2312" w:cs="宋体"/>
          <w:color w:val="auto"/>
          <w:kern w:val="0"/>
          <w:sz w:val="32"/>
          <w:szCs w:val="32"/>
          <w:highlight w:val="none"/>
          <w:lang w:val="en-US" w:eastAsia="zh-CN"/>
        </w:rPr>
      </w:pPr>
      <w:r>
        <w:rPr>
          <w:rFonts w:hint="eastAsia" w:hAnsi="宋体" w:cs="宋体"/>
          <w:color w:val="000000" w:themeColor="text1"/>
          <w:kern w:val="0"/>
          <w:sz w:val="32"/>
          <w:szCs w:val="32"/>
          <w:highlight w:val="none"/>
          <w:lang w:val="en-US" w:eastAsia="zh-CN"/>
          <w14:textFill>
            <w14:solidFill>
              <w14:schemeClr w14:val="tx1"/>
            </w14:solidFill>
          </w14:textFill>
        </w:rPr>
        <w:t>深圳市南山区商务局</w:t>
      </w:r>
    </w:p>
    <w:p w14:paraId="2C30ED22">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6198"/>
      <w:bookmarkStart w:id="27" w:name="_Toc11274"/>
      <w:r>
        <w:rPr>
          <w:rFonts w:hint="eastAsia" w:ascii="黑体" w:hAnsi="黑体" w:eastAsia="黑体" w:cs="仿宋"/>
          <w:color w:val="auto"/>
          <w:kern w:val="2"/>
          <w:sz w:val="32"/>
          <w:szCs w:val="22"/>
          <w:highlight w:val="none"/>
          <w:lang w:val="en-US" w:eastAsia="zh-CN" w:bidi="ar-SA"/>
        </w:rPr>
        <w:t>十、办理流程</w:t>
      </w:r>
      <w:bookmarkEnd w:id="26"/>
      <w:bookmarkEnd w:id="27"/>
    </w:p>
    <w:p w14:paraId="6A46FFED">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区级商务主管部门发布申报指南——申报单位网上申报——区级商务主管部门网上初审——申报单位向辖区政务服务中心收文窗口提交申请材料——区级商务部门开展形式审查——区级商务主管部门开展资质审查——区级商务主管部门组织专项审计——征求意见与综合核查——拟定资助计划——社会公示——下达资助计划——通知申报单位提交拨付资料——拨付资金</w:t>
      </w:r>
      <w:r>
        <w:rPr>
          <w:rFonts w:hint="eastAsia" w:ascii="仿宋_GB2312" w:hAnsi="仿宋_GB2312" w:eastAsia="仿宋_GB2312" w:cs="Times New Roman"/>
          <w:color w:val="auto"/>
          <w:sz w:val="32"/>
          <w:szCs w:val="32"/>
          <w:highlight w:val="none"/>
          <w:lang w:bidi="ar"/>
        </w:rPr>
        <w:t>。</w:t>
      </w:r>
    </w:p>
    <w:p w14:paraId="4207051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28790"/>
      <w:bookmarkStart w:id="29" w:name="_Toc3693"/>
      <w:r>
        <w:rPr>
          <w:rFonts w:hint="eastAsia" w:ascii="黑体" w:hAnsi="黑体" w:eastAsia="黑体" w:cs="仿宋"/>
          <w:color w:val="auto"/>
          <w:kern w:val="2"/>
          <w:sz w:val="32"/>
          <w:szCs w:val="22"/>
          <w:highlight w:val="none"/>
          <w:lang w:val="en-US" w:eastAsia="zh-CN" w:bidi="ar-SA"/>
        </w:rPr>
        <w:t>十一、办理时限</w:t>
      </w:r>
      <w:bookmarkEnd w:id="28"/>
      <w:bookmarkEnd w:id="29"/>
    </w:p>
    <w:p w14:paraId="6506C69A">
      <w:pPr>
        <w:bidi w:val="0"/>
        <w:rPr>
          <w:rFonts w:hint="eastAsia"/>
          <w:color w:val="auto"/>
          <w:highlight w:val="none"/>
        </w:rPr>
      </w:pPr>
      <w:r>
        <w:rPr>
          <w:rFonts w:hint="eastAsia"/>
          <w:color w:val="auto"/>
          <w:highlight w:val="none"/>
          <w:lang w:val="en-US" w:eastAsia="zh-CN"/>
        </w:rPr>
        <w:t>180个工作日，不含特别程序。</w:t>
      </w:r>
    </w:p>
    <w:p w14:paraId="0387287D">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29872"/>
      <w:bookmarkStart w:id="31" w:name="_Toc32254"/>
      <w:r>
        <w:rPr>
          <w:rFonts w:hint="eastAsia" w:ascii="黑体" w:hAnsi="黑体" w:eastAsia="黑体" w:cs="仿宋"/>
          <w:color w:val="auto"/>
          <w:kern w:val="2"/>
          <w:sz w:val="32"/>
          <w:szCs w:val="22"/>
          <w:highlight w:val="none"/>
          <w:lang w:val="en-US" w:eastAsia="zh-CN" w:bidi="ar-SA"/>
        </w:rPr>
        <w:t>十二、证件及有效期</w:t>
      </w:r>
      <w:bookmarkEnd w:id="30"/>
      <w:bookmarkEnd w:id="31"/>
    </w:p>
    <w:p w14:paraId="545717F9">
      <w:pPr>
        <w:bidi w:val="0"/>
        <w:rPr>
          <w:rFonts w:hint="eastAsia"/>
          <w:color w:val="auto"/>
          <w:highlight w:val="none"/>
        </w:rPr>
      </w:pPr>
      <w:r>
        <w:rPr>
          <w:rFonts w:hint="eastAsia"/>
          <w:color w:val="auto"/>
          <w:highlight w:val="none"/>
        </w:rPr>
        <w:t>证件：无</w:t>
      </w:r>
    </w:p>
    <w:p w14:paraId="696F5A66">
      <w:pPr>
        <w:bidi w:val="0"/>
        <w:rPr>
          <w:rFonts w:hint="eastAsia"/>
          <w:color w:val="auto"/>
          <w:highlight w:val="none"/>
        </w:rPr>
      </w:pPr>
      <w:r>
        <w:rPr>
          <w:rFonts w:hint="eastAsia"/>
          <w:color w:val="auto"/>
          <w:highlight w:val="none"/>
        </w:rPr>
        <w:t>有效期限：无</w:t>
      </w:r>
    </w:p>
    <w:p w14:paraId="3C72D668">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14:paraId="19A72354">
      <w:pPr>
        <w:bidi w:val="0"/>
        <w:rPr>
          <w:rFonts w:hint="eastAsia"/>
          <w:color w:val="auto"/>
          <w:highlight w:val="none"/>
        </w:rPr>
      </w:pPr>
      <w:r>
        <w:rPr>
          <w:rFonts w:hint="eastAsia"/>
          <w:color w:val="auto"/>
          <w:highlight w:val="none"/>
        </w:rPr>
        <w:t>无</w:t>
      </w:r>
    </w:p>
    <w:p w14:paraId="52292998">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14:paraId="5083CEDC">
      <w:pPr>
        <w:bidi w:val="0"/>
        <w:rPr>
          <w:rFonts w:hint="eastAsia"/>
          <w:color w:val="auto"/>
          <w:highlight w:val="none"/>
        </w:rPr>
      </w:pPr>
      <w:r>
        <w:rPr>
          <w:rFonts w:hint="eastAsia"/>
          <w:color w:val="auto"/>
          <w:highlight w:val="none"/>
        </w:rPr>
        <w:t>无</w:t>
      </w:r>
    </w:p>
    <w:p w14:paraId="6F42FD76">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475"/>
      <w:bookmarkStart w:id="37" w:name="_Toc3014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14:paraId="1EBA0EBB">
      <w:pPr>
        <w:bidi w:val="0"/>
        <w:rPr>
          <w:rFonts w:hint="eastAsia"/>
          <w:color w:val="auto"/>
          <w:highlight w:val="none"/>
        </w:rPr>
      </w:pPr>
      <w:r>
        <w:rPr>
          <w:rFonts w:hint="eastAsia"/>
          <w:color w:val="auto"/>
          <w:highlight w:val="none"/>
        </w:rPr>
        <w:t>无</w:t>
      </w:r>
      <w:bookmarkStart w:id="38" w:name="_Toc28762"/>
      <w:bookmarkStart w:id="39" w:name="_Toc20677"/>
    </w:p>
    <w:p w14:paraId="46461EF4">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14:paraId="1311BAE6">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14:paraId="267E9228">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w:t>
      </w:r>
      <w:r>
        <w:rPr>
          <w:rFonts w:hint="default"/>
          <w:color w:val="auto"/>
          <w:highlight w:val="none"/>
          <w:lang w:val="en-US" w:eastAsia="zh-CN"/>
        </w:rPr>
        <w:t>，</w:t>
      </w:r>
      <w:r>
        <w:rPr>
          <w:rFonts w:hint="eastAsia"/>
          <w:color w:val="auto"/>
          <w:highlight w:val="none"/>
          <w:lang w:val="en-US" w:eastAsia="zh-CN"/>
        </w:rPr>
        <w:t>并按照有关规定处理；涉嫌犯罪的，依法移送有关机关处理：</w:t>
      </w:r>
    </w:p>
    <w:p w14:paraId="0D7E4BA0">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14:paraId="0B373578">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14:paraId="72C0DA9C">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14:paraId="24867C36">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14:paraId="1648BBDE">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14:paraId="50602E8B">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14:paraId="00093F5C">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14:paraId="4C3CF536">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r>
        <w:rPr>
          <w:rFonts w:hint="eastAsia"/>
          <w:color w:val="000000" w:themeColor="text1"/>
          <w:highlight w:val="none"/>
          <w:lang w:val="en-US" w:eastAsia="zh-CN"/>
          <w14:textFill>
            <w14:solidFill>
              <w14:schemeClr w14:val="tx1"/>
            </w14:solidFill>
          </w14:textFill>
        </w:rPr>
        <w:t>（0755-88167811</w:t>
      </w:r>
      <w:bookmarkStart w:id="40" w:name="_GoBack"/>
      <w:r>
        <w:rPr>
          <w:rFonts w:hint="eastAsia"/>
          <w:color w:val="000000" w:themeColor="text1"/>
          <w:highlight w:val="none"/>
          <w:lang w:val="en-US" w:eastAsia="zh-CN"/>
          <w14:textFill>
            <w14:solidFill>
              <w14:schemeClr w14:val="tx1"/>
            </w14:solidFill>
          </w14:textFill>
        </w:rPr>
        <w:t>）</w:t>
      </w:r>
      <w:bookmarkEnd w:id="40"/>
    </w:p>
    <w:p w14:paraId="461C7E79">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14:paraId="2F911E7B">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14:paraId="60C08137">
      <w:pPr>
        <w:bidi w:val="0"/>
        <w:ind w:firstLine="0" w:firstLineChars="0"/>
        <w:rPr>
          <w:rFonts w:hint="eastAsia"/>
          <w:color w:val="auto"/>
          <w:highlight w:val="none"/>
          <w:lang w:val="en-US" w:eastAsia="zh-CN"/>
        </w:rPr>
      </w:pPr>
    </w:p>
    <w:bookmarkEnd w:id="18"/>
    <w:bookmarkEnd w:id="19"/>
    <w:bookmarkEnd w:id="20"/>
    <w:bookmarkEnd w:id="21"/>
    <w:p w14:paraId="25598EB8">
      <w:pPr>
        <w:pStyle w:val="17"/>
        <w:rPr>
          <w:rFonts w:hint="eastAsia" w:ascii="仿宋_GB2312" w:hAnsi="仿宋_GB2312"/>
          <w:color w:val="auto"/>
          <w:highlight w:val="none"/>
          <w:lang w:eastAsia="zh-CN"/>
        </w:rPr>
      </w:pPr>
      <w:r>
        <w:rPr>
          <w:rFonts w:hint="eastAsia" w:ascii="仿宋_GB2312" w:hAnsi="仿宋_GB2312"/>
          <w:color w:val="auto"/>
          <w:highlight w:val="none"/>
          <w:lang w:eastAsia="zh-CN"/>
        </w:rPr>
        <w:t>附录：名词解释</w:t>
      </w:r>
    </w:p>
    <w:p w14:paraId="7B30191E">
      <w:pPr>
        <w:rPr>
          <w:rFonts w:hint="eastAsia" w:ascii="仿宋_GB2312" w:hAnsi="仿宋_GB2312"/>
          <w:color w:val="auto"/>
          <w:highlight w:val="none"/>
          <w:lang w:eastAsia="zh-CN"/>
        </w:rPr>
      </w:pPr>
      <w:r>
        <w:rPr>
          <w:rFonts w:hint="eastAsia" w:ascii="仿宋_GB2312" w:hAnsi="仿宋_GB2312"/>
          <w:color w:val="auto"/>
          <w:highlight w:val="none"/>
          <w:lang w:eastAsia="zh-CN"/>
        </w:rPr>
        <w:br w:type="page"/>
      </w:r>
    </w:p>
    <w:p w14:paraId="4C04B278">
      <w:pPr>
        <w:pStyle w:val="17"/>
        <w:ind w:firstLine="0" w:firstLineChars="0"/>
        <w:rPr>
          <w:rFonts w:hint="eastAsia" w:ascii="黑体" w:hAnsi="黑体" w:eastAsia="黑体" w:cs="黑体"/>
          <w:color w:val="auto"/>
          <w:highlight w:val="none"/>
          <w:lang w:eastAsia="zh-CN"/>
        </w:rPr>
      </w:pPr>
      <w:r>
        <w:rPr>
          <w:rFonts w:hint="eastAsia" w:ascii="黑体" w:hAnsi="黑体" w:eastAsia="黑体" w:cs="黑体"/>
          <w:color w:val="auto"/>
          <w:highlight w:val="none"/>
          <w:lang w:eastAsia="zh-CN"/>
        </w:rPr>
        <w:t>附</w:t>
      </w:r>
      <w:r>
        <w:rPr>
          <w:rFonts w:hint="eastAsia" w:ascii="黑体" w:hAnsi="黑体" w:eastAsia="黑体" w:cs="黑体"/>
          <w:color w:val="auto"/>
          <w:highlight w:val="none"/>
          <w:lang w:val="en-US" w:eastAsia="zh-CN"/>
        </w:rPr>
        <w:t xml:space="preserve">  </w:t>
      </w:r>
      <w:r>
        <w:rPr>
          <w:rFonts w:hint="eastAsia" w:ascii="黑体" w:hAnsi="黑体" w:eastAsia="黑体" w:cs="黑体"/>
          <w:color w:val="auto"/>
          <w:highlight w:val="none"/>
          <w:lang w:eastAsia="zh-CN"/>
        </w:rPr>
        <w:t>录</w:t>
      </w:r>
    </w:p>
    <w:p w14:paraId="3CE45D2D">
      <w:pPr>
        <w:pStyle w:val="17"/>
        <w:ind w:firstLine="0" w:firstLineChars="0"/>
        <w:rPr>
          <w:rFonts w:hint="eastAsia" w:ascii="仿宋_GB2312" w:hAnsi="仿宋_GB2312"/>
          <w:color w:val="auto"/>
          <w:highlight w:val="none"/>
          <w:lang w:eastAsia="zh-CN"/>
        </w:rPr>
      </w:pPr>
    </w:p>
    <w:p w14:paraId="4AB3FFD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14:paraId="7957C64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14:paraId="2BE72E81">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14:paraId="50C591D5">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b/>
          <w:bCs/>
          <w:color w:val="auto"/>
          <w:sz w:val="32"/>
          <w:szCs w:val="32"/>
          <w:highlight w:val="none"/>
          <w:lang w:val="en-US" w:eastAsia="zh-CN"/>
        </w:rPr>
        <w:t>、IP衍生品产品类型</w:t>
      </w:r>
      <w:r>
        <w:rPr>
          <w:rStyle w:val="19"/>
          <w:rFonts w:hint="default" w:ascii="仿宋_GB2312" w:hAnsi="仿宋_GB2312" w:eastAsia="仿宋_GB2312" w:cs="仿宋_GB2312"/>
          <w:b/>
          <w:bCs/>
          <w:color w:val="auto"/>
          <w:sz w:val="32"/>
          <w:szCs w:val="32"/>
          <w:highlight w:val="none"/>
          <w:lang w:val="en-US" w:eastAsia="zh-CN"/>
        </w:rPr>
        <w:t>：</w:t>
      </w:r>
      <w:r>
        <w:rPr>
          <w:rStyle w:val="19"/>
          <w:rFonts w:hint="default" w:ascii="仿宋_GB2312" w:hAnsi="仿宋_GB2312" w:eastAsia="仿宋_GB2312" w:cs="仿宋_GB2312"/>
          <w:color w:val="auto"/>
          <w:sz w:val="32"/>
          <w:szCs w:val="32"/>
          <w:highlight w:val="none"/>
          <w:lang w:val="en-US" w:eastAsia="zh-CN"/>
        </w:rPr>
        <w:t>涵盖</w:t>
      </w:r>
      <w:r>
        <w:rPr>
          <w:rStyle w:val="19"/>
          <w:rFonts w:hint="eastAsia" w:ascii="仿宋_GB2312" w:hAnsi="仿宋_GB2312" w:eastAsia="仿宋_GB2312" w:cs="仿宋_GB2312"/>
          <w:color w:val="auto"/>
          <w:sz w:val="32"/>
          <w:szCs w:val="32"/>
          <w:highlight w:val="none"/>
          <w:lang w:val="en-US" w:eastAsia="zh-CN"/>
        </w:rPr>
        <w:t>文创潮玩、服饰配饰、数码周边、家居生活、食品饮品、美妆个护等品类</w:t>
      </w:r>
      <w:r>
        <w:rPr>
          <w:rStyle w:val="19"/>
          <w:rFonts w:hint="default" w:ascii="仿宋_GB2312" w:hAnsi="仿宋_GB2312" w:eastAsia="仿宋_GB2312" w:cs="仿宋_GB2312"/>
          <w:color w:val="auto"/>
          <w:sz w:val="32"/>
          <w:szCs w:val="32"/>
          <w:highlight w:val="none"/>
          <w:lang w:val="en-US" w:eastAsia="zh-CN"/>
        </w:rPr>
        <w:t>。</w:t>
      </w:r>
    </w:p>
    <w:p w14:paraId="7759D7ED">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三</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14:paraId="263A927A">
      <w:pPr>
        <w:pStyle w:val="17"/>
        <w:ind w:firstLine="0" w:firstLineChars="0"/>
        <w:rPr>
          <w:rFonts w:hint="eastAsia" w:ascii="仿宋_GB2312" w:hAnsi="仿宋_GB2312"/>
          <w:color w:val="auto"/>
          <w:highlight w:val="none"/>
          <w:lang w:eastAsia="zh-CN"/>
        </w:rPr>
      </w:pPr>
    </w:p>
    <w:sectPr>
      <w:headerReference r:id="rId5" w:type="default"/>
      <w:footerReference r:id="rId6"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47F50">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C06FB1">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BC06FB1">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976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2A09FA"/>
    <w:rsid w:val="02803A46"/>
    <w:rsid w:val="02CB1CF7"/>
    <w:rsid w:val="02DA63DE"/>
    <w:rsid w:val="02E93786"/>
    <w:rsid w:val="032C6A46"/>
    <w:rsid w:val="03B55433"/>
    <w:rsid w:val="04033440"/>
    <w:rsid w:val="04123AB3"/>
    <w:rsid w:val="05036B9E"/>
    <w:rsid w:val="052D305E"/>
    <w:rsid w:val="052E6828"/>
    <w:rsid w:val="06426774"/>
    <w:rsid w:val="06825C75"/>
    <w:rsid w:val="068A4895"/>
    <w:rsid w:val="070F7027"/>
    <w:rsid w:val="08461CA3"/>
    <w:rsid w:val="0A2D6324"/>
    <w:rsid w:val="0A302337"/>
    <w:rsid w:val="0A58254D"/>
    <w:rsid w:val="0A6C5760"/>
    <w:rsid w:val="0B35692F"/>
    <w:rsid w:val="0B4456D1"/>
    <w:rsid w:val="0BAD1FAB"/>
    <w:rsid w:val="0BE1742C"/>
    <w:rsid w:val="0D0E36C4"/>
    <w:rsid w:val="0D1F0CED"/>
    <w:rsid w:val="0E511A57"/>
    <w:rsid w:val="0E913392"/>
    <w:rsid w:val="0F95719B"/>
    <w:rsid w:val="0FE131A1"/>
    <w:rsid w:val="0FED3255"/>
    <w:rsid w:val="10BF0BFF"/>
    <w:rsid w:val="11A73770"/>
    <w:rsid w:val="124226AB"/>
    <w:rsid w:val="126D73E5"/>
    <w:rsid w:val="13A40095"/>
    <w:rsid w:val="14053C83"/>
    <w:rsid w:val="15C958A9"/>
    <w:rsid w:val="160A19AA"/>
    <w:rsid w:val="163D2AB4"/>
    <w:rsid w:val="16DD6486"/>
    <w:rsid w:val="172A2DF8"/>
    <w:rsid w:val="17B005EC"/>
    <w:rsid w:val="18354C7F"/>
    <w:rsid w:val="185533C0"/>
    <w:rsid w:val="187E0EC3"/>
    <w:rsid w:val="18AB1F57"/>
    <w:rsid w:val="190653E0"/>
    <w:rsid w:val="197B53D3"/>
    <w:rsid w:val="1A595627"/>
    <w:rsid w:val="1C210334"/>
    <w:rsid w:val="1C964CCC"/>
    <w:rsid w:val="1CDD09BA"/>
    <w:rsid w:val="1CFC17D2"/>
    <w:rsid w:val="1EBE0883"/>
    <w:rsid w:val="205A510F"/>
    <w:rsid w:val="209827B1"/>
    <w:rsid w:val="20BA48E3"/>
    <w:rsid w:val="21127D99"/>
    <w:rsid w:val="21A5207B"/>
    <w:rsid w:val="22C22819"/>
    <w:rsid w:val="246A3FA3"/>
    <w:rsid w:val="26E72CF4"/>
    <w:rsid w:val="272E1910"/>
    <w:rsid w:val="27BD7BE5"/>
    <w:rsid w:val="2976170C"/>
    <w:rsid w:val="2A104310"/>
    <w:rsid w:val="2A1A1904"/>
    <w:rsid w:val="2A4B3E74"/>
    <w:rsid w:val="2BA068F1"/>
    <w:rsid w:val="2C2A1457"/>
    <w:rsid w:val="2C961EBF"/>
    <w:rsid w:val="2CAE0A32"/>
    <w:rsid w:val="2F0A3862"/>
    <w:rsid w:val="2FFC0AFB"/>
    <w:rsid w:val="302C0287"/>
    <w:rsid w:val="30EE38E6"/>
    <w:rsid w:val="31A95387"/>
    <w:rsid w:val="31B31F93"/>
    <w:rsid w:val="31BF20C5"/>
    <w:rsid w:val="321653A8"/>
    <w:rsid w:val="322E20A6"/>
    <w:rsid w:val="329C19A3"/>
    <w:rsid w:val="32F52701"/>
    <w:rsid w:val="341A4C22"/>
    <w:rsid w:val="347B2CCE"/>
    <w:rsid w:val="352B3694"/>
    <w:rsid w:val="363C0287"/>
    <w:rsid w:val="3654545B"/>
    <w:rsid w:val="36565190"/>
    <w:rsid w:val="366C2500"/>
    <w:rsid w:val="37355261"/>
    <w:rsid w:val="382C7B34"/>
    <w:rsid w:val="387303F9"/>
    <w:rsid w:val="38EF3D95"/>
    <w:rsid w:val="3AE03440"/>
    <w:rsid w:val="3B0E3D0E"/>
    <w:rsid w:val="3BFC17F2"/>
    <w:rsid w:val="3C0C0B0D"/>
    <w:rsid w:val="3C35FE2C"/>
    <w:rsid w:val="3CFD6976"/>
    <w:rsid w:val="3D4A73E3"/>
    <w:rsid w:val="3D5D42F6"/>
    <w:rsid w:val="3DAF2F73"/>
    <w:rsid w:val="3DB808BA"/>
    <w:rsid w:val="3E4FC7F4"/>
    <w:rsid w:val="3FABC212"/>
    <w:rsid w:val="3FAC643B"/>
    <w:rsid w:val="3FF950AC"/>
    <w:rsid w:val="407A2ECB"/>
    <w:rsid w:val="410B0D5A"/>
    <w:rsid w:val="418D6C3A"/>
    <w:rsid w:val="423806ED"/>
    <w:rsid w:val="428230B1"/>
    <w:rsid w:val="437A5877"/>
    <w:rsid w:val="43BB3CEC"/>
    <w:rsid w:val="4412784D"/>
    <w:rsid w:val="44A91A1A"/>
    <w:rsid w:val="44D052C5"/>
    <w:rsid w:val="45D7F006"/>
    <w:rsid w:val="46A70EF9"/>
    <w:rsid w:val="46AE1F3D"/>
    <w:rsid w:val="473C23B2"/>
    <w:rsid w:val="4743523B"/>
    <w:rsid w:val="474450E0"/>
    <w:rsid w:val="47781E40"/>
    <w:rsid w:val="48541414"/>
    <w:rsid w:val="4900762E"/>
    <w:rsid w:val="4A6B0082"/>
    <w:rsid w:val="4AB56AE2"/>
    <w:rsid w:val="4B0038EE"/>
    <w:rsid w:val="4B6E7935"/>
    <w:rsid w:val="4C7C4174"/>
    <w:rsid w:val="4DF504FF"/>
    <w:rsid w:val="4E7E74BD"/>
    <w:rsid w:val="4E805B64"/>
    <w:rsid w:val="4F214F20"/>
    <w:rsid w:val="4F9660BB"/>
    <w:rsid w:val="4FB87893"/>
    <w:rsid w:val="4FC2745B"/>
    <w:rsid w:val="500B1C9B"/>
    <w:rsid w:val="50642A2E"/>
    <w:rsid w:val="509A0D5C"/>
    <w:rsid w:val="50CB0BE4"/>
    <w:rsid w:val="51A47BE3"/>
    <w:rsid w:val="52252BFC"/>
    <w:rsid w:val="52A362AC"/>
    <w:rsid w:val="543117F2"/>
    <w:rsid w:val="54D06548"/>
    <w:rsid w:val="54E753F5"/>
    <w:rsid w:val="55E8634D"/>
    <w:rsid w:val="56074C5D"/>
    <w:rsid w:val="563F7F48"/>
    <w:rsid w:val="56F7427F"/>
    <w:rsid w:val="575C572B"/>
    <w:rsid w:val="5779221D"/>
    <w:rsid w:val="584C4C5F"/>
    <w:rsid w:val="589B5008"/>
    <w:rsid w:val="58A326D8"/>
    <w:rsid w:val="59466376"/>
    <w:rsid w:val="5AE03675"/>
    <w:rsid w:val="5BF51433"/>
    <w:rsid w:val="5D3A2B61"/>
    <w:rsid w:val="5DF363C1"/>
    <w:rsid w:val="5E7F4C2B"/>
    <w:rsid w:val="5F23F087"/>
    <w:rsid w:val="5F6568F7"/>
    <w:rsid w:val="5FFF8D5C"/>
    <w:rsid w:val="60C802BC"/>
    <w:rsid w:val="610E0E32"/>
    <w:rsid w:val="61DE0EB4"/>
    <w:rsid w:val="623151CA"/>
    <w:rsid w:val="625059B8"/>
    <w:rsid w:val="62FE10F2"/>
    <w:rsid w:val="6393434F"/>
    <w:rsid w:val="63A419D8"/>
    <w:rsid w:val="64D37E08"/>
    <w:rsid w:val="64DB7056"/>
    <w:rsid w:val="65FD25F5"/>
    <w:rsid w:val="66982F4F"/>
    <w:rsid w:val="66C07C02"/>
    <w:rsid w:val="66F0546D"/>
    <w:rsid w:val="67486004"/>
    <w:rsid w:val="67DB1C97"/>
    <w:rsid w:val="6888651F"/>
    <w:rsid w:val="6894168D"/>
    <w:rsid w:val="68EB6152"/>
    <w:rsid w:val="69B52798"/>
    <w:rsid w:val="6A7451AD"/>
    <w:rsid w:val="6AC14C27"/>
    <w:rsid w:val="6BC41409"/>
    <w:rsid w:val="6C030E4B"/>
    <w:rsid w:val="6C5C62E3"/>
    <w:rsid w:val="6CAB30BC"/>
    <w:rsid w:val="6CED51AD"/>
    <w:rsid w:val="6D042BC1"/>
    <w:rsid w:val="6E365A3C"/>
    <w:rsid w:val="6FCC3E6E"/>
    <w:rsid w:val="6FEFB7EB"/>
    <w:rsid w:val="6FFE2A5E"/>
    <w:rsid w:val="71D6011D"/>
    <w:rsid w:val="72694444"/>
    <w:rsid w:val="72AF14FA"/>
    <w:rsid w:val="73A0155B"/>
    <w:rsid w:val="73DF2968"/>
    <w:rsid w:val="73FDC8C0"/>
    <w:rsid w:val="74F90479"/>
    <w:rsid w:val="750C1C31"/>
    <w:rsid w:val="75B717BE"/>
    <w:rsid w:val="75DACFB4"/>
    <w:rsid w:val="7625601A"/>
    <w:rsid w:val="764053D0"/>
    <w:rsid w:val="77BF249E"/>
    <w:rsid w:val="77F42DC5"/>
    <w:rsid w:val="78D33F7B"/>
    <w:rsid w:val="798E36E0"/>
    <w:rsid w:val="7BDF157F"/>
    <w:rsid w:val="7C1A6A34"/>
    <w:rsid w:val="7CBD213A"/>
    <w:rsid w:val="7CBE4AD3"/>
    <w:rsid w:val="7CC4499D"/>
    <w:rsid w:val="7D1C7CE5"/>
    <w:rsid w:val="7D63EB3B"/>
    <w:rsid w:val="7D7A7B24"/>
    <w:rsid w:val="7E7E0B91"/>
    <w:rsid w:val="7ECB7E26"/>
    <w:rsid w:val="7F363046"/>
    <w:rsid w:val="7F7FF29C"/>
    <w:rsid w:val="7FEEB544"/>
    <w:rsid w:val="8EFFBC18"/>
    <w:rsid w:val="BEAA2D1E"/>
    <w:rsid w:val="CFF3ED16"/>
    <w:rsid w:val="E27FAC0E"/>
    <w:rsid w:val="E7A2F884"/>
    <w:rsid w:val="EFEE286F"/>
    <w:rsid w:val="F2FFD4DB"/>
    <w:rsid w:val="F7F218B1"/>
    <w:rsid w:val="F94D465B"/>
    <w:rsid w:val="F96B78CC"/>
    <w:rsid w:val="FBB93E9C"/>
    <w:rsid w:val="FBF77C20"/>
    <w:rsid w:val="FFB91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5967</Words>
  <Characters>6211</Characters>
  <Lines>0</Lines>
  <Paragraphs>0</Paragraphs>
  <TotalTime>0</TotalTime>
  <ScaleCrop>false</ScaleCrop>
  <LinksUpToDate>false</LinksUpToDate>
  <CharactersWithSpaces>6227</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2025-07-07T18:47:00Z</dcterms:created>
  <dc:creator>黄佩琳</dc:creator>
  <cp:lastModifiedBy>吴佩庭</cp:lastModifiedBy>
  <cp:lastPrinted>2026-03-17T22:46:00Z</cp:lastPrinted>
  <dcterms:modified xsi:type="dcterms:W3CDTF">2026-06-23T10:29:05Z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18EBFC2A2A144A7B81107828AC4A451B_13</vt:lpwstr>
  </property>
  <property fmtid="{D5CDD505-2E9C-101B-9397-08002B2CF9AE}" pid="4" name="KSOTemplateDocerSaveRecord">
    <vt:lpwstr>eyJoZGlkIjoiY2NiNzc0ZWE4MzBjY2JmMGYyMmY4NjkxNmNhZGJlNDUiLCJ1c2VySWQiOiI4NzUyMjIyNTQifQ==</vt:lpwstr>
  </property>
</Properties>
</file>