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F8C7D">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val="en-US" w:eastAsia="zh-CN"/>
        </w:rPr>
      </w:pPr>
      <w:bookmarkStart w:id="0" w:name="_Toc5810"/>
      <w:bookmarkStart w:id="1" w:name="_Toc13216"/>
      <w:bookmarkStart w:id="2" w:name="_Toc32562"/>
      <w:bookmarkStart w:id="3" w:name="_Toc125127182"/>
      <w:r>
        <w:rPr>
          <w:rFonts w:hint="eastAsia" w:ascii="黑体" w:hAnsi="黑体" w:eastAsia="黑体" w:cs="黑体"/>
          <w:color w:val="auto"/>
          <w:sz w:val="32"/>
          <w:szCs w:val="32"/>
          <w:highlight w:val="none"/>
          <w:lang w:val="en-US" w:eastAsia="zh-CN"/>
        </w:rPr>
        <w:t>附件</w:t>
      </w:r>
      <w:r>
        <w:rPr>
          <w:rFonts w:hint="default" w:ascii="黑体" w:hAnsi="黑体" w:eastAsia="黑体" w:cs="黑体"/>
          <w:color w:val="auto"/>
          <w:sz w:val="32"/>
          <w:szCs w:val="32"/>
          <w:highlight w:val="none"/>
          <w:lang w:val="en-US" w:eastAsia="zh-CN"/>
        </w:rPr>
        <w:t>6</w:t>
      </w:r>
    </w:p>
    <w:p w14:paraId="5BE4382B">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eastAsia="zh-CN"/>
        </w:rPr>
      </w:pPr>
    </w:p>
    <w:bookmarkEnd w:id="0"/>
    <w:bookmarkEnd w:id="1"/>
    <w:bookmarkEnd w:id="2"/>
    <w:bookmarkEnd w:id="3"/>
    <w:p w14:paraId="67C98F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auto"/>
          <w:kern w:val="0"/>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深圳市2026年中央资金消费新业态新模式新场景试点（支持优质消费资源与知名IP跨界联名—“人工智能+消费”标杆场景资助项目）申报指南</w:t>
      </w:r>
    </w:p>
    <w:p w14:paraId="7D1A7A0D">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14:paraId="5496B437">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4194"/>
      <w:bookmarkStart w:id="5" w:name="_Toc20798"/>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14:paraId="61C4C789">
      <w:pPr>
        <w:bidi w:val="0"/>
        <w:spacing w:before="0" w:after="0" w:line="560" w:lineRule="exact"/>
        <w:ind w:firstLine="64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促进人工智能等技术赋能消费场景，通过智能算法、大数据分析与先进硬件技术的融合应用，打造直接面向消费者的“人工智能+消费”标杆场景。</w:t>
      </w:r>
    </w:p>
    <w:p w14:paraId="4A83B80B">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15437"/>
      <w:bookmarkStart w:id="7" w:name="_Toc8852"/>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14:paraId="56042026">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14:paraId="21B1EBAA">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p>
    <w:p w14:paraId="1088A1F6">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14:paraId="2773C80C">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14:paraId="62818E16">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14:paraId="7DCB9863">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18411"/>
      <w:bookmarkStart w:id="9" w:name="_Toc21755"/>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14:paraId="68425D45">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14:paraId="46A6757E">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eastAsia"/>
          <w:color w:val="auto"/>
          <w:highlight w:val="none"/>
          <w:lang w:val="en-US" w:eastAsia="zh-CN"/>
        </w:rPr>
        <w:t>资助</w:t>
      </w:r>
      <w:r>
        <w:rPr>
          <w:rFonts w:hint="eastAsia" w:ascii="仿宋_GB2312" w:eastAsia="仿宋_GB2312"/>
          <w:color w:val="auto"/>
          <w:highlight w:val="none"/>
          <w:lang w:val="en-US" w:eastAsia="zh-CN"/>
        </w:rPr>
        <w:t>金额和拨付进度等进行统一调整，申报单位应无条件同意调整结果。</w:t>
      </w:r>
    </w:p>
    <w:p w14:paraId="1AAEDF31">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14:paraId="71C94692">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14:paraId="61DE1AF2">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15307"/>
      <w:bookmarkStart w:id="11" w:name="_Toc431"/>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14:paraId="083FFC9C">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14:paraId="5906C666">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1.申报单位为在深圳市实际从事经营活动的企业、事业单位。</w:t>
      </w:r>
    </w:p>
    <w:p w14:paraId="2535A8E0">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2.申报单位应为消费新业态新模式新场景试点项目（即申报项目）的实际建设或运营主体，项目所在地应在深圳市（含深汕特别合作区，下同）。</w:t>
      </w:r>
    </w:p>
    <w:p w14:paraId="22CF84E2">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14:paraId="7155EE8F">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14:paraId="2D162636">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14:paraId="074DC810">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w:t>
      </w:r>
      <w:r>
        <w:rPr>
          <w:rFonts w:hint="default"/>
          <w:color w:val="auto"/>
          <w:highlight w:val="none"/>
          <w:lang w:eastAsia="zh-CN"/>
        </w:rPr>
        <w:t>内容</w:t>
      </w:r>
      <w:r>
        <w:rPr>
          <w:rFonts w:hint="eastAsia"/>
          <w:color w:val="auto"/>
          <w:highlight w:val="none"/>
          <w:lang w:val="en-US" w:eastAsia="zh-CN"/>
        </w:rPr>
        <w:t>。</w:t>
      </w:r>
    </w:p>
    <w:p w14:paraId="4714F346">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14:paraId="2A548A56">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14:paraId="10E3C098">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14:paraId="21343D70">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14:paraId="5D8F0036">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申报项目须符合以下任一类型对应的全部专项条件：</w:t>
      </w:r>
    </w:p>
    <w:p w14:paraId="7AFC65C6">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1.</w:t>
      </w:r>
      <w:r>
        <w:rPr>
          <w:rFonts w:hint="default"/>
          <w:color w:val="auto"/>
          <w:highlight w:val="none"/>
          <w:lang w:val="en-US" w:eastAsia="zh-CN"/>
        </w:rPr>
        <w:t>业务覆盖5个及以上区（</w:t>
      </w:r>
      <w:r>
        <w:rPr>
          <w:rFonts w:hint="eastAsia"/>
          <w:color w:val="auto"/>
          <w:highlight w:val="none"/>
          <w:lang w:val="en-US" w:eastAsia="zh-CN"/>
        </w:rPr>
        <w:t>区是</w:t>
      </w:r>
      <w:r>
        <w:rPr>
          <w:rFonts w:hint="default"/>
          <w:color w:val="auto"/>
          <w:highlight w:val="none"/>
          <w:lang w:val="en-US" w:eastAsia="zh-CN"/>
        </w:rPr>
        <w:t>指各区及前海合作区、深汕特别合作区等12个区</w:t>
      </w:r>
      <w:r>
        <w:rPr>
          <w:rFonts w:hint="eastAsia"/>
          <w:color w:val="auto"/>
          <w:highlight w:val="none"/>
          <w:lang w:val="en-US" w:eastAsia="zh-CN"/>
        </w:rPr>
        <w:t>，下同</w:t>
      </w:r>
      <w:r>
        <w:rPr>
          <w:rFonts w:hint="default"/>
          <w:color w:val="auto"/>
          <w:highlight w:val="none"/>
          <w:lang w:val="en-US" w:eastAsia="zh-CN"/>
        </w:rPr>
        <w:t>）</w:t>
      </w:r>
    </w:p>
    <w:p w14:paraId="730D83E0">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（1）申报项目为运用人工智能技术赋能服务业态的创新消费场景；</w:t>
      </w:r>
    </w:p>
    <w:p w14:paraId="16E85A74">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（2）项目</w:t>
      </w:r>
      <w:r>
        <w:rPr>
          <w:rFonts w:hint="default"/>
          <w:color w:val="auto"/>
          <w:highlight w:val="none"/>
          <w:lang w:val="en-US" w:eastAsia="zh-CN"/>
        </w:rPr>
        <w:t>业务</w:t>
      </w:r>
      <w:r>
        <w:rPr>
          <w:rFonts w:hint="eastAsia"/>
          <w:color w:val="auto"/>
          <w:highlight w:val="none"/>
          <w:lang w:val="en-US" w:eastAsia="zh-CN"/>
        </w:rPr>
        <w:t>须</w:t>
      </w:r>
      <w:r>
        <w:rPr>
          <w:rFonts w:hint="default"/>
          <w:color w:val="auto"/>
          <w:highlight w:val="none"/>
          <w:lang w:val="en-US" w:eastAsia="zh-CN"/>
        </w:rPr>
        <w:t>覆盖</w:t>
      </w:r>
      <w:r>
        <w:rPr>
          <w:rFonts w:hint="eastAsia"/>
          <w:color w:val="auto"/>
          <w:highlight w:val="none"/>
          <w:lang w:val="en-US" w:eastAsia="zh-CN"/>
        </w:rPr>
        <w:t>深圳市</w:t>
      </w:r>
      <w:r>
        <w:rPr>
          <w:rFonts w:hint="default"/>
          <w:color w:val="auto"/>
          <w:highlight w:val="none"/>
          <w:lang w:val="en-US" w:eastAsia="zh-CN"/>
        </w:rPr>
        <w:t>5个及以上</w:t>
      </w:r>
      <w:r>
        <w:rPr>
          <w:rFonts w:hint="eastAsia"/>
          <w:color w:val="auto"/>
          <w:highlight w:val="none"/>
          <w:lang w:val="en-US" w:eastAsia="zh-CN"/>
        </w:rPr>
        <w:t>区；</w:t>
      </w:r>
    </w:p>
    <w:p w14:paraId="613D1FCB">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提供服务次数不低于5万次（统计周期为2025年</w:t>
      </w:r>
      <w:r>
        <w:rPr>
          <w:rFonts w:hint="eastAsia"/>
          <w:color w:val="auto"/>
          <w:highlight w:val="none"/>
          <w:lang w:val="en-US" w:eastAsia="zh-CN"/>
        </w:rPr>
        <w:t>9</w:t>
      </w:r>
      <w:r>
        <w:rPr>
          <w:rFonts w:hint="default"/>
          <w:color w:val="auto"/>
          <w:highlight w:val="none"/>
          <w:lang w:val="en-US" w:eastAsia="zh-CN"/>
        </w:rPr>
        <w:t>月</w:t>
      </w:r>
      <w:r>
        <w:rPr>
          <w:rFonts w:hint="eastAsia"/>
          <w:color w:val="auto"/>
          <w:highlight w:val="none"/>
          <w:lang w:val="en-US" w:eastAsia="zh-CN"/>
        </w:rPr>
        <w:t>30</w:t>
      </w:r>
      <w:r>
        <w:rPr>
          <w:rFonts w:hint="default"/>
          <w:color w:val="auto"/>
          <w:highlight w:val="none"/>
          <w:lang w:val="en-US" w:eastAsia="zh-CN"/>
        </w:rPr>
        <w:t>日至申报</w:t>
      </w:r>
      <w:r>
        <w:rPr>
          <w:rFonts w:hint="eastAsia"/>
          <w:color w:val="auto"/>
          <w:highlight w:val="none"/>
          <w:lang w:val="en-US" w:eastAsia="zh-CN"/>
        </w:rPr>
        <w:t>日前）；</w:t>
      </w:r>
    </w:p>
    <w:p w14:paraId="4C125C57">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ascii="仿宋_GB2312" w:eastAsia="仿宋_GB2312"/>
          <w:color w:val="auto"/>
          <w:highlight w:val="none"/>
          <w:lang w:val="en-US" w:eastAsia="zh-CN"/>
        </w:rPr>
      </w:pPr>
      <w:r>
        <w:rPr>
          <w:rFonts w:hint="eastAsia"/>
          <w:color w:val="auto"/>
          <w:highlight w:val="none"/>
          <w:lang w:val="en-US" w:eastAsia="zh-CN"/>
        </w:rPr>
        <w:t>（4）</w:t>
      </w:r>
      <w:r>
        <w:rPr>
          <w:rFonts w:hint="eastAsia" w:ascii="仿宋_GB2312" w:eastAsia="仿宋_GB2312"/>
          <w:color w:val="auto"/>
          <w:highlight w:val="none"/>
          <w:lang w:val="en-US" w:eastAsia="zh-CN"/>
        </w:rPr>
        <w:t>每个区支持项目不超过1个，</w:t>
      </w:r>
      <w:r>
        <w:rPr>
          <w:rFonts w:hint="eastAsia"/>
          <w:color w:val="auto"/>
          <w:highlight w:val="none"/>
          <w:lang w:val="en-US" w:eastAsia="zh-CN"/>
        </w:rPr>
        <w:t>评分表评分排名第1</w:t>
      </w:r>
      <w:r>
        <w:rPr>
          <w:rFonts w:hint="eastAsia" w:ascii="仿宋_GB2312" w:eastAsia="仿宋_GB2312"/>
          <w:color w:val="auto"/>
          <w:highlight w:val="none"/>
          <w:lang w:val="en-US" w:eastAsia="zh-CN"/>
        </w:rPr>
        <w:t>（评分表详见附录）</w:t>
      </w:r>
      <w:r>
        <w:rPr>
          <w:rFonts w:hint="eastAsia"/>
          <w:color w:val="auto"/>
          <w:highlight w:val="none"/>
          <w:lang w:val="en-US" w:eastAsia="zh-CN"/>
        </w:rPr>
        <w:t>；</w:t>
      </w:r>
    </w:p>
    <w:p w14:paraId="33219FBA">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（5）“人工智能+”板块须为面向消费者直接提供的付费内容。</w:t>
      </w:r>
    </w:p>
    <w:p w14:paraId="4A138DA8">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业务聚焦特定区域落地</w:t>
      </w:r>
    </w:p>
    <w:p w14:paraId="32A679AE">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（1）申报项目为运用人工智能技术赋能服务业态的创新消费场景；</w:t>
      </w:r>
    </w:p>
    <w:p w14:paraId="46B28632">
      <w:pPr>
        <w:keepNext w:val="0"/>
        <w:keepLines w:val="0"/>
        <w:pageBreakBefore w:val="0"/>
        <w:widowControl w:val="0"/>
        <w:kinsoku/>
        <w:wordWrap/>
        <w:overflowPunct/>
        <w:topLinePunct w:val="0"/>
        <w:autoSpaceDE/>
        <w:autoSpaceDN/>
        <w:bidi w:val="0"/>
        <w:adjustRightInd/>
        <w:snapToGrid/>
        <w:spacing w:before="0" w:after="0"/>
        <w:ind w:left="198" w:leftChars="62" w:firstLine="320" w:firstLineChars="100"/>
        <w:textAlignment w:val="auto"/>
        <w:rPr>
          <w:rFonts w:hint="eastAsia"/>
          <w:color w:val="auto"/>
          <w:highlight w:val="none"/>
          <w:lang w:val="en-US" w:eastAsia="zh-CN"/>
        </w:rPr>
      </w:pPr>
      <w:r>
        <w:rPr>
          <w:rFonts w:hint="eastAsia"/>
          <w:color w:val="auto"/>
          <w:highlight w:val="none"/>
          <w:lang w:val="en-US" w:eastAsia="zh-CN"/>
        </w:rPr>
        <w:t>（2）项目业务须聚焦在特定区域落地并实现常态化运营；</w:t>
      </w:r>
    </w:p>
    <w:p w14:paraId="2714E4AE">
      <w:pPr>
        <w:keepNext w:val="0"/>
        <w:keepLines w:val="0"/>
        <w:pageBreakBefore w:val="0"/>
        <w:widowControl w:val="0"/>
        <w:kinsoku/>
        <w:wordWrap/>
        <w:overflowPunct/>
        <w:topLinePunct w:val="0"/>
        <w:autoSpaceDE/>
        <w:autoSpaceDN/>
        <w:bidi w:val="0"/>
        <w:adjustRightInd/>
        <w:snapToGrid/>
        <w:spacing w:before="0" w:after="0"/>
        <w:ind w:left="198" w:leftChars="62" w:firstLine="320" w:firstLineChars="100"/>
        <w:textAlignment w:val="auto"/>
        <w:rPr>
          <w:rFonts w:hint="eastAsia" w:ascii="仿宋_GB2312" w:eastAsia="仿宋_GB2312"/>
          <w:color w:val="auto"/>
          <w:highlight w:val="none"/>
          <w:lang w:val="en-US" w:eastAsia="zh-CN"/>
        </w:rPr>
      </w:pPr>
      <w:r>
        <w:rPr>
          <w:rFonts w:hint="eastAsia"/>
          <w:color w:val="auto"/>
          <w:highlight w:val="none"/>
          <w:lang w:val="en-US" w:eastAsia="zh-CN"/>
        </w:rPr>
        <w:t>（3）</w:t>
      </w:r>
      <w:r>
        <w:rPr>
          <w:rFonts w:hint="eastAsia" w:ascii="仿宋_GB2312" w:eastAsia="仿宋_GB2312"/>
          <w:color w:val="auto"/>
          <w:highlight w:val="none"/>
          <w:lang w:val="en-US" w:eastAsia="zh-CN"/>
        </w:rPr>
        <w:t>每个区资助项目不超过3个</w:t>
      </w:r>
      <w:r>
        <w:rPr>
          <w:rFonts w:hint="eastAsia"/>
          <w:color w:val="auto"/>
          <w:highlight w:val="none"/>
          <w:lang w:val="en-US" w:eastAsia="zh-CN"/>
        </w:rPr>
        <w:t>，按评分表评分排序、累计计算</w:t>
      </w:r>
      <w:r>
        <w:rPr>
          <w:rFonts w:hint="eastAsia" w:ascii="仿宋_GB2312" w:eastAsia="仿宋_GB2312"/>
          <w:color w:val="auto"/>
          <w:highlight w:val="none"/>
          <w:lang w:val="en-US" w:eastAsia="zh-CN"/>
        </w:rPr>
        <w:t>（评分表详见附录）</w:t>
      </w:r>
      <w:r>
        <w:rPr>
          <w:rFonts w:hint="eastAsia"/>
          <w:color w:val="auto"/>
          <w:highlight w:val="none"/>
          <w:lang w:val="en-US" w:eastAsia="zh-CN"/>
        </w:rPr>
        <w:t>；</w:t>
      </w:r>
    </w:p>
    <w:p w14:paraId="5002A5A6">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ascii="仿宋_GB2312" w:eastAsia="仿宋_GB2312"/>
          <w:color w:val="auto"/>
          <w:highlight w:val="none"/>
          <w:lang w:val="en-US" w:eastAsia="zh-CN"/>
        </w:rPr>
      </w:pPr>
      <w:r>
        <w:rPr>
          <w:rFonts w:hint="eastAsia"/>
          <w:color w:val="auto"/>
          <w:highlight w:val="none"/>
          <w:lang w:val="en-US" w:eastAsia="zh-CN"/>
        </w:rPr>
        <w:t>（4）“人工智能+”板块须为面向消费者直接提供的付费内容。</w:t>
      </w:r>
    </w:p>
    <w:p w14:paraId="7F7624F2">
      <w:pPr>
        <w:keepNext w:val="0"/>
        <w:keepLines w:val="0"/>
        <w:pageBreakBefore w:val="0"/>
        <w:widowControl w:val="0"/>
        <w:kinsoku/>
        <w:wordWrap/>
        <w:overflowPunct/>
        <w:topLinePunct w:val="0"/>
        <w:autoSpaceDE/>
        <w:autoSpaceDN/>
        <w:bidi w:val="0"/>
        <w:adjustRightInd/>
        <w:snapToGrid/>
        <w:spacing w:before="0" w:after="0"/>
        <w:ind w:firstLine="0"/>
        <w:textAlignment w:val="auto"/>
        <w:rPr>
          <w:rFonts w:hint="eastAsia"/>
          <w:color w:val="auto"/>
          <w:highlight w:val="none"/>
          <w:lang w:val="en-US" w:eastAsia="zh-CN"/>
        </w:rPr>
      </w:pPr>
      <w:r>
        <w:rPr>
          <w:rStyle w:val="19"/>
          <w:rFonts w:hint="eastAsia"/>
          <w:color w:val="auto"/>
          <w:sz w:val="32"/>
          <w:szCs w:val="32"/>
          <w:highlight w:val="none"/>
          <w:lang w:eastAsia="zh-CN"/>
        </w:rPr>
        <w:t>以上</w:t>
      </w: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cs="仿宋_GB2312"/>
          <w:color w:val="auto"/>
          <w:sz w:val="32"/>
          <w:szCs w:val="32"/>
          <w:highlight w:val="none"/>
          <w:lang w:val="en-US" w:eastAsia="zh-CN"/>
        </w:rPr>
        <w:t>，</w:t>
      </w:r>
      <w:r>
        <w:rPr>
          <w:rFonts w:hint="eastAsia"/>
          <w:color w:val="auto"/>
          <w:highlight w:val="none"/>
          <w:lang w:val="en-US" w:eastAsia="zh-CN"/>
        </w:rPr>
        <w:t>不包括前期软件、系统研发，不包括辐射应用于深圳市以外的项目投入部分，不包括人员、营销推广等投入</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14:paraId="064D19DF">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2" w:name="_Toc31102"/>
      <w:bookmarkStart w:id="13" w:name="_Toc7095"/>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14:paraId="2B1A87F9">
      <w:pPr>
        <w:bidi w:val="0"/>
        <w:rPr>
          <w:rFonts w:hint="eastAsia" w:ascii="仿宋_GB2312" w:eastAsia="仿宋_GB2312"/>
          <w:color w:val="auto"/>
          <w:highlight w:val="none"/>
          <w:lang w:val="en-US" w:eastAsia="zh-CN"/>
        </w:rPr>
      </w:pPr>
      <w:r>
        <w:rPr>
          <w:rFonts w:hint="eastAsia"/>
          <w:color w:val="auto"/>
          <w:highlight w:val="none"/>
          <w:lang w:val="en-US" w:eastAsia="zh-CN"/>
        </w:rPr>
        <w:t>（一）</w:t>
      </w:r>
      <w:r>
        <w:rPr>
          <w:rFonts w:hint="eastAsia" w:ascii="仿宋_GB2312" w:eastAsia="仿宋_GB2312"/>
          <w:color w:val="auto"/>
          <w:highlight w:val="none"/>
          <w:lang w:val="en-US" w:eastAsia="zh-CN"/>
        </w:rPr>
        <w:t>对符合条件、业务覆盖5个及以上辖区的项目按相关的实际投入部分20%给予资助，试点期间最高不超过800万元，每个区支持项目不超过1个，按评分排序择优支持。</w:t>
      </w:r>
    </w:p>
    <w:p w14:paraId="7B5F734A">
      <w:pPr>
        <w:bidi w:val="0"/>
        <w:rPr>
          <w:rFonts w:hint="eastAsia" w:ascii="仿宋_GB2312" w:eastAsia="仿宋_GB2312"/>
          <w:color w:val="auto"/>
          <w:highlight w:val="none"/>
          <w:lang w:val="en-US" w:eastAsia="zh-CN"/>
        </w:rPr>
      </w:pPr>
      <w:r>
        <w:rPr>
          <w:rFonts w:hint="eastAsia"/>
          <w:color w:val="auto"/>
          <w:highlight w:val="none"/>
          <w:lang w:val="en-US" w:eastAsia="zh-CN"/>
        </w:rPr>
        <w:t>（二）</w:t>
      </w:r>
      <w:r>
        <w:rPr>
          <w:rFonts w:hint="eastAsia" w:ascii="仿宋_GB2312" w:eastAsia="仿宋_GB2312"/>
          <w:color w:val="auto"/>
          <w:highlight w:val="none"/>
          <w:lang w:val="en-US" w:eastAsia="zh-CN"/>
        </w:rPr>
        <w:t>对符合条件、业务聚焦在特定区域落地的</w:t>
      </w:r>
      <w:r>
        <w:rPr>
          <w:rFonts w:hint="eastAsia"/>
          <w:color w:val="auto"/>
          <w:highlight w:val="none"/>
          <w:lang w:val="en-US" w:eastAsia="zh-CN"/>
        </w:rPr>
        <w:t>项目</w:t>
      </w:r>
      <w:r>
        <w:rPr>
          <w:rFonts w:hint="default"/>
          <w:color w:val="auto"/>
          <w:highlight w:val="none"/>
          <w:lang w:val="en-US" w:eastAsia="zh-CN"/>
        </w:rPr>
        <w:t>，按其</w:t>
      </w:r>
      <w:r>
        <w:rPr>
          <w:rFonts w:hint="eastAsia" w:ascii="仿宋_GB2312" w:eastAsia="仿宋_GB2312"/>
          <w:color w:val="auto"/>
          <w:highlight w:val="none"/>
          <w:lang w:val="en-US" w:eastAsia="zh-CN"/>
        </w:rPr>
        <w:t>实际</w:t>
      </w:r>
      <w:r>
        <w:rPr>
          <w:rFonts w:hint="eastAsia"/>
          <w:color w:val="auto"/>
          <w:highlight w:val="none"/>
          <w:lang w:val="en-US" w:eastAsia="zh-CN"/>
        </w:rPr>
        <w:t>有效</w:t>
      </w:r>
      <w:r>
        <w:rPr>
          <w:rFonts w:hint="eastAsia" w:ascii="仿宋_GB2312" w:eastAsia="仿宋_GB2312"/>
          <w:color w:val="auto"/>
          <w:highlight w:val="none"/>
          <w:lang w:val="en-US" w:eastAsia="zh-CN"/>
        </w:rPr>
        <w:t>投入</w:t>
      </w:r>
      <w:r>
        <w:rPr>
          <w:rFonts w:hint="eastAsia"/>
          <w:color w:val="auto"/>
          <w:highlight w:val="none"/>
          <w:lang w:val="en-US" w:eastAsia="zh-CN"/>
        </w:rPr>
        <w:t>的</w:t>
      </w:r>
      <w:r>
        <w:rPr>
          <w:rFonts w:hint="eastAsia" w:ascii="仿宋_GB2312" w:eastAsia="仿宋_GB2312"/>
          <w:color w:val="auto"/>
          <w:highlight w:val="none"/>
          <w:lang w:val="en-US" w:eastAsia="zh-CN"/>
        </w:rPr>
        <w:t>20%给予资助，试点期间最高不超过100万元，每个区资助项目不超过3个，按评分排序择优支持。</w:t>
      </w:r>
    </w:p>
    <w:p w14:paraId="3C55DE38">
      <w:pPr>
        <w:tabs>
          <w:tab w:val="center" w:pos="4153"/>
          <w:tab w:val="right" w:pos="8306"/>
        </w:tabs>
        <w:bidi w:val="0"/>
        <w:rPr>
          <w:rFonts w:hint="eastAsia" w:ascii="仿宋_GB2312" w:eastAsia="仿宋_GB2312"/>
          <w:color w:val="auto"/>
          <w:highlight w:val="none"/>
          <w:lang w:val="en-US" w:eastAsia="zh-CN"/>
        </w:rPr>
      </w:pPr>
      <w:r>
        <w:rPr>
          <w:rFonts w:hint="eastAsia"/>
          <w:color w:val="000000" w:themeColor="text1"/>
          <w:highlight w:val="none"/>
          <w:lang w:val="en-US" w:eastAsia="zh-CN"/>
          <w14:textFill>
            <w14:solidFill>
              <w14:schemeClr w14:val="tx1"/>
            </w14:solidFill>
          </w14:textFill>
        </w:rPr>
        <w:t>实际有效投入是指</w:t>
      </w:r>
      <w:r>
        <w:rPr>
          <w:rStyle w:val="19"/>
          <w:rFonts w:hint="eastAsia"/>
          <w:color w:val="auto"/>
          <w:sz w:val="32"/>
          <w:szCs w:val="32"/>
          <w:highlight w:val="none"/>
          <w:lang w:eastAsia="zh-CN"/>
        </w:rPr>
        <w:t>2025年9月30日以来至申报日，申报主体打造</w:t>
      </w:r>
      <w:r>
        <w:rPr>
          <w:rStyle w:val="19"/>
          <w:rFonts w:hint="eastAsia"/>
          <w:color w:val="auto"/>
          <w:sz w:val="32"/>
          <w:szCs w:val="32"/>
          <w:highlight w:val="none"/>
          <w:lang w:val="en-US" w:eastAsia="zh-CN"/>
        </w:rPr>
        <w:t>“人工智能+消费”场景</w:t>
      </w:r>
      <w:r>
        <w:rPr>
          <w:rStyle w:val="19"/>
          <w:rFonts w:hint="eastAsia"/>
          <w:color w:val="auto"/>
          <w:sz w:val="32"/>
          <w:szCs w:val="32"/>
          <w:highlight w:val="none"/>
          <w:lang w:eastAsia="zh-CN"/>
        </w:rPr>
        <w:t>时</w:t>
      </w:r>
      <w:r>
        <w:rPr>
          <w:rFonts w:hint="eastAsia"/>
          <w:color w:val="000000" w:themeColor="text1"/>
          <w:highlight w:val="none"/>
          <w:lang w:val="en-US" w:eastAsia="zh-CN"/>
          <w14:textFill>
            <w14:solidFill>
              <w14:schemeClr w14:val="tx1"/>
            </w14:solidFill>
          </w14:textFill>
        </w:rPr>
        <w:t>，在深项目已完成或阶段性完成部分相关投入，不包含各级财政投资部分，辐射应用于深圳市以外的项目投入部分，以及第四点第（二）条专项条件中明确不予支持部分。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14:paraId="39F768C2">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7147"/>
      <w:bookmarkStart w:id="15" w:name="_Toc27028"/>
      <w:r>
        <w:rPr>
          <w:rFonts w:hint="eastAsia" w:ascii="黑体" w:hAnsi="黑体" w:eastAsia="黑体" w:cs="仿宋"/>
          <w:color w:val="auto"/>
          <w:kern w:val="2"/>
          <w:sz w:val="32"/>
          <w:szCs w:val="22"/>
          <w:highlight w:val="none"/>
          <w:lang w:val="en-US" w:eastAsia="zh-CN" w:bidi="ar-SA"/>
        </w:rPr>
        <w:t>六、申报材料</w:t>
      </w:r>
      <w:bookmarkEnd w:id="14"/>
      <w:bookmarkEnd w:id="15"/>
    </w:p>
    <w:p w14:paraId="351B562F">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（一）</w:t>
      </w: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基本材料清单</w:t>
      </w:r>
    </w:p>
    <w:p w14:paraId="2825647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请各项目申报单位于线上填写并提交《项目申报书》，网址：https://www.gdzwfw.gov.cn/（广东政务服务网），搜索“深圳市消费新业态新模式新场景试点项目（支持优质消费资源与知名IP跨界联名—“人工智能+消费”标杆场景资助项目</w:t>
      </w:r>
      <w:bookmarkStart w:id="40" w:name="_GoBack"/>
      <w:bookmarkEnd w:id="40"/>
      <w:r>
        <w:rPr>
          <w:rFonts w:hint="eastAsia"/>
          <w:color w:val="000000" w:themeColor="text1"/>
          <w:highlight w:val="none"/>
          <w:lang w:val="en-US" w:eastAsia="zh-CN"/>
          <w14:textFill>
            <w14:solidFill>
              <w14:schemeClr w14:val="tx1"/>
            </w14:solidFill>
          </w14:textFill>
        </w:rPr>
        <w:t>）”——选择深圳市-南山区后，按照相关事项提示流程和要求进行线上申报（特别提醒该事项办理需申报主体以法人账号登录提交，不接受个人账号提交），并按办理指南提交相关材料（包括并不限于）如下：</w:t>
      </w:r>
    </w:p>
    <w:p w14:paraId="7FF8FD58">
      <w:pPr>
        <w:bidi w:val="0"/>
        <w:rPr>
          <w:rFonts w:hint="eastAsia"/>
          <w:highlight w:val="none"/>
          <w:lang w:val="en-US" w:eastAsia="zh-CN"/>
        </w:rPr>
      </w:pPr>
      <w:r>
        <w:rPr>
          <w:rFonts w:hint="default"/>
          <w:color w:val="000000" w:themeColor="text1"/>
          <w:highlight w:val="none"/>
          <w:lang w:val="en-US" w:eastAsia="zh-CN"/>
          <w14:textFill>
            <w14:solidFill>
              <w14:schemeClr w14:val="tx1"/>
            </w14:solidFill>
          </w14:textFill>
        </w:rPr>
        <w:t>1.</w:t>
      </w:r>
      <w:r>
        <w:rPr>
          <w:rFonts w:hint="default"/>
          <w:highlight w:val="none"/>
        </w:rPr>
        <w:t>资金项目申请书</w:t>
      </w:r>
      <w:r>
        <w:rPr>
          <w:rFonts w:hint="eastAsia"/>
          <w:highlight w:val="none"/>
          <w:lang w:eastAsia="zh-CN"/>
        </w:rPr>
        <w:t>：</w:t>
      </w:r>
      <w:r>
        <w:rPr>
          <w:rFonts w:hint="default"/>
          <w:highlight w:val="none"/>
        </w:rPr>
        <w:t>申报单位按照申报材料要求编写项目申请书并提供相关证明材料</w:t>
      </w:r>
      <w:r>
        <w:rPr>
          <w:rFonts w:hint="eastAsia"/>
          <w:color w:val="auto"/>
          <w:highlight w:val="none"/>
          <w:lang w:val="en-US" w:eastAsia="zh-CN"/>
        </w:rPr>
        <w:t>（温馨提示：材料要求齐备，缺漏无法受理，请务必认真研读相关指南，切实准备资料，确认符合申请条件和材料齐备后再行提交，避免资料补缺导致办理时间过长或条件不符合退回）</w:t>
      </w:r>
      <w:r>
        <w:rPr>
          <w:rFonts w:hint="default"/>
          <w:highlight w:val="none"/>
        </w:rPr>
        <w:t>，初审通过后提供申请书纸质文件原件</w:t>
      </w:r>
      <w:r>
        <w:rPr>
          <w:rFonts w:hint="eastAsia"/>
          <w:highlight w:val="none"/>
          <w:lang w:eastAsia="zh-CN"/>
        </w:rPr>
        <w:t>，并按照</w:t>
      </w:r>
      <w:r>
        <w:rPr>
          <w:rFonts w:hint="default"/>
          <w:highlight w:val="none"/>
        </w:rPr>
        <w:t>本指南第六条要求的项目申报材料</w:t>
      </w:r>
      <w:r>
        <w:rPr>
          <w:rFonts w:hint="eastAsia"/>
          <w:highlight w:val="none"/>
          <w:lang w:eastAsia="zh-CN"/>
        </w:rPr>
        <w:t>（一式四份）</w:t>
      </w:r>
      <w:r>
        <w:rPr>
          <w:rFonts w:hint="default"/>
          <w:highlight w:val="none"/>
        </w:rPr>
        <w:t>一并线下或通过邮寄方式</w:t>
      </w:r>
      <w:r>
        <w:rPr>
          <w:rFonts w:hint="default"/>
          <w:highlight w:val="none"/>
          <w:lang w:val="en-US"/>
        </w:rPr>
        <w:t>将材料递交至政务服务大厅</w:t>
      </w:r>
      <w:r>
        <w:rPr>
          <w:rFonts w:hint="default"/>
          <w:highlight w:val="none"/>
        </w:rPr>
        <w:t>，线下受理地址</w:t>
      </w:r>
      <w:r>
        <w:rPr>
          <w:rFonts w:hint="default"/>
          <w:highlight w:val="none"/>
          <w:lang w:val="en-US"/>
        </w:rPr>
        <w:t>可通过</w:t>
      </w:r>
      <w:r>
        <w:rPr>
          <w:rFonts w:hint="default"/>
          <w:highlight w:val="none"/>
        </w:rPr>
        <w:t>线上申报系统申请页面查询</w:t>
      </w:r>
      <w:r>
        <w:rPr>
          <w:rFonts w:hint="default"/>
          <w:highlight w:val="none"/>
          <w:lang w:val="en-US"/>
        </w:rPr>
        <w:t>，</w:t>
      </w:r>
      <w:r>
        <w:rPr>
          <w:rFonts w:hint="eastAsia"/>
          <w:highlight w:val="none"/>
          <w:lang w:val="en-US" w:eastAsia="zh-CN"/>
        </w:rPr>
        <w:t>或见本指南第八条（三）受理地址。</w:t>
      </w:r>
    </w:p>
    <w:p w14:paraId="2CBE3A82">
      <w:pPr>
        <w:bidi w:val="0"/>
        <w:rPr>
          <w:rFonts w:hint="default"/>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14:paraId="29B3370C">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r>
        <w:rPr>
          <w:rFonts w:hint="eastAsia"/>
          <w:color w:val="auto"/>
          <w:highlight w:val="none"/>
          <w:lang w:val="en-US" w:eastAsia="zh-CN"/>
        </w:rPr>
        <w:t>。</w:t>
      </w:r>
    </w:p>
    <w:p w14:paraId="4EE26AA5">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14:paraId="507E23F1">
      <w:pPr>
        <w:bidi w:val="0"/>
        <w:rPr>
          <w:rFonts w:hint="default"/>
          <w:color w:val="auto"/>
          <w:highlight w:val="none"/>
          <w:lang w:val="en-US" w:eastAsia="zh-CN"/>
        </w:rPr>
      </w:pPr>
      <w:r>
        <w:rPr>
          <w:rFonts w:hint="default"/>
          <w:color w:val="auto"/>
          <w:highlight w:val="none"/>
          <w:lang w:val="en-US" w:eastAsia="zh-CN"/>
        </w:rPr>
        <w:t>1.通用专项材料（两类方向均需提交）</w:t>
      </w:r>
      <w:r>
        <w:rPr>
          <w:rFonts w:hint="eastAsia"/>
          <w:color w:val="auto"/>
          <w:highlight w:val="none"/>
          <w:lang w:val="en-US" w:eastAsia="zh-CN"/>
        </w:rPr>
        <w:t>：</w:t>
      </w:r>
    </w:p>
    <w:p w14:paraId="3973611C">
      <w:pPr>
        <w:bidi w:val="0"/>
        <w:rPr>
          <w:rFonts w:hint="default"/>
          <w:color w:val="auto"/>
          <w:highlight w:val="none"/>
          <w:lang w:val="en-US" w:eastAsia="zh-CN"/>
        </w:rPr>
      </w:pPr>
      <w:r>
        <w:rPr>
          <w:rFonts w:hint="eastAsia"/>
          <w:color w:val="auto"/>
          <w:highlight w:val="none"/>
          <w:lang w:val="en-US" w:eastAsia="zh-CN"/>
        </w:rPr>
        <w:t>（1）</w:t>
      </w:r>
      <w:r>
        <w:rPr>
          <w:rFonts w:hint="default"/>
          <w:color w:val="auto"/>
          <w:highlight w:val="none"/>
          <w:lang w:val="en-US" w:eastAsia="zh-CN"/>
        </w:rPr>
        <w:t>评分表佐证材料</w:t>
      </w:r>
      <w:r>
        <w:rPr>
          <w:rFonts w:hint="eastAsia"/>
          <w:color w:val="auto"/>
          <w:highlight w:val="none"/>
          <w:lang w:val="en-US" w:eastAsia="zh-CN"/>
        </w:rPr>
        <w:t>：</w:t>
      </w:r>
      <w:r>
        <w:rPr>
          <w:rFonts w:hint="default"/>
          <w:color w:val="auto"/>
          <w:highlight w:val="none"/>
          <w:lang w:val="en-US" w:eastAsia="zh-CN"/>
        </w:rPr>
        <w:t>各申报单位应按照本指南附件《评分表》中所列指标及要求，完整提交对应佐证材料。</w:t>
      </w:r>
    </w:p>
    <w:p w14:paraId="0FA3ED28">
      <w:pPr>
        <w:bidi w:val="0"/>
        <w:rPr>
          <w:rFonts w:hint="eastAsia"/>
          <w:color w:val="auto"/>
          <w:highlight w:val="none"/>
          <w:lang w:val="en-US" w:eastAsia="zh-CN"/>
        </w:rPr>
      </w:pPr>
      <w:r>
        <w:rPr>
          <w:rFonts w:hint="eastAsia"/>
          <w:color w:val="auto"/>
          <w:highlight w:val="none"/>
          <w:lang w:val="en-US" w:eastAsia="zh-CN"/>
        </w:rPr>
        <w:t>（2）项目成效总结（模板详见项目申报书）。</w:t>
      </w:r>
    </w:p>
    <w:p w14:paraId="040666B0">
      <w:pPr>
        <w:bidi w:val="0"/>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专项资金项目投入明细表</w:t>
      </w:r>
      <w:r>
        <w:rPr>
          <w:rFonts w:hint="eastAsia"/>
          <w:color w:val="auto"/>
          <w:highlight w:val="none"/>
          <w:lang w:val="en-US" w:eastAsia="zh-CN"/>
        </w:rPr>
        <w:t>及佐证材料（详见项目申报书）。</w:t>
      </w:r>
    </w:p>
    <w:p w14:paraId="383FEF06">
      <w:pPr>
        <w:bidi w:val="0"/>
        <w:rPr>
          <w:rFonts w:hint="eastAsia"/>
          <w:color w:val="auto"/>
          <w:highlight w:val="none"/>
          <w:lang w:val="en-US" w:eastAsia="zh-CN"/>
        </w:rPr>
      </w:pPr>
      <w:r>
        <w:rPr>
          <w:rFonts w:hint="eastAsia"/>
          <w:color w:val="auto"/>
          <w:highlight w:val="none"/>
          <w:lang w:val="en-US" w:eastAsia="zh-CN"/>
        </w:rPr>
        <w:t>2.分类型专项材料（择一方向选择提交）：</w:t>
      </w:r>
    </w:p>
    <w:p w14:paraId="6A8497A7">
      <w:pPr>
        <w:bidi w:val="0"/>
        <w:rPr>
          <w:rFonts w:hint="eastAsia"/>
          <w:color w:val="auto"/>
          <w:highlight w:val="none"/>
          <w:lang w:val="en-US" w:eastAsia="zh-CN"/>
        </w:rPr>
      </w:pPr>
      <w:r>
        <w:rPr>
          <w:rFonts w:hint="eastAsia"/>
          <w:color w:val="auto"/>
          <w:highlight w:val="none"/>
          <w:lang w:val="en-US" w:eastAsia="zh-CN"/>
        </w:rPr>
        <w:t>一是</w:t>
      </w:r>
      <w:r>
        <w:rPr>
          <w:rStyle w:val="19"/>
          <w:rFonts w:hint="default" w:ascii="仿宋_GB2312" w:hAnsi="仿宋_GB2312" w:eastAsia="仿宋_GB2312" w:cs="仿宋_GB2312"/>
          <w:color w:val="auto"/>
          <w:sz w:val="32"/>
          <w:szCs w:val="32"/>
          <w:highlight w:val="none"/>
          <w:lang w:val="en-US" w:eastAsia="zh-CN"/>
        </w:rPr>
        <w:t>业务覆盖</w:t>
      </w:r>
      <w:r>
        <w:rPr>
          <w:rStyle w:val="19"/>
          <w:rFonts w:hint="eastAsia" w:ascii="仿宋_GB2312" w:hAnsi="仿宋_GB2312" w:eastAsia="仿宋_GB2312" w:cs="仿宋_GB2312"/>
          <w:color w:val="auto"/>
          <w:sz w:val="32"/>
          <w:szCs w:val="32"/>
          <w:highlight w:val="none"/>
          <w:lang w:val="en-US" w:eastAsia="zh-CN"/>
        </w:rPr>
        <w:t>5个</w:t>
      </w:r>
      <w:r>
        <w:rPr>
          <w:rStyle w:val="19"/>
          <w:rFonts w:hint="default" w:ascii="仿宋_GB2312" w:hAnsi="仿宋_GB2312" w:eastAsia="仿宋_GB2312" w:cs="仿宋_GB2312"/>
          <w:color w:val="auto"/>
          <w:sz w:val="32"/>
          <w:szCs w:val="32"/>
          <w:highlight w:val="none"/>
          <w:lang w:val="en-US" w:eastAsia="zh-CN"/>
        </w:rPr>
        <w:t>及</w:t>
      </w:r>
      <w:r>
        <w:rPr>
          <w:rStyle w:val="19"/>
          <w:rFonts w:hint="eastAsia" w:ascii="仿宋_GB2312" w:hAnsi="仿宋_GB2312" w:eastAsia="仿宋_GB2312" w:cs="仿宋_GB2312"/>
          <w:color w:val="auto"/>
          <w:sz w:val="32"/>
          <w:szCs w:val="32"/>
          <w:highlight w:val="none"/>
          <w:lang w:val="en-US" w:eastAsia="zh-CN"/>
        </w:rPr>
        <w:t>以上区</w:t>
      </w:r>
      <w:r>
        <w:rPr>
          <w:rFonts w:hint="eastAsia"/>
          <w:color w:val="auto"/>
          <w:highlight w:val="none"/>
          <w:lang w:val="en-US" w:eastAsia="zh-CN"/>
        </w:rPr>
        <w:t>“人工智能+消费”场景</w:t>
      </w:r>
    </w:p>
    <w:p w14:paraId="51FB3589">
      <w:pPr>
        <w:bidi w:val="0"/>
        <w:rPr>
          <w:rFonts w:hint="eastAsia"/>
          <w:color w:val="auto"/>
          <w:highlight w:val="none"/>
          <w:lang w:val="en-US" w:eastAsia="zh-CN"/>
        </w:rPr>
      </w:pPr>
      <w:r>
        <w:rPr>
          <w:rFonts w:hint="eastAsia"/>
          <w:color w:val="auto"/>
          <w:highlight w:val="none"/>
          <w:lang w:val="en-US" w:eastAsia="zh-CN"/>
        </w:rPr>
        <w:t>（1）业务覆盖范围佐证材料：明确项目业务覆盖的辖区清单，提供各辖区场景落地的佐证材料（如场地使用记录、服务记录等，须体现覆盖5个及以上区）。</w:t>
      </w:r>
    </w:p>
    <w:p w14:paraId="41C1894C">
      <w:pPr>
        <w:bidi w:val="0"/>
        <w:rPr>
          <w:rFonts w:hint="eastAsia"/>
          <w:color w:val="auto"/>
          <w:highlight w:val="none"/>
          <w:lang w:val="en-US" w:eastAsia="zh-CN"/>
        </w:rPr>
      </w:pPr>
      <w:r>
        <w:rPr>
          <w:rFonts w:hint="eastAsia"/>
          <w:color w:val="auto"/>
          <w:highlight w:val="none"/>
          <w:lang w:val="en-US" w:eastAsia="zh-CN"/>
        </w:rPr>
        <w:t>（2）服务次数佐证材料：后台服务记录、与消费者订单直接挂钩数据等（须体现不低于5万次）。</w:t>
      </w:r>
    </w:p>
    <w:p w14:paraId="7051F67D">
      <w:pPr>
        <w:bidi w:val="0"/>
        <w:rPr>
          <w:rFonts w:hint="eastAsia"/>
          <w:color w:val="auto"/>
          <w:highlight w:val="none"/>
          <w:lang w:val="en-US" w:eastAsia="zh-CN"/>
        </w:rPr>
      </w:pPr>
      <w:r>
        <w:rPr>
          <w:rFonts w:hint="eastAsia"/>
          <w:color w:val="auto"/>
          <w:highlight w:val="none"/>
          <w:lang w:val="en-US" w:eastAsia="zh-CN"/>
        </w:rPr>
        <w:t>二是</w:t>
      </w:r>
      <w:r>
        <w:rPr>
          <w:rStyle w:val="19"/>
          <w:rFonts w:hint="default" w:ascii="仿宋_GB2312" w:hAnsi="仿宋_GB2312" w:eastAsia="仿宋_GB2312" w:cs="仿宋_GB2312"/>
          <w:color w:val="auto"/>
          <w:sz w:val="32"/>
          <w:szCs w:val="32"/>
          <w:highlight w:val="none"/>
          <w:lang w:val="en-US" w:eastAsia="zh-CN"/>
        </w:rPr>
        <w:t>业务聚焦</w:t>
      </w:r>
      <w:r>
        <w:rPr>
          <w:rStyle w:val="19"/>
          <w:rFonts w:hint="eastAsia" w:ascii="仿宋_GB2312" w:hAnsi="仿宋_GB2312" w:eastAsia="仿宋_GB2312" w:cs="仿宋_GB2312"/>
          <w:color w:val="auto"/>
          <w:sz w:val="32"/>
          <w:szCs w:val="32"/>
          <w:highlight w:val="none"/>
          <w:lang w:val="en-US" w:eastAsia="zh-CN"/>
        </w:rPr>
        <w:t>在特定区域</w:t>
      </w:r>
      <w:r>
        <w:rPr>
          <w:rFonts w:hint="eastAsia"/>
          <w:color w:val="auto"/>
          <w:highlight w:val="none"/>
          <w:lang w:val="en-US" w:eastAsia="zh-CN"/>
        </w:rPr>
        <w:t>“人工智能+消费”场景</w:t>
      </w:r>
    </w:p>
    <w:p w14:paraId="522A3D94">
      <w:pPr>
        <w:bidi w:val="0"/>
        <w:rPr>
          <w:rFonts w:hint="eastAsia"/>
          <w:color w:val="auto"/>
          <w:highlight w:val="none"/>
          <w:lang w:val="en-US" w:eastAsia="zh-CN"/>
        </w:rPr>
      </w:pPr>
      <w:r>
        <w:rPr>
          <w:rFonts w:hint="eastAsia"/>
          <w:color w:val="auto"/>
          <w:highlight w:val="none"/>
          <w:lang w:val="en-US" w:eastAsia="zh-CN"/>
        </w:rPr>
        <w:t>（1）特定区域落地佐证材料：明确项目聚焦的具体区域，提供项目在该区域持续运营的佐证材料（如产权证书、租赁合同等）、场景落地实景资料。</w:t>
      </w:r>
    </w:p>
    <w:p w14:paraId="2B71F652">
      <w:pPr>
        <w:bidi w:val="0"/>
        <w:rPr>
          <w:rFonts w:hint="eastAsia"/>
          <w:color w:val="auto"/>
          <w:highlight w:val="none"/>
          <w:lang w:val="en-US" w:eastAsia="zh-CN"/>
        </w:rPr>
      </w:pPr>
      <w:r>
        <w:rPr>
          <w:rFonts w:hint="eastAsia"/>
          <w:color w:val="auto"/>
          <w:highlight w:val="none"/>
          <w:lang w:val="en-US" w:eastAsia="zh-CN"/>
        </w:rPr>
        <w:t>（2）常态化运营佐证材料：项目在特定区域的运营计划、服务频次、运营时长等，提供连续3个月及以上的运营台账、服务记录、现场运营照片/视频。</w:t>
      </w:r>
    </w:p>
    <w:p w14:paraId="64443829">
      <w:pPr>
        <w:bidi w:val="0"/>
        <w:rPr>
          <w:rFonts w:hint="eastAsia"/>
          <w:color w:val="auto"/>
          <w:highlight w:val="none"/>
          <w:lang w:val="en-US" w:eastAsia="zh-CN"/>
        </w:rPr>
      </w:pPr>
      <w:r>
        <w:rPr>
          <w:rFonts w:hint="default"/>
          <w:color w:val="auto"/>
          <w:highlight w:val="none"/>
          <w:lang w:val="en-US" w:eastAsia="zh-CN"/>
        </w:rPr>
        <w:t>以上申报材料按顺序一式四份（附可编辑电子版和PDF扫描件）连续编写页码装订成册，在封面加盖单位公章并加盖骑缝章（其中，申报指引及附件有明确要求加盖公章的资料需按要求执行）；规格为A4纸正反面打印/复印。</w:t>
      </w:r>
    </w:p>
    <w:p w14:paraId="61F65A6F">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6" w:name="_Toc19526"/>
      <w:bookmarkStart w:id="17" w:name="_Toc5711"/>
      <w:bookmarkStart w:id="18" w:name="_Toc11274"/>
      <w:bookmarkStart w:id="19" w:name="_Toc16198"/>
      <w:bookmarkStart w:id="20" w:name="_Toc125127183"/>
      <w:bookmarkStart w:id="21" w:name="_Toc10305"/>
      <w:bookmarkStart w:id="22" w:name="_Toc2137"/>
      <w:bookmarkStart w:id="23" w:name="_Toc161850809"/>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七、申请表格</w:t>
      </w:r>
      <w:bookmarkEnd w:id="16"/>
      <w:bookmarkEnd w:id="17"/>
    </w:p>
    <w:p w14:paraId="014257E7">
      <w:pPr>
        <w:keepNext w:val="0"/>
        <w:keepLines w:val="0"/>
        <w:pageBreakBefore w:val="0"/>
        <w:kinsoku/>
        <w:wordWrap/>
        <w:overflowPunct w:val="0"/>
        <w:topLinePunct w:val="0"/>
        <w:autoSpaceDE/>
        <w:autoSpaceDN/>
        <w:bidi w:val="0"/>
        <w:adjustRightInd w:val="0"/>
        <w:snapToGrid w:val="0"/>
        <w:spacing w:line="560" w:lineRule="exact"/>
        <w:ind w:left="0" w:right="0" w:firstLine="640" w:firstLineChars="200"/>
        <w:textAlignment w:val="auto"/>
        <w:rPr>
          <w:rFonts w:hint="eastAsia" w:ascii="仿宋_GB2312" w:eastAsia="仿宋_GB2312" w:cs="Times New Roman"/>
          <w:color w:val="000000"/>
          <w:sz w:val="32"/>
          <w:szCs w:val="32"/>
          <w:highlight w:val="none"/>
        </w:rPr>
      </w:pPr>
      <w:bookmarkStart w:id="24" w:name="_Toc13760"/>
      <w:bookmarkStart w:id="25" w:name="_Toc20121"/>
      <w:r>
        <w:rPr>
          <w:rFonts w:hint="eastAsia" w:hAnsi="Calibri" w:cs="Times New Roman"/>
          <w:color w:val="000000"/>
          <w:spacing w:val="0"/>
          <w:sz w:val="32"/>
          <w:szCs w:val="32"/>
          <w:highlight w:val="none"/>
          <w:lang w:eastAsia="zh-CN"/>
        </w:rPr>
        <w:t>按照</w:t>
      </w:r>
      <w:r>
        <w:rPr>
          <w:rFonts w:hint="eastAsia" w:ascii="仿宋_GB2312" w:hAnsi="Calibri" w:eastAsia="仿宋_GB2312" w:cs="Times New Roman"/>
          <w:color w:val="000000"/>
          <w:spacing w:val="0"/>
          <w:sz w:val="32"/>
          <w:szCs w:val="32"/>
          <w:highlight w:val="none"/>
        </w:rPr>
        <w:t>本指南第六条（一）规定登录广东政务服务网在线填报申请书，网址：https://www.gdzwfw.gov.cn/</w:t>
      </w:r>
      <w:r>
        <w:rPr>
          <w:rFonts w:hint="eastAsia" w:ascii="仿宋_GB2312" w:eastAsia="仿宋_GB2312" w:cs="Times New Roman"/>
          <w:color w:val="000000"/>
          <w:spacing w:val="0"/>
          <w:sz w:val="32"/>
          <w:szCs w:val="32"/>
          <w:highlight w:val="none"/>
          <w:lang w:eastAsia="zh-CN"/>
        </w:rPr>
        <w:t>。</w:t>
      </w:r>
      <w:r>
        <w:rPr>
          <w:rFonts w:hint="eastAsia" w:cs="Times New Roman"/>
          <w:color w:val="000000"/>
          <w:spacing w:val="0"/>
          <w:sz w:val="32"/>
          <w:szCs w:val="32"/>
          <w:highlight w:val="none"/>
          <w:lang w:eastAsia="zh-CN"/>
        </w:rPr>
        <w:t>请在线上下载并填写《深圳市2026年中央资金消费新业态新模式新场景试点项目申报书》。</w:t>
      </w:r>
    </w:p>
    <w:p w14:paraId="516DF09F">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八、受理机关</w:t>
      </w:r>
      <w:bookmarkEnd w:id="24"/>
      <w:bookmarkEnd w:id="25"/>
    </w:p>
    <w:p w14:paraId="364B4644">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（一）受理机关</w:t>
      </w:r>
    </w:p>
    <w:p w14:paraId="51B867BD">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深圳市南山区商务局。</w:t>
      </w:r>
    </w:p>
    <w:p w14:paraId="3B006E7E">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（二）受理时间</w:t>
      </w:r>
    </w:p>
    <w:p w14:paraId="647F4135">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1.网络填报时间：202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r>
        <w:rPr>
          <w:rFonts w:hint="eastAsia" w:hAnsi="宋体" w:cs="宋体"/>
          <w:color w:val="000000" w:themeColor="text1"/>
          <w:kern w:val="0"/>
          <w:sz w:val="32"/>
          <w:szCs w:val="32"/>
          <w:highlight w:val="none"/>
          <w:lang w:val="en-US" w:eastAsia="zh-CN"/>
          <w14:textFill>
            <w14:solidFill>
              <w14:schemeClr w14:val="tx1"/>
            </w14:solidFill>
          </w14:textFill>
        </w:rPr>
        <w:t>。</w:t>
      </w:r>
    </w:p>
    <w:p w14:paraId="4E5211B2">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2.材料提交时间：2026年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日-2026年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p>
    <w:p w14:paraId="75C0D40D">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申报单位在上述规定时间内填报、提交材料，逾期不予受理。</w:t>
      </w:r>
    </w:p>
    <w:p w14:paraId="0FF0CD85">
      <w:pPr>
        <w:bidi w:val="0"/>
        <w:spacing w:before="0" w:after="0" w:line="560" w:lineRule="exact"/>
        <w:ind w:left="645" w:firstLine="0" w:firstLineChars="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（三）受理地点</w:t>
      </w:r>
    </w:p>
    <w:p w14:paraId="01706AEC">
      <w:pPr>
        <w:keepNext w:val="0"/>
        <w:keepLines w:val="0"/>
        <w:widowControl/>
        <w:suppressLineNumbers w:val="0"/>
        <w:jc w:val="left"/>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cs="仿宋_GB2312"/>
          <w:color w:val="auto"/>
          <w:sz w:val="32"/>
          <w:szCs w:val="32"/>
          <w:highlight w:val="none"/>
          <w:lang w:eastAsia="zh-CN"/>
        </w:rPr>
        <w:t>线上受理：</w:t>
      </w:r>
      <w:r>
        <w:rPr>
          <w:rFonts w:hint="eastAsia"/>
          <w:color w:val="auto"/>
          <w:highlight w:val="none"/>
          <w:lang w:val="en-US" w:eastAsia="zh-CN"/>
        </w:rPr>
        <w:t>https://www.gdzwfw.gov.cn/（广东政务服务网）。</w:t>
      </w:r>
    </w:p>
    <w:p w14:paraId="756A1CF0">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线下材料递交地址：</w:t>
      </w:r>
    </w:p>
    <w:p w14:paraId="76F1BEE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（1）深圳市南山区政务服务中心</w:t>
      </w:r>
    </w:p>
    <w:p w14:paraId="47612FE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w:t>
      </w:r>
      <w:r>
        <w:rPr>
          <w:rFonts w:hint="default"/>
          <w:color w:val="000000" w:themeColor="text1"/>
          <w:highlight w:val="none"/>
          <w:lang w:val="en-US" w:eastAsia="zh-CN"/>
          <w14:textFill>
            <w14:solidFill>
              <w14:schemeClr w14:val="tx1"/>
            </w14:solidFill>
          </w14:textFill>
        </w:rPr>
        <w:t>地址：深圳市南山区滨海大道辅路3001号深圳湾体育中心南山区政务服务中心一楼综合窗口（深圳湾体育中心东南侧独栋楼房）；办公电话：0755-86975095。</w:t>
      </w:r>
    </w:p>
    <w:p w14:paraId="76D84B0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w:t>
      </w:r>
      <w:r>
        <w:rPr>
          <w:rFonts w:hint="default"/>
          <w:color w:val="000000" w:themeColor="text1"/>
          <w:highlight w:val="none"/>
          <w:lang w:val="en-US" w:eastAsia="zh-CN"/>
          <w14:textFill>
            <w14:solidFill>
              <w14:schemeClr w14:val="tx1"/>
            </w14:solidFill>
          </w14:textFill>
        </w:rPr>
        <w:t>时间：周一至周五：9:00－12:00</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14:00-17:45（午间服务时间12:00-14:00。法定节假日休息，不对外办公</w:t>
      </w:r>
      <w:r>
        <w:rPr>
          <w:rFonts w:hint="eastAsia"/>
          <w:color w:val="000000" w:themeColor="text1"/>
          <w:highlight w:val="none"/>
          <w:lang w:val="en-US" w:eastAsia="zh-CN"/>
          <w14:textFill>
            <w14:solidFill>
              <w14:schemeClr w14:val="tx1"/>
            </w14:solidFill>
          </w14:textFill>
        </w:rPr>
        <w:t>）。</w:t>
      </w:r>
    </w:p>
    <w:p w14:paraId="1961B22E">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（2）深圳市南山区政务服务中心创智云城服务厅</w:t>
      </w:r>
    </w:p>
    <w:p w14:paraId="5F42962F">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详细地址：深圳市南山区创科路260号创智云城A3栋3楼综合窗口；办公电话：0755-86965234。</w:t>
      </w:r>
    </w:p>
    <w:p w14:paraId="2D6A3532">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办理时间：周一至周五：9</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00－12:00，14:00-17</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45（法定节假日休息，不对外办公）</w:t>
      </w:r>
    </w:p>
    <w:p w14:paraId="57ADBE5C">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（3）深圳市南山区政务服务中心创新广场服务厅</w:t>
      </w:r>
    </w:p>
    <w:p w14:paraId="1FBFEF0E">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详细地址：深圳市南山区白石路3069号深圳湾科技生态园9栋A座B3层南山区政务服务中心创新广场服务厅综合窗口；办公电话：0755-26923005。</w:t>
      </w:r>
    </w:p>
    <w:p w14:paraId="5ABDEFB7">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办理时间：周一至周五上午9:00—12:00；14:00—17:45（法定节假日及调休除外）</w:t>
      </w:r>
    </w:p>
    <w:p w14:paraId="3691D816">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（四）咨询电话</w:t>
      </w:r>
    </w:p>
    <w:p w14:paraId="1112CF47">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bookmarkStart w:id="26" w:name="_Toc1376"/>
      <w:bookmarkStart w:id="27" w:name="_Toc9722"/>
      <w:r>
        <w:rPr>
          <w:rFonts w:hint="eastAsia" w:hAnsi="宋体" w:cs="宋体"/>
          <w:color w:val="000000" w:themeColor="text1"/>
          <w:kern w:val="0"/>
          <w:sz w:val="32"/>
          <w:szCs w:val="32"/>
          <w:highlight w:val="none"/>
          <w:lang w:val="en-US" w:eastAsia="zh-CN"/>
          <w14:textFill>
            <w14:solidFill>
              <w14:schemeClr w14:val="tx1"/>
            </w14:solidFill>
          </w14:textFill>
        </w:rPr>
        <w:t>0755-88167804、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0755-88167811</w:t>
      </w:r>
    </w:p>
    <w:p w14:paraId="4F9ADDD1">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九、申请决定机关</w:t>
      </w:r>
      <w:bookmarkEnd w:id="26"/>
      <w:bookmarkEnd w:id="27"/>
    </w:p>
    <w:p w14:paraId="45145673">
      <w:pPr>
        <w:keepNext/>
        <w:keepLines/>
        <w:widowControl w:val="0"/>
        <w:bidi w:val="0"/>
        <w:spacing w:before="0" w:beforeLines="0" w:beforeAutospacing="0" w:after="0" w:afterLines="0" w:afterAutospacing="0" w:line="560" w:lineRule="exact"/>
        <w:ind w:firstLine="640" w:firstLineChars="200"/>
        <w:jc w:val="both"/>
        <w:outlineLvl w:val="0"/>
        <w:rPr>
          <w:rFonts w:hint="eastAsia" w:hAnsi="宋体" w:cs="宋体"/>
          <w:color w:val="000000" w:themeColor="text1"/>
          <w:kern w:val="0"/>
          <w:sz w:val="32"/>
          <w:szCs w:val="32"/>
          <w:highlight w:val="none"/>
          <w:lang w:val="en-US" w:eastAsia="zh-CN"/>
          <w14:textFill>
            <w14:solidFill>
              <w14:schemeClr w14:val="tx1"/>
            </w14:solidFill>
          </w14:textFill>
        </w:rPr>
      </w:pPr>
      <w:r>
        <w:rPr>
          <w:rFonts w:hint="eastAsia" w:hAnsi="宋体" w:cs="宋体"/>
          <w:color w:val="000000" w:themeColor="text1"/>
          <w:kern w:val="0"/>
          <w:sz w:val="32"/>
          <w:szCs w:val="32"/>
          <w:highlight w:val="none"/>
          <w:lang w:val="en-US" w:eastAsia="zh-CN"/>
          <w14:textFill>
            <w14:solidFill>
              <w14:schemeClr w14:val="tx1"/>
            </w14:solidFill>
          </w14:textFill>
        </w:rPr>
        <w:t>深圳市南山区商务局</w:t>
      </w:r>
    </w:p>
    <w:p w14:paraId="79936E51">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十、办理流程</w:t>
      </w:r>
      <w:bookmarkEnd w:id="18"/>
      <w:bookmarkEnd w:id="19"/>
    </w:p>
    <w:p w14:paraId="4B6A7F0F">
      <w:pPr>
        <w:bidi w:val="0"/>
        <w:rPr>
          <w:rFonts w:hint="eastAsia" w:ascii="仿宋_GB2312" w:hAnsi="仿宋_GB2312" w:eastAsia="仿宋_GB2312" w:cs="Times New Roman"/>
          <w:color w:val="auto"/>
          <w:sz w:val="32"/>
          <w:szCs w:val="32"/>
          <w:highlight w:val="none"/>
          <w:lang w:bidi="ar"/>
        </w:rPr>
      </w:pPr>
      <w:r>
        <w:rPr>
          <w:rFonts w:hint="eastAsia" w:ascii="仿宋_GB2312" w:hAnsi="仿宋_GB2312" w:eastAsia="仿宋_GB2312" w:cs="Times New Roman"/>
          <w:color w:val="auto"/>
          <w:sz w:val="32"/>
          <w:szCs w:val="32"/>
          <w:highlight w:val="none"/>
          <w:lang w:val="en-US" w:eastAsia="zh-CN" w:bidi="ar"/>
        </w:rPr>
        <w:t>区级商务主管部门发布申报指南——申报单位网上申报——区级商务主管部门网上初审——申报单位向辖区政务服务中心收文窗口提交申请材料——区级商务部门开展形式审查——区级商务主管部门开展资质审查——区级商务主管部门组织专项审计——征求意见与综合核查——拟定资助计划——社会公示——下达资助计划——通知申报单位提交拨付资料——拨付资金</w:t>
      </w:r>
      <w:r>
        <w:rPr>
          <w:rFonts w:hint="eastAsia" w:ascii="仿宋_GB2312" w:hAnsi="仿宋_GB2312" w:eastAsia="仿宋_GB2312" w:cs="Times New Roman"/>
          <w:color w:val="auto"/>
          <w:sz w:val="32"/>
          <w:szCs w:val="32"/>
          <w:highlight w:val="none"/>
          <w:lang w:bidi="ar"/>
        </w:rPr>
        <w:t>。</w:t>
      </w:r>
    </w:p>
    <w:p w14:paraId="72081705">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8" w:name="_Toc3693"/>
      <w:bookmarkStart w:id="29" w:name="_Toc28790"/>
      <w:r>
        <w:rPr>
          <w:rFonts w:hint="eastAsia" w:ascii="黑体" w:hAnsi="黑体" w:eastAsia="黑体" w:cs="仿宋"/>
          <w:color w:val="auto"/>
          <w:kern w:val="2"/>
          <w:sz w:val="32"/>
          <w:szCs w:val="22"/>
          <w:highlight w:val="none"/>
          <w:lang w:val="en-US" w:eastAsia="zh-CN" w:bidi="ar-SA"/>
        </w:rPr>
        <w:t>十一、办理时限</w:t>
      </w:r>
      <w:bookmarkEnd w:id="28"/>
      <w:bookmarkEnd w:id="29"/>
    </w:p>
    <w:p w14:paraId="207A5B8C">
      <w:pPr>
        <w:bidi w:val="0"/>
        <w:rPr>
          <w:rFonts w:hint="eastAsia"/>
          <w:color w:val="auto"/>
          <w:highlight w:val="none"/>
        </w:rPr>
      </w:pPr>
      <w:r>
        <w:rPr>
          <w:rFonts w:hint="eastAsia"/>
          <w:color w:val="auto"/>
          <w:highlight w:val="none"/>
          <w:lang w:val="en-US" w:eastAsia="zh-CN"/>
        </w:rPr>
        <w:t>180个工作日，不含特别程序。</w:t>
      </w:r>
    </w:p>
    <w:p w14:paraId="6975324B">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32254"/>
      <w:bookmarkStart w:id="31" w:name="_Toc29872"/>
      <w:r>
        <w:rPr>
          <w:rFonts w:hint="eastAsia" w:ascii="黑体" w:hAnsi="黑体" w:eastAsia="黑体" w:cs="仿宋"/>
          <w:color w:val="auto"/>
          <w:kern w:val="2"/>
          <w:sz w:val="32"/>
          <w:szCs w:val="22"/>
          <w:highlight w:val="none"/>
          <w:lang w:val="en-US" w:eastAsia="zh-CN" w:bidi="ar-SA"/>
        </w:rPr>
        <w:t>十二、证件及有效期</w:t>
      </w:r>
      <w:bookmarkEnd w:id="30"/>
      <w:bookmarkEnd w:id="31"/>
    </w:p>
    <w:p w14:paraId="3178E866">
      <w:pPr>
        <w:bidi w:val="0"/>
        <w:rPr>
          <w:rFonts w:hint="eastAsia"/>
          <w:color w:val="auto"/>
          <w:highlight w:val="none"/>
        </w:rPr>
      </w:pPr>
      <w:r>
        <w:rPr>
          <w:rFonts w:hint="eastAsia"/>
          <w:color w:val="auto"/>
          <w:highlight w:val="none"/>
        </w:rPr>
        <w:t>证件：无</w:t>
      </w:r>
    </w:p>
    <w:p w14:paraId="23200ADD">
      <w:pPr>
        <w:bidi w:val="0"/>
        <w:rPr>
          <w:rFonts w:hint="eastAsia"/>
          <w:color w:val="auto"/>
          <w:highlight w:val="none"/>
        </w:rPr>
      </w:pPr>
      <w:r>
        <w:rPr>
          <w:rFonts w:hint="eastAsia"/>
          <w:color w:val="auto"/>
          <w:highlight w:val="none"/>
        </w:rPr>
        <w:t>有效期限：无</w:t>
      </w:r>
    </w:p>
    <w:p w14:paraId="2F06A2F5">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9920"/>
      <w:bookmarkStart w:id="33" w:name="_Toc17239"/>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14:paraId="325ADF5C">
      <w:pPr>
        <w:bidi w:val="0"/>
        <w:rPr>
          <w:rFonts w:hint="eastAsia"/>
          <w:color w:val="auto"/>
          <w:highlight w:val="none"/>
        </w:rPr>
      </w:pPr>
      <w:r>
        <w:rPr>
          <w:rFonts w:hint="eastAsia"/>
          <w:color w:val="auto"/>
          <w:highlight w:val="none"/>
        </w:rPr>
        <w:t>无</w:t>
      </w:r>
    </w:p>
    <w:p w14:paraId="04A493E2">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6842"/>
      <w:bookmarkStart w:id="35" w:name="_Toc7505"/>
      <w:r>
        <w:rPr>
          <w:rFonts w:hint="eastAsia" w:ascii="黑体" w:hAnsi="黑体" w:eastAsia="黑体" w:cs="Times New Roman"/>
          <w:color w:val="auto"/>
          <w:kern w:val="2"/>
          <w:sz w:val="32"/>
          <w:szCs w:val="32"/>
          <w:highlight w:val="none"/>
          <w:lang w:val="en-US" w:eastAsia="zh-CN" w:bidi="ar-SA"/>
        </w:rPr>
        <w:t>十四、收费</w:t>
      </w:r>
      <w:bookmarkEnd w:id="34"/>
      <w:bookmarkEnd w:id="35"/>
    </w:p>
    <w:p w14:paraId="6A8D0FEB">
      <w:pPr>
        <w:bidi w:val="0"/>
        <w:rPr>
          <w:rFonts w:hint="eastAsia"/>
          <w:color w:val="auto"/>
          <w:highlight w:val="none"/>
        </w:rPr>
      </w:pPr>
      <w:r>
        <w:rPr>
          <w:rFonts w:hint="eastAsia"/>
          <w:color w:val="auto"/>
          <w:highlight w:val="none"/>
        </w:rPr>
        <w:t>无</w:t>
      </w:r>
    </w:p>
    <w:p w14:paraId="2B4AAA06">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145"/>
      <w:bookmarkStart w:id="37" w:name="_Toc3047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14:paraId="569A5895">
      <w:pPr>
        <w:bidi w:val="0"/>
        <w:rPr>
          <w:rFonts w:hint="eastAsia"/>
          <w:color w:val="auto"/>
          <w:highlight w:val="none"/>
        </w:rPr>
      </w:pPr>
      <w:r>
        <w:rPr>
          <w:rFonts w:hint="eastAsia"/>
          <w:color w:val="auto"/>
          <w:highlight w:val="none"/>
        </w:rPr>
        <w:t>无</w:t>
      </w:r>
      <w:bookmarkStart w:id="38" w:name="_Toc28762"/>
      <w:bookmarkStart w:id="39" w:name="_Toc20677"/>
    </w:p>
    <w:p w14:paraId="4DA2EE44">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14:paraId="4BAA9191">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14:paraId="71EEF942">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w:t>
      </w:r>
      <w:r>
        <w:rPr>
          <w:rFonts w:hint="default"/>
          <w:color w:val="auto"/>
          <w:highlight w:val="none"/>
          <w:lang w:val="en-US" w:eastAsia="zh-CN"/>
        </w:rPr>
        <w:t>，</w:t>
      </w:r>
      <w:r>
        <w:rPr>
          <w:rFonts w:hint="eastAsia"/>
          <w:color w:val="auto"/>
          <w:highlight w:val="none"/>
          <w:lang w:val="en-US" w:eastAsia="zh-CN"/>
        </w:rPr>
        <w:t>并按照有关规定处理；涉嫌犯罪的，依法移送有关机关处理：</w:t>
      </w:r>
    </w:p>
    <w:p w14:paraId="5E3D3B30">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14:paraId="7DA66A74">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14:paraId="088AF901">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14:paraId="6118F050">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14:paraId="24EBD0F6">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14:paraId="3C2A2C79">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14:paraId="3E43F00E">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14:paraId="5B64DF42">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r>
        <w:rPr>
          <w:rFonts w:hint="eastAsia"/>
          <w:color w:val="000000" w:themeColor="text1"/>
          <w:highlight w:val="none"/>
          <w:lang w:val="en-US" w:eastAsia="zh-CN"/>
          <w14:textFill>
            <w14:solidFill>
              <w14:schemeClr w14:val="tx1"/>
            </w14:solidFill>
          </w14:textFill>
        </w:rPr>
        <w:t>（补充受理单位举报电话）</w:t>
      </w:r>
    </w:p>
    <w:p w14:paraId="28A1CF78">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14:paraId="0CE1A4B1">
      <w:pPr>
        <w:bidi w:val="0"/>
        <w:rPr>
          <w:rFonts w:hint="eastAsia"/>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w:t>
      </w:r>
      <w:r>
        <w:rPr>
          <w:rFonts w:hint="eastAsia"/>
          <w:color w:val="auto"/>
          <w:highlight w:val="none"/>
          <w:lang w:val="en-US" w:eastAsia="zh-CN"/>
        </w:rPr>
        <w:t>拨付</w:t>
      </w:r>
      <w:r>
        <w:rPr>
          <w:color w:val="auto"/>
          <w:highlight w:val="none"/>
        </w:rPr>
        <w:t>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p>
    <w:p w14:paraId="278B7CAD">
      <w:pPr>
        <w:bidi w:val="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八</w:t>
      </w:r>
      <w:r>
        <w:rPr>
          <w:rFonts w:hint="eastAsia"/>
          <w:color w:val="auto"/>
          <w:highlight w:val="none"/>
          <w:lang w:eastAsia="zh-CN"/>
        </w:rPr>
        <w:t>）</w:t>
      </w:r>
      <w:r>
        <w:rPr>
          <w:rFonts w:hint="eastAsia"/>
          <w:color w:val="auto"/>
          <w:highlight w:val="none"/>
          <w:lang w:val="en-US" w:eastAsia="zh-CN"/>
        </w:rPr>
        <w:t>申报单位需确保所用人工智能技术合规，符合国家数据安全、隐私保护相关法规，保障用户消费信息安全。</w:t>
      </w:r>
    </w:p>
    <w:p w14:paraId="648BCB11">
      <w:pPr>
        <w:bidi w:val="0"/>
        <w:ind w:firstLine="0" w:firstLineChars="0"/>
        <w:rPr>
          <w:rFonts w:hint="eastAsia"/>
          <w:color w:val="auto"/>
          <w:highlight w:val="none"/>
          <w:lang w:val="en-US" w:eastAsia="zh-CN"/>
        </w:rPr>
      </w:pPr>
    </w:p>
    <w:bookmarkEnd w:id="20"/>
    <w:bookmarkEnd w:id="21"/>
    <w:bookmarkEnd w:id="22"/>
    <w:bookmarkEnd w:id="23"/>
    <w:p w14:paraId="27FF303C">
      <w:pPr>
        <w:pStyle w:val="17"/>
        <w:rPr>
          <w:rFonts w:hint="eastAsia" w:ascii="仿宋_GB2312" w:hAnsi="仿宋_GB2312"/>
          <w:color w:val="auto"/>
          <w:highlight w:val="none"/>
          <w:lang w:val="en-US" w:eastAsia="zh-CN"/>
        </w:rPr>
      </w:pPr>
      <w:r>
        <w:rPr>
          <w:rFonts w:hint="eastAsia" w:ascii="仿宋_GB2312" w:hAnsi="仿宋_GB2312"/>
          <w:color w:val="auto"/>
          <w:highlight w:val="none"/>
          <w:lang w:eastAsia="zh-CN"/>
        </w:rPr>
        <w:t>附录：</w:t>
      </w:r>
      <w:r>
        <w:rPr>
          <w:rFonts w:hint="eastAsia" w:ascii="仿宋_GB2312" w:hAnsi="仿宋_GB2312"/>
          <w:color w:val="auto"/>
          <w:highlight w:val="none"/>
          <w:lang w:val="en-US" w:eastAsia="zh-CN"/>
        </w:rPr>
        <w:t>1.名词解释</w:t>
      </w:r>
    </w:p>
    <w:p w14:paraId="2906E984">
      <w:pPr>
        <w:pStyle w:val="17"/>
        <w:ind w:left="1907" w:leftChars="496" w:hanging="320" w:hangingChars="100"/>
        <w:rPr>
          <w:rFonts w:hint="eastAsia" w:ascii="仿宋_GB2312" w:hAnsi="仿宋_GB2312"/>
          <w:color w:val="auto"/>
          <w:highlight w:val="none"/>
          <w:lang w:eastAsia="zh-CN"/>
        </w:rPr>
      </w:pPr>
      <w:r>
        <w:rPr>
          <w:rFonts w:hint="eastAsia" w:ascii="仿宋_GB2312" w:hAnsi="仿宋_GB2312"/>
          <w:color w:val="auto"/>
          <w:highlight w:val="none"/>
          <w:lang w:val="en-US" w:eastAsia="zh-CN"/>
        </w:rPr>
        <w:t>2.深圳市消费新业态新模式新场景试点优质消费资    源与知名IP跨界联合—“人工智能+消费”场景及集聚区项目评分表</w:t>
      </w:r>
    </w:p>
    <w:p w14:paraId="43841544">
      <w:pPr>
        <w:pStyle w:val="17"/>
        <w:spacing w:line="560" w:lineRule="exact"/>
        <w:rPr>
          <w:rFonts w:ascii="仿宋_GB2312" w:hAnsi="仿宋_GB2312"/>
          <w:color w:val="auto"/>
          <w:highlight w:val="none"/>
        </w:rPr>
        <w:sectPr>
          <w:headerReference r:id="rId5" w:type="default"/>
          <w:footerReference r:id="rId6" w:type="default"/>
          <w:pgSz w:w="11906" w:h="16838"/>
          <w:pgMar w:top="1814" w:right="1474" w:bottom="1814" w:left="1474" w:header="851" w:footer="992" w:gutter="0"/>
          <w:pgNumType w:fmt="decimal"/>
          <w:cols w:space="425" w:num="1"/>
          <w:docGrid w:type="lines" w:linePitch="312" w:charSpace="0"/>
        </w:sectPr>
      </w:pPr>
    </w:p>
    <w:p w14:paraId="34BE5A69">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i w:val="0"/>
          <w:iCs w:val="0"/>
          <w:color w:val="auto"/>
          <w:kern w:val="0"/>
          <w:sz w:val="32"/>
          <w:szCs w:val="32"/>
          <w:highlight w:val="none"/>
          <w:u w:val="none"/>
          <w:lang w:val="en-US" w:eastAsia="zh-CN" w:bidi="ar"/>
        </w:rPr>
      </w:pPr>
      <w:r>
        <w:rPr>
          <w:rFonts w:hint="eastAsia" w:ascii="黑体" w:hAnsi="黑体" w:eastAsia="黑体" w:cs="黑体"/>
          <w:i w:val="0"/>
          <w:iCs w:val="0"/>
          <w:color w:val="auto"/>
          <w:kern w:val="0"/>
          <w:sz w:val="32"/>
          <w:szCs w:val="32"/>
          <w:highlight w:val="none"/>
          <w:u w:val="none"/>
          <w:lang w:val="en-US" w:eastAsia="zh-CN" w:bidi="ar"/>
        </w:rPr>
        <w:t>附  录1</w:t>
      </w:r>
    </w:p>
    <w:p w14:paraId="2D4FC77A">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i w:val="0"/>
          <w:iCs w:val="0"/>
          <w:color w:val="auto"/>
          <w:kern w:val="0"/>
          <w:sz w:val="32"/>
          <w:szCs w:val="32"/>
          <w:highlight w:val="none"/>
          <w:u w:val="none"/>
          <w:lang w:val="en-US" w:eastAsia="zh-CN" w:bidi="ar"/>
        </w:rPr>
      </w:pPr>
    </w:p>
    <w:p w14:paraId="3BA188A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名词解释</w:t>
      </w:r>
    </w:p>
    <w:p w14:paraId="5095C41D">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p>
    <w:p w14:paraId="18A7EE67">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w:t>
      </w:r>
      <w:r>
        <w:rPr>
          <w:rFonts w:hint="default" w:ascii="仿宋_GB2312" w:hAnsi="仿宋_GB2312" w:eastAsia="仿宋_GB2312" w:cs="仿宋_GB2312"/>
          <w:b/>
          <w:bCs/>
          <w:color w:val="auto"/>
          <w:sz w:val="32"/>
          <w:szCs w:val="32"/>
          <w:highlight w:val="none"/>
          <w:lang w:val="en-US" w:eastAsia="zh-CN"/>
        </w:rPr>
        <w:t>提供服务次数：</w:t>
      </w:r>
      <w:r>
        <w:rPr>
          <w:rFonts w:hint="default" w:ascii="仿宋_GB2312" w:hAnsi="仿宋_GB2312" w:eastAsia="仿宋_GB2312" w:cs="仿宋_GB2312"/>
          <w:color w:val="auto"/>
          <w:sz w:val="32"/>
          <w:szCs w:val="32"/>
          <w:highlight w:val="none"/>
          <w:lang w:val="en-US" w:eastAsia="zh-CN"/>
        </w:rPr>
        <w:t>指定统计周期内已完成履约闭环的有效服务总次数，核算认定统一以可溯源、可核查的正式消费凭证及业务后台留存原始消费数据记录作为佐证依据。</w:t>
      </w:r>
    </w:p>
    <w:p w14:paraId="6D49C94C">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二</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14:paraId="2F69A031">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i w:val="0"/>
          <w:iCs w:val="0"/>
          <w:color w:val="auto"/>
          <w:kern w:val="0"/>
          <w:sz w:val="32"/>
          <w:szCs w:val="32"/>
          <w:highlight w:val="none"/>
          <w:u w:val="none"/>
          <w:lang w:val="en-US" w:eastAsia="zh-CN" w:bidi="ar"/>
        </w:rPr>
        <w:sectPr>
          <w:pgSz w:w="11906" w:h="16838"/>
          <w:pgMar w:top="1814" w:right="1474" w:bottom="1814" w:left="1474" w:header="851" w:footer="992" w:gutter="0"/>
          <w:pgNumType w:fmt="decimal"/>
          <w:cols w:space="425" w:num="1"/>
          <w:docGrid w:type="lines" w:linePitch="312" w:charSpace="0"/>
        </w:sectPr>
      </w:pPr>
    </w:p>
    <w:p w14:paraId="14A8C430">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黑体" w:hAnsi="黑体" w:eastAsia="黑体" w:cs="黑体"/>
          <w:i w:val="0"/>
          <w:iCs w:val="0"/>
          <w:color w:val="auto"/>
          <w:kern w:val="0"/>
          <w:sz w:val="32"/>
          <w:szCs w:val="32"/>
          <w:highlight w:val="none"/>
          <w:u w:val="none"/>
          <w:lang w:val="en-US" w:eastAsia="zh-CN" w:bidi="ar"/>
        </w:rPr>
      </w:pPr>
      <w:r>
        <w:rPr>
          <w:rFonts w:hint="eastAsia" w:ascii="黑体" w:hAnsi="黑体" w:eastAsia="黑体" w:cs="黑体"/>
          <w:i w:val="0"/>
          <w:iCs w:val="0"/>
          <w:color w:val="auto"/>
          <w:kern w:val="0"/>
          <w:sz w:val="32"/>
          <w:szCs w:val="32"/>
          <w:highlight w:val="none"/>
          <w:u w:val="none"/>
          <w:lang w:val="en-US" w:eastAsia="zh-CN" w:bidi="ar"/>
        </w:rPr>
        <w:t>附  录2</w:t>
      </w:r>
    </w:p>
    <w:p w14:paraId="7C363C21">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bidi="ar"/>
        </w:rPr>
      </w:pPr>
    </w:p>
    <w:p w14:paraId="7461774D">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rPr>
          <w:rFonts w:hint="eastAsia" w:ascii="方正小标宋简体" w:hAnsi="方正小标宋简体" w:eastAsia="方正小标宋简体" w:cs="方正小标宋简体"/>
          <w:i w:val="0"/>
          <w:iCs w:val="0"/>
          <w:color w:val="auto"/>
          <w:kern w:val="0"/>
          <w:sz w:val="44"/>
          <w:szCs w:val="44"/>
          <w:highlight w:val="none"/>
          <w:u w:val="none"/>
          <w:lang w:val="en-US" w:eastAsia="zh-CN" w:bidi="ar"/>
        </w:rPr>
      </w:pPr>
      <w:r>
        <w:rPr>
          <w:rStyle w:val="19"/>
          <w:rFonts w:hint="eastAsia" w:ascii="方正小标宋简体" w:hAnsi="方正小标宋简体" w:eastAsia="方正小标宋简体" w:cs="方正小标宋简体"/>
          <w:color w:val="auto"/>
          <w:sz w:val="44"/>
          <w:szCs w:val="44"/>
          <w:highlight w:val="none"/>
          <w:u w:val="none"/>
          <w:lang w:val="en-US" w:eastAsia="zh-CN"/>
        </w:rPr>
        <w:t>“人工智能+消费”标杆场景评分表</w:t>
      </w:r>
    </w:p>
    <w:p w14:paraId="48B2E090">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pPr>
    </w:p>
    <w:p w14:paraId="7FF672AE">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i w:val="0"/>
          <w:iCs w:val="0"/>
          <w:color w:val="auto"/>
          <w:kern w:val="0"/>
          <w:sz w:val="24"/>
          <w:szCs w:val="24"/>
          <w:highlight w:val="none"/>
          <w:u w:val="none"/>
          <w:lang w:val="en-US" w:eastAsia="zh-CN" w:bidi="ar"/>
        </w:rPr>
      </w:pPr>
      <w:r>
        <w:rPr>
          <w:rFonts w:hint="eastAsia" w:ascii="黑体" w:hAnsi="黑体" w:eastAsia="黑体" w:cs="黑体"/>
          <w:i w:val="0"/>
          <w:iCs w:val="0"/>
          <w:color w:val="auto"/>
          <w:kern w:val="0"/>
          <w:sz w:val="24"/>
          <w:szCs w:val="24"/>
          <w:highlight w:val="none"/>
          <w:u w:val="none"/>
          <w:lang w:val="en-US" w:eastAsia="zh-CN" w:bidi="ar"/>
        </w:rPr>
        <w:t>一、对于业务覆盖5个及以上区、提供服务次数不低于5万次的创新消费场景</w:t>
      </w:r>
    </w:p>
    <w:tbl>
      <w:tblPr>
        <w:tblStyle w:val="18"/>
        <w:tblpPr w:leftFromText="180" w:rightFromText="180" w:vertAnchor="text" w:tblpXSpec="center" w:tblpY="1"/>
        <w:tblOverlap w:val="never"/>
        <w:tblW w:w="14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3"/>
        <w:gridCol w:w="989"/>
        <w:gridCol w:w="6353"/>
        <w:gridCol w:w="1426"/>
        <w:gridCol w:w="3853"/>
      </w:tblGrid>
      <w:tr w14:paraId="33987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1553" w:type="dxa"/>
            <w:tcBorders>
              <w:top w:val="single" w:color="000000" w:sz="4" w:space="0"/>
              <w:left w:val="single" w:color="000000" w:sz="4" w:space="0"/>
              <w:bottom w:val="single" w:color="000000" w:sz="4" w:space="0"/>
              <w:right w:val="single" w:color="000000" w:sz="4" w:space="0"/>
            </w:tcBorders>
            <w:noWrap/>
            <w:vAlign w:val="center"/>
          </w:tcPr>
          <w:p w14:paraId="2C18148C">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类型</w:t>
            </w:r>
          </w:p>
        </w:tc>
        <w:tc>
          <w:tcPr>
            <w:tcW w:w="989" w:type="dxa"/>
            <w:tcBorders>
              <w:top w:val="single" w:color="000000" w:sz="4" w:space="0"/>
              <w:left w:val="single" w:color="000000" w:sz="4" w:space="0"/>
              <w:bottom w:val="single" w:color="000000" w:sz="4" w:space="0"/>
              <w:right w:val="single" w:color="000000" w:sz="4" w:space="0"/>
            </w:tcBorders>
            <w:noWrap w:val="0"/>
            <w:vAlign w:val="center"/>
          </w:tcPr>
          <w:p w14:paraId="09F996E2">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维度</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4A6C2B1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评分标准</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2B9C7EEE">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分值</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14:paraId="7E5E92F2">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b/>
                <w:bCs/>
                <w:i w:val="0"/>
                <w:iCs w:val="0"/>
                <w:color w:val="auto"/>
                <w:sz w:val="22"/>
                <w:szCs w:val="22"/>
                <w:highlight w:val="none"/>
                <w:u w:val="none"/>
                <w:lang w:val="en-US"/>
              </w:rPr>
            </w:pPr>
            <w:r>
              <w:rPr>
                <w:rFonts w:hint="eastAsia" w:ascii="仿宋_GB2312" w:hAnsi="宋体" w:eastAsia="仿宋_GB2312" w:cs="仿宋_GB2312"/>
                <w:b/>
                <w:bCs/>
                <w:i w:val="0"/>
                <w:iCs w:val="0"/>
                <w:color w:val="auto"/>
                <w:kern w:val="0"/>
                <w:sz w:val="22"/>
                <w:szCs w:val="22"/>
                <w:highlight w:val="none"/>
                <w:u w:val="none"/>
                <w:lang w:val="en-US" w:eastAsia="zh-CN" w:bidi="ar"/>
              </w:rPr>
              <w:t>佐证材料参考</w:t>
            </w:r>
          </w:p>
        </w:tc>
      </w:tr>
      <w:tr w14:paraId="7E056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53" w:type="dxa"/>
            <w:vMerge w:val="restart"/>
            <w:tcBorders>
              <w:left w:val="single" w:color="000000" w:sz="4" w:space="0"/>
              <w:right w:val="single" w:color="000000" w:sz="4" w:space="0"/>
            </w:tcBorders>
            <w:noWrap/>
            <w:vAlign w:val="center"/>
          </w:tcPr>
          <w:p w14:paraId="345E2807">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技术适配性</w:t>
            </w:r>
          </w:p>
        </w:tc>
        <w:tc>
          <w:tcPr>
            <w:tcW w:w="989" w:type="dxa"/>
            <w:vMerge w:val="restart"/>
            <w:tcBorders>
              <w:left w:val="single" w:color="000000" w:sz="4" w:space="0"/>
              <w:right w:val="single" w:color="000000" w:sz="4" w:space="0"/>
            </w:tcBorders>
            <w:noWrap w:val="0"/>
            <w:vAlign w:val="center"/>
          </w:tcPr>
          <w:p w14:paraId="648004D5">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技术成熟度</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6245254B">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olor w:val="auto"/>
                <w:kern w:val="0"/>
                <w:sz w:val="22"/>
                <w:szCs w:val="28"/>
                <w:highlight w:val="none"/>
                <w:u w:val="none"/>
                <w:lang w:val="en-US" w:eastAsia="zh-CN" w:bidi="ar"/>
              </w:rPr>
              <w:t>实际应用≥4项新一代人工智能技术</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438E55AF">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10</w:t>
            </w:r>
          </w:p>
        </w:tc>
        <w:tc>
          <w:tcPr>
            <w:tcW w:w="3853" w:type="dxa"/>
            <w:vMerge w:val="restart"/>
            <w:tcBorders>
              <w:left w:val="single" w:color="000000" w:sz="4" w:space="0"/>
              <w:right w:val="single" w:color="000000" w:sz="4" w:space="0"/>
            </w:tcBorders>
            <w:noWrap w:val="0"/>
            <w:vAlign w:val="center"/>
          </w:tcPr>
          <w:p w14:paraId="5F722426">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专利证书、软著证书；包括开源协议即符合使用条件说明、技术服务合同、授权使用文件等</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材料</w:t>
            </w:r>
          </w:p>
        </w:tc>
      </w:tr>
      <w:tr w14:paraId="178DE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53" w:type="dxa"/>
            <w:vMerge w:val="continue"/>
            <w:tcBorders>
              <w:left w:val="single" w:color="000000" w:sz="4" w:space="0"/>
              <w:right w:val="single" w:color="000000" w:sz="4" w:space="0"/>
            </w:tcBorders>
            <w:noWrap/>
            <w:vAlign w:val="center"/>
          </w:tcPr>
          <w:p w14:paraId="0FF0C170">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14:paraId="58D5F62D">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lang w:val="en-US" w:eastAsia="zh-CN"/>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032D8009">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实际应用3项新一代人工智能技术</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8AFB0D2">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6</w:t>
            </w:r>
          </w:p>
        </w:tc>
        <w:tc>
          <w:tcPr>
            <w:tcW w:w="3853" w:type="dxa"/>
            <w:vMerge w:val="continue"/>
            <w:tcBorders>
              <w:left w:val="single" w:color="000000" w:sz="4" w:space="0"/>
              <w:right w:val="single" w:color="000000" w:sz="4" w:space="0"/>
            </w:tcBorders>
            <w:noWrap w:val="0"/>
            <w:vAlign w:val="center"/>
          </w:tcPr>
          <w:p w14:paraId="4E3EBC1E">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58378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019016D6">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989" w:type="dxa"/>
            <w:vMerge w:val="restart"/>
            <w:tcBorders>
              <w:top w:val="single" w:color="000000" w:sz="4" w:space="0"/>
              <w:left w:val="single" w:color="000000" w:sz="4" w:space="0"/>
              <w:right w:val="single" w:color="000000" w:sz="4" w:space="0"/>
            </w:tcBorders>
            <w:noWrap w:val="0"/>
            <w:vAlign w:val="center"/>
          </w:tcPr>
          <w:p w14:paraId="02B995D9">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AI技术实现层级与应用形态</w:t>
            </w:r>
          </w:p>
          <w:p w14:paraId="01D9878F">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（可重复得分）</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6D75DA4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sz w:val="22"/>
                <w:szCs w:val="22"/>
                <w:highlight w:val="none"/>
                <w:u w:val="none"/>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bidi="ar"/>
              </w:rPr>
              <w:t>项目实现自主智能作业：应用具身智能、无人系统等核心技术，实现AI自主感知、自主决策、物理执行的全链路闭环。由AI直接操控硬件设备、机器人终端等物理载体，在实际服务场景中自主完成核心服务动作（如自动配送、自主作业、智能巡检等）。</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5B7599B2">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restart"/>
            <w:tcBorders>
              <w:top w:val="single" w:color="000000" w:sz="4" w:space="0"/>
              <w:left w:val="single" w:color="000000" w:sz="4" w:space="0"/>
              <w:right w:val="single" w:color="000000" w:sz="4" w:space="0"/>
            </w:tcBorders>
            <w:noWrap w:val="0"/>
            <w:vAlign w:val="center"/>
          </w:tcPr>
          <w:p w14:paraId="3C0D8B48">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shd w:val="clear" w:color="auto" w:fill="auto"/>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技术方案说明</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、功能说明书、</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演示视频等</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材料</w:t>
            </w:r>
          </w:p>
        </w:tc>
      </w:tr>
      <w:tr w14:paraId="6DAD0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3022549B">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right w:val="single" w:color="000000" w:sz="4" w:space="0"/>
            </w:tcBorders>
            <w:noWrap w:val="0"/>
            <w:vAlign w:val="center"/>
          </w:tcPr>
          <w:p w14:paraId="21D31543">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right w:val="single" w:color="000000" w:sz="4" w:space="0"/>
            </w:tcBorders>
            <w:noWrap w:val="0"/>
            <w:vAlign w:val="center"/>
          </w:tcPr>
          <w:p w14:paraId="4DDA978A">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项目实现生成式智能交互：应用AIGC（生成式人工智能）、大语言模型、多模态模型等核心技术，实现实时内容生成、多模态智能交互。系统可根据用户个性化输入，动态生成文本、图像、视频或定制化解决方案，为用户提供深度语义交互、沉浸式虚拟体验或个性化服务匹配。</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72C6300">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continue"/>
            <w:tcBorders>
              <w:left w:val="single" w:color="000000" w:sz="4" w:space="0"/>
              <w:right w:val="single" w:color="000000" w:sz="4" w:space="0"/>
            </w:tcBorders>
            <w:noWrap w:val="0"/>
            <w:vAlign w:val="center"/>
          </w:tcPr>
          <w:p w14:paraId="0640F624">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255A0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49334EED">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right w:val="single" w:color="000000" w:sz="4" w:space="0"/>
            </w:tcBorders>
            <w:noWrap w:val="0"/>
            <w:vAlign w:val="center"/>
          </w:tcPr>
          <w:p w14:paraId="22EAB472">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right w:val="single" w:color="000000" w:sz="4" w:space="0"/>
            </w:tcBorders>
            <w:noWrap w:val="0"/>
            <w:vAlign w:val="center"/>
          </w:tcPr>
          <w:p w14:paraId="5DFB4996">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项目实现决策智能优化：应用机器学习、运筹优化、大数据分析等算法技术，实现后台资源智能调度、供需动态匹配、业务流程自动化等决策层优化。</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5642F27F">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continue"/>
            <w:tcBorders>
              <w:left w:val="single" w:color="000000" w:sz="4" w:space="0"/>
              <w:bottom w:val="single" w:color="auto" w:sz="4" w:space="0"/>
              <w:right w:val="single" w:color="000000" w:sz="4" w:space="0"/>
            </w:tcBorders>
            <w:noWrap w:val="0"/>
            <w:vAlign w:val="center"/>
          </w:tcPr>
          <w:p w14:paraId="2016D53E">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4CE8C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auto" w:sz="4" w:space="0"/>
              <w:left w:val="single" w:color="auto" w:sz="4" w:space="0"/>
              <w:right w:val="single" w:color="auto" w:sz="4" w:space="0"/>
            </w:tcBorders>
            <w:noWrap/>
            <w:vAlign w:val="center"/>
          </w:tcPr>
          <w:p w14:paraId="6B08E429">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市场实效性</w:t>
            </w:r>
          </w:p>
        </w:tc>
        <w:tc>
          <w:tcPr>
            <w:tcW w:w="989" w:type="dxa"/>
            <w:vMerge w:val="restart"/>
            <w:tcBorders>
              <w:top w:val="single" w:color="auto" w:sz="4" w:space="0"/>
              <w:left w:val="single" w:color="auto" w:sz="4" w:space="0"/>
              <w:bottom w:val="single" w:color="auto" w:sz="4" w:space="0"/>
              <w:right w:val="single" w:color="auto" w:sz="4" w:space="0"/>
            </w:tcBorders>
            <w:noWrap w:val="0"/>
            <w:vAlign w:val="center"/>
          </w:tcPr>
          <w:p w14:paraId="09E6C5D2">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规模覆盖能力</w:t>
            </w:r>
          </w:p>
        </w:tc>
        <w:tc>
          <w:tcPr>
            <w:tcW w:w="6353" w:type="dxa"/>
            <w:tcBorders>
              <w:top w:val="single" w:color="auto" w:sz="4" w:space="0"/>
              <w:left w:val="single" w:color="auto" w:sz="4" w:space="0"/>
              <w:bottom w:val="single" w:color="auto" w:sz="4" w:space="0"/>
              <w:right w:val="single" w:color="auto" w:sz="4" w:space="0"/>
            </w:tcBorders>
            <w:noWrap w:val="0"/>
            <w:vAlign w:val="center"/>
          </w:tcPr>
          <w:p w14:paraId="2707B9C3">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深圳全市</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落地</w:t>
            </w:r>
            <w:r>
              <w:rPr>
                <w:rStyle w:val="19"/>
                <w:rFonts w:hint="eastAsia" w:ascii="仿宋_GB2312" w:hAnsi="宋体" w:eastAsia="仿宋_GB2312" w:cs="仿宋_GB2312"/>
                <w:b w:val="0"/>
                <w:bCs w:val="0"/>
                <w:i w:val="0"/>
                <w:iCs w:val="0"/>
                <w:caps w:val="0"/>
                <w:color w:val="auto"/>
                <w:spacing w:val="0"/>
                <w:kern w:val="0"/>
                <w:sz w:val="22"/>
                <w:szCs w:val="22"/>
                <w:highlight w:val="none"/>
                <w:u w:val="none"/>
                <w:shd w:val="clear" w:color="auto" w:fill="FFFFFF"/>
                <w:lang w:bidi="ar"/>
              </w:rPr>
              <w:t>≥</w:t>
            </w:r>
            <w:r>
              <w:rPr>
                <w:rFonts w:hint="eastAsia" w:ascii="仿宋_GB2312" w:hAnsi="宋体" w:eastAsia="仿宋_GB2312" w:cs="仿宋_GB2312"/>
                <w:b w:val="0"/>
                <w:bCs w:val="0"/>
                <w:i w:val="0"/>
                <w:iCs w:val="0"/>
                <w:caps w:val="0"/>
                <w:color w:val="auto"/>
                <w:spacing w:val="0"/>
                <w:kern w:val="0"/>
                <w:sz w:val="22"/>
                <w:szCs w:val="22"/>
                <w:highlight w:val="none"/>
                <w:u w:val="none"/>
                <w:shd w:val="clear" w:color="auto" w:fill="auto"/>
                <w:lang w:val="en-US" w:eastAsia="zh-CN" w:bidi="ar"/>
              </w:rPr>
              <w:t>6</w:t>
            </w:r>
            <w:r>
              <w:rPr>
                <w:rStyle w:val="19"/>
                <w:rFonts w:hint="eastAsia" w:ascii="仿宋_GB2312" w:hAnsi="宋体" w:eastAsia="仿宋_GB2312" w:cs="仿宋_GB2312"/>
                <w:b w:val="0"/>
                <w:bCs w:val="0"/>
                <w:i w:val="0"/>
                <w:iCs w:val="0"/>
                <w:caps w:val="0"/>
                <w:color w:val="auto"/>
                <w:spacing w:val="0"/>
                <w:kern w:val="0"/>
                <w:sz w:val="22"/>
                <w:szCs w:val="22"/>
                <w:highlight w:val="none"/>
                <w:u w:val="none"/>
                <w:shd w:val="clear" w:color="auto" w:fill="FFFFFF"/>
                <w:lang w:bidi="ar"/>
              </w:rPr>
              <w:t>个</w:t>
            </w:r>
            <w:r>
              <w:rPr>
                <w:rStyle w:val="19"/>
                <w:rFonts w:hint="eastAsia" w:ascii="仿宋_GB2312" w:hAnsi="宋体" w:eastAsia="仿宋_GB2312" w:cs="仿宋_GB2312"/>
                <w:b w:val="0"/>
                <w:bCs w:val="0"/>
                <w:i w:val="0"/>
                <w:iCs w:val="0"/>
                <w:caps w:val="0"/>
                <w:color w:val="auto"/>
                <w:spacing w:val="0"/>
                <w:kern w:val="0"/>
                <w:sz w:val="22"/>
                <w:szCs w:val="22"/>
                <w:highlight w:val="none"/>
                <w:u w:val="none"/>
                <w:shd w:val="clear" w:color="auto" w:fill="FFFFFF"/>
                <w:lang w:eastAsia="zh-CN" w:bidi="ar"/>
              </w:rPr>
              <w:t>区</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（指各区及前海合作区、深汕特别合作区等</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12个区域</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2AD09FB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12</w:t>
            </w:r>
          </w:p>
        </w:tc>
        <w:tc>
          <w:tcPr>
            <w:tcW w:w="3853" w:type="dxa"/>
            <w:vMerge w:val="restart"/>
            <w:tcBorders>
              <w:top w:val="single" w:color="auto" w:sz="4" w:space="0"/>
              <w:left w:val="single" w:color="auto" w:sz="4" w:space="0"/>
              <w:bottom w:val="single" w:color="auto" w:sz="4" w:space="0"/>
              <w:right w:val="single" w:color="auto" w:sz="4" w:space="0"/>
            </w:tcBorders>
            <w:noWrap w:val="0"/>
            <w:vAlign w:val="center"/>
          </w:tcPr>
          <w:p w14:paraId="5BD4757D">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落地网点清单（含地址）、覆盖区域分布地图、用户规模统计表</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等材料</w:t>
            </w:r>
          </w:p>
        </w:tc>
      </w:tr>
      <w:tr w14:paraId="1BF95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77000FE5">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4DDE2A63">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362A837C">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b w:val="0"/>
                <w:bCs w:val="0"/>
                <w:i w:val="0"/>
                <w:iCs w:val="0"/>
                <w:caps w:val="0"/>
                <w:color w:val="auto"/>
                <w:spacing w:val="0"/>
                <w:kern w:val="0"/>
                <w:sz w:val="22"/>
                <w:szCs w:val="22"/>
                <w:highlight w:val="none"/>
                <w:u w:val="none"/>
                <w:shd w:val="clear" w:color="auto" w:fill="auto"/>
                <w:lang w:val="en-US" w:eastAsia="zh-CN" w:bidi="ar"/>
              </w:rPr>
            </w:pPr>
            <w:r>
              <w:rPr>
                <w:rFonts w:hint="eastAsia" w:ascii="仿宋_GB2312" w:hAnsi="宋体" w:eastAsia="仿宋_GB2312" w:cs="仿宋_GB2312"/>
                <w:b w:val="0"/>
                <w:bCs w:val="0"/>
                <w:i w:val="0"/>
                <w:iCs w:val="0"/>
                <w:caps w:val="0"/>
                <w:color w:val="auto"/>
                <w:spacing w:val="0"/>
                <w:kern w:val="0"/>
                <w:sz w:val="22"/>
                <w:szCs w:val="22"/>
                <w:highlight w:val="none"/>
                <w:u w:val="none"/>
                <w:shd w:val="clear" w:color="auto" w:fill="auto"/>
                <w:lang w:val="en-US" w:eastAsia="zh-CN" w:bidi="ar"/>
              </w:rPr>
              <w:t>深圳全市落地5</w:t>
            </w:r>
            <w:r>
              <w:rPr>
                <w:rFonts w:hint="eastAsia" w:ascii="仿宋_GB2312" w:hAnsi="宋体" w:eastAsia="仿宋_GB2312" w:cs="仿宋_GB2312"/>
                <w:b w:val="0"/>
                <w:bCs w:val="0"/>
                <w:i w:val="0"/>
                <w:iCs w:val="0"/>
                <w:caps w:val="0"/>
                <w:color w:val="auto"/>
                <w:spacing w:val="0"/>
                <w:kern w:val="0"/>
                <w:sz w:val="22"/>
                <w:szCs w:val="22"/>
                <w:highlight w:val="none"/>
                <w:u w:val="none"/>
                <w:shd w:val="clear" w:color="auto" w:fill="auto"/>
                <w:lang w:bidi="ar"/>
              </w:rPr>
              <w:t>个</w:t>
            </w:r>
            <w:r>
              <w:rPr>
                <w:rStyle w:val="19"/>
                <w:rFonts w:hint="eastAsia" w:ascii="仿宋_GB2312" w:hAnsi="宋体" w:eastAsia="仿宋_GB2312" w:cs="仿宋_GB2312"/>
                <w:b w:val="0"/>
                <w:bCs w:val="0"/>
                <w:i w:val="0"/>
                <w:iCs w:val="0"/>
                <w:caps w:val="0"/>
                <w:color w:val="auto"/>
                <w:spacing w:val="0"/>
                <w:kern w:val="0"/>
                <w:sz w:val="22"/>
                <w:szCs w:val="22"/>
                <w:highlight w:val="none"/>
                <w:u w:val="none"/>
                <w:shd w:val="clear" w:color="auto" w:fill="FFFFFF"/>
                <w:lang w:eastAsia="zh-CN" w:bidi="ar"/>
              </w:rPr>
              <w:t>区</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（指各区及前海合作区、深汕特别合作区等</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12个区域</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3BA27F73">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6</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62376640">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707C8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7E75D4EB">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restart"/>
            <w:tcBorders>
              <w:top w:val="single" w:color="auto" w:sz="4" w:space="0"/>
              <w:left w:val="single" w:color="auto" w:sz="4" w:space="0"/>
              <w:right w:val="single" w:color="auto" w:sz="4" w:space="0"/>
            </w:tcBorders>
            <w:noWrap w:val="0"/>
            <w:vAlign w:val="center"/>
          </w:tcPr>
          <w:p w14:paraId="3C083158">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2"/>
                <w:sz w:val="22"/>
                <w:szCs w:val="28"/>
                <w:highlight w:val="none"/>
                <w:u w:val="none"/>
                <w:lang w:val="en-US" w:eastAsia="zh-CN" w:bidi="ar-SA"/>
              </w:rPr>
            </w:pPr>
            <w:r>
              <w:rPr>
                <w:rFonts w:hint="eastAsia" w:ascii="仿宋_GB2312" w:hAnsi="宋体" w:eastAsia="仿宋_GB2312" w:cs="仿宋_GB2312"/>
                <w:b/>
                <w:bCs/>
                <w:i w:val="0"/>
                <w:iCs w:val="0"/>
                <w:color w:val="auto"/>
                <w:kern w:val="0"/>
                <w:sz w:val="22"/>
                <w:szCs w:val="28"/>
                <w:highlight w:val="none"/>
                <w:u w:val="none"/>
                <w:lang w:val="en-US" w:eastAsia="zh-CN" w:bidi="ar"/>
              </w:rPr>
              <w:t>终端数/场景数</w:t>
            </w:r>
          </w:p>
        </w:tc>
        <w:tc>
          <w:tcPr>
            <w:tcW w:w="6353" w:type="dxa"/>
            <w:tcBorders>
              <w:top w:val="single" w:color="auto" w:sz="4" w:space="0"/>
              <w:left w:val="single" w:color="auto" w:sz="4" w:space="0"/>
              <w:bottom w:val="single" w:color="auto" w:sz="4" w:space="0"/>
              <w:right w:val="single" w:color="auto" w:sz="4" w:space="0"/>
            </w:tcBorders>
            <w:noWrap w:val="0"/>
            <w:vAlign w:val="center"/>
          </w:tcPr>
          <w:p w14:paraId="7823642E">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运营终端数或消费场景数（取高值）：≥50个</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48D85304">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15</w:t>
            </w:r>
          </w:p>
        </w:tc>
        <w:tc>
          <w:tcPr>
            <w:tcW w:w="3853" w:type="dxa"/>
            <w:vMerge w:val="restart"/>
            <w:tcBorders>
              <w:top w:val="single" w:color="auto" w:sz="4" w:space="0"/>
              <w:left w:val="single" w:color="auto" w:sz="4" w:space="0"/>
              <w:bottom w:val="single" w:color="auto" w:sz="4" w:space="0"/>
              <w:right w:val="single" w:color="auto" w:sz="4" w:space="0"/>
            </w:tcBorders>
            <w:noWrap w:val="0"/>
            <w:vAlign w:val="center"/>
          </w:tcPr>
          <w:p w14:paraId="6D57DB58">
            <w:pPr>
              <w:keepNext w:val="0"/>
              <w:keepLines w:val="0"/>
              <w:widowControl/>
              <w:suppressLineNumbers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终端设备清单、场景部署清单、现场照片等材料</w:t>
            </w:r>
          </w:p>
        </w:tc>
      </w:tr>
      <w:tr w14:paraId="1C250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4D204881">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14:paraId="265588C6">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2EF84A48">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≥20个</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019E0B4A">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21DB39C7">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606F2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6BB9FA42">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14:paraId="1CD63BA7">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1BA65BC5">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≥10个</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6E8B491D">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6</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7C54D679">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64163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3C4DD9E6">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14:paraId="5C8293B4">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7FAD3D51">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≥5个</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0AC84108">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3</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3DAB83A2">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10561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2B3CD336">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bottom w:val="single" w:color="auto" w:sz="4" w:space="0"/>
              <w:right w:val="single" w:color="auto" w:sz="4" w:space="0"/>
            </w:tcBorders>
            <w:noWrap w:val="0"/>
            <w:vAlign w:val="center"/>
          </w:tcPr>
          <w:p w14:paraId="013389FD">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0278F0DD">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&lt;5个</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0117DF3D">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47B09916">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4A3AE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163ABD49">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restart"/>
            <w:tcBorders>
              <w:top w:val="single" w:color="auto" w:sz="4" w:space="0"/>
              <w:left w:val="single" w:color="auto" w:sz="4" w:space="0"/>
              <w:right w:val="single" w:color="auto" w:sz="4" w:space="0"/>
            </w:tcBorders>
            <w:noWrap w:val="0"/>
            <w:vAlign w:val="center"/>
          </w:tcPr>
          <w:p w14:paraId="2F847310">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2"/>
                <w:sz w:val="22"/>
                <w:szCs w:val="28"/>
                <w:highlight w:val="none"/>
                <w:u w:val="none"/>
                <w:lang w:val="en-US" w:eastAsia="zh-CN" w:bidi="ar-SA"/>
              </w:rPr>
            </w:pPr>
            <w:r>
              <w:rPr>
                <w:rFonts w:hint="eastAsia" w:ascii="仿宋_GB2312" w:hAnsi="宋体" w:eastAsia="仿宋_GB2312" w:cs="仿宋_GB2312"/>
                <w:b/>
                <w:bCs/>
                <w:i w:val="0"/>
                <w:iCs w:val="0"/>
                <w:color w:val="auto"/>
                <w:kern w:val="0"/>
                <w:sz w:val="22"/>
                <w:szCs w:val="28"/>
                <w:highlight w:val="none"/>
                <w:u w:val="none"/>
                <w:lang w:val="en-US" w:eastAsia="zh-CN" w:bidi="ar"/>
              </w:rPr>
              <w:t>累计服务次数</w:t>
            </w:r>
          </w:p>
        </w:tc>
        <w:tc>
          <w:tcPr>
            <w:tcW w:w="6353" w:type="dxa"/>
            <w:tcBorders>
              <w:top w:val="single" w:color="auto" w:sz="4" w:space="0"/>
              <w:left w:val="single" w:color="auto" w:sz="4" w:space="0"/>
              <w:bottom w:val="single" w:color="auto" w:sz="4" w:space="0"/>
              <w:right w:val="single" w:color="auto" w:sz="4" w:space="0"/>
            </w:tcBorders>
            <w:noWrap w:val="0"/>
            <w:vAlign w:val="center"/>
          </w:tcPr>
          <w:p w14:paraId="0D1D69B0">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累计服务次数：≥7万次</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4AAA869A">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15</w:t>
            </w:r>
          </w:p>
        </w:tc>
        <w:tc>
          <w:tcPr>
            <w:tcW w:w="3853" w:type="dxa"/>
            <w:vMerge w:val="restart"/>
            <w:tcBorders>
              <w:top w:val="single" w:color="auto" w:sz="4" w:space="0"/>
              <w:left w:val="single" w:color="auto" w:sz="4" w:space="0"/>
              <w:bottom w:val="single" w:color="auto" w:sz="4" w:space="0"/>
              <w:right w:val="single" w:color="auto" w:sz="4" w:space="0"/>
            </w:tcBorders>
            <w:noWrap w:val="0"/>
            <w:vAlign w:val="center"/>
          </w:tcPr>
          <w:p w14:paraId="1FB66DB5">
            <w:pPr>
              <w:keepNext w:val="0"/>
              <w:keepLines w:val="0"/>
              <w:widowControl/>
              <w:suppressLineNumbers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后台服务记录、消费订单数据（脱敏）、系统日志等材料</w:t>
            </w:r>
          </w:p>
        </w:tc>
      </w:tr>
      <w:tr w14:paraId="54C7D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3094D261">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14:paraId="3D33AB4B">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415ED70F">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≥6万次</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3783BA30">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20BA6F89">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0A352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33B0DC27">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14:paraId="14C26090">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0008D5AD">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≥5万次（门槛）</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3D44FD4F">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5</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7837E25A">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33C0D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73F9503C">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bottom w:val="single" w:color="auto" w:sz="4" w:space="0"/>
              <w:right w:val="single" w:color="auto" w:sz="4" w:space="0"/>
            </w:tcBorders>
            <w:noWrap w:val="0"/>
            <w:vAlign w:val="center"/>
          </w:tcPr>
          <w:p w14:paraId="4736F687">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5836058F">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&lt;5万次</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1CB8D43C">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532485B1">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32874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33660482">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tcBorders>
              <w:top w:val="single" w:color="auto" w:sz="4" w:space="0"/>
              <w:left w:val="single" w:color="000000" w:sz="4" w:space="0"/>
              <w:right w:val="single" w:color="000000" w:sz="4" w:space="0"/>
            </w:tcBorders>
            <w:noWrap w:val="0"/>
            <w:vAlign w:val="center"/>
          </w:tcPr>
          <w:p w14:paraId="02512BB8">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深圳科创消费特色</w:t>
            </w: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3AFF146E">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深圳为全国首个落地城市</w:t>
            </w:r>
          </w:p>
        </w:tc>
        <w:tc>
          <w:tcPr>
            <w:tcW w:w="1426" w:type="dxa"/>
            <w:tcBorders>
              <w:top w:val="single" w:color="auto" w:sz="4" w:space="0"/>
              <w:left w:val="single" w:color="000000" w:sz="4" w:space="0"/>
              <w:bottom w:val="single" w:color="auto" w:sz="4" w:space="0"/>
              <w:right w:val="single" w:color="000000" w:sz="4" w:space="0"/>
            </w:tcBorders>
            <w:noWrap/>
            <w:vAlign w:val="center"/>
          </w:tcPr>
          <w:p w14:paraId="74DE6144">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20</w:t>
            </w:r>
          </w:p>
        </w:tc>
        <w:tc>
          <w:tcPr>
            <w:tcW w:w="3853" w:type="dxa"/>
            <w:tcBorders>
              <w:top w:val="single" w:color="auto" w:sz="4" w:space="0"/>
              <w:left w:val="single" w:color="000000" w:sz="4" w:space="0"/>
              <w:right w:val="single" w:color="000000" w:sz="4" w:space="0"/>
            </w:tcBorders>
            <w:noWrap w:val="0"/>
            <w:vAlign w:val="center"/>
          </w:tcPr>
          <w:p w14:paraId="11C2C63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需附有官方媒体新闻稿截图</w:t>
            </w:r>
          </w:p>
        </w:tc>
      </w:tr>
      <w:tr w14:paraId="17B50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auto" w:sz="4" w:space="0"/>
              <w:left w:val="single" w:color="000000" w:sz="4" w:space="0"/>
              <w:right w:val="single" w:color="000000" w:sz="4" w:space="0"/>
            </w:tcBorders>
            <w:noWrap/>
            <w:vAlign w:val="center"/>
          </w:tcPr>
          <w:p w14:paraId="54A6F01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推广可行性</w:t>
            </w:r>
          </w:p>
        </w:tc>
        <w:tc>
          <w:tcPr>
            <w:tcW w:w="989" w:type="dxa"/>
            <w:vMerge w:val="restart"/>
            <w:tcBorders>
              <w:top w:val="single" w:color="auto" w:sz="4" w:space="0"/>
              <w:left w:val="single" w:color="000000" w:sz="4" w:space="0"/>
              <w:right w:val="single" w:color="000000" w:sz="4" w:space="0"/>
            </w:tcBorders>
            <w:noWrap w:val="0"/>
            <w:vAlign w:val="center"/>
          </w:tcPr>
          <w:p w14:paraId="5C1C8628">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模式可复制性</w:t>
            </w: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3437E5B5">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已形成</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标准化运营手册（含硬件部署、软件配置、人员培训、供应链）</w:t>
            </w:r>
          </w:p>
        </w:tc>
        <w:tc>
          <w:tcPr>
            <w:tcW w:w="1426" w:type="dxa"/>
            <w:tcBorders>
              <w:top w:val="single" w:color="auto" w:sz="4" w:space="0"/>
              <w:left w:val="single" w:color="000000" w:sz="4" w:space="0"/>
              <w:bottom w:val="single" w:color="auto" w:sz="4" w:space="0"/>
              <w:right w:val="single" w:color="000000" w:sz="4" w:space="0"/>
            </w:tcBorders>
            <w:noWrap/>
            <w:vAlign w:val="center"/>
          </w:tcPr>
          <w:p w14:paraId="3CF614F3">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restart"/>
            <w:tcBorders>
              <w:top w:val="single" w:color="auto" w:sz="4" w:space="0"/>
              <w:left w:val="single" w:color="000000" w:sz="4" w:space="0"/>
              <w:right w:val="single" w:color="000000" w:sz="4" w:space="0"/>
            </w:tcBorders>
            <w:noWrap w:val="0"/>
            <w:vAlign w:val="center"/>
          </w:tcPr>
          <w:p w14:paraId="7E6560A1">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标准化运营手册、</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推广方案、商业计划书</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等材料</w:t>
            </w:r>
          </w:p>
        </w:tc>
      </w:tr>
      <w:tr w14:paraId="67291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4FBE0597">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000000" w:sz="4" w:space="0"/>
              <w:right w:val="single" w:color="000000" w:sz="4" w:space="0"/>
            </w:tcBorders>
            <w:noWrap w:val="0"/>
            <w:vAlign w:val="center"/>
          </w:tcPr>
          <w:p w14:paraId="6D32EF6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3F926967">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有初步</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推广</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方案或商业计划书</w:t>
            </w:r>
          </w:p>
        </w:tc>
        <w:tc>
          <w:tcPr>
            <w:tcW w:w="1426" w:type="dxa"/>
            <w:tcBorders>
              <w:top w:val="single" w:color="auto" w:sz="4" w:space="0"/>
              <w:left w:val="single" w:color="000000" w:sz="4" w:space="0"/>
              <w:bottom w:val="single" w:color="auto" w:sz="4" w:space="0"/>
              <w:right w:val="single" w:color="000000" w:sz="4" w:space="0"/>
            </w:tcBorders>
            <w:noWrap/>
            <w:vAlign w:val="center"/>
          </w:tcPr>
          <w:p w14:paraId="021B26FB">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14:paraId="14AAC285">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0DDE2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56027F57">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bottom w:val="single" w:color="auto" w:sz="4" w:space="0"/>
              <w:right w:val="single" w:color="000000" w:sz="4" w:space="0"/>
            </w:tcBorders>
            <w:noWrap w:val="0"/>
            <w:vAlign w:val="center"/>
          </w:tcPr>
          <w:p w14:paraId="3F626131">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6E563521">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无标准化文档，商业模式不清晰</w:t>
            </w:r>
          </w:p>
        </w:tc>
        <w:tc>
          <w:tcPr>
            <w:tcW w:w="1426" w:type="dxa"/>
            <w:tcBorders>
              <w:top w:val="single" w:color="auto" w:sz="4" w:space="0"/>
              <w:left w:val="single" w:color="000000" w:sz="4" w:space="0"/>
              <w:bottom w:val="single" w:color="auto" w:sz="4" w:space="0"/>
              <w:right w:val="single" w:color="000000" w:sz="4" w:space="0"/>
            </w:tcBorders>
            <w:noWrap/>
            <w:vAlign w:val="center"/>
          </w:tcPr>
          <w:p w14:paraId="4FC2A2B8">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0</w:t>
            </w:r>
          </w:p>
        </w:tc>
        <w:tc>
          <w:tcPr>
            <w:tcW w:w="3853" w:type="dxa"/>
            <w:vMerge w:val="continue"/>
            <w:tcBorders>
              <w:left w:val="single" w:color="000000" w:sz="4" w:space="0"/>
              <w:bottom w:val="single" w:color="auto" w:sz="4" w:space="0"/>
              <w:right w:val="single" w:color="000000" w:sz="4" w:space="0"/>
            </w:tcBorders>
            <w:noWrap w:val="0"/>
            <w:vAlign w:val="center"/>
          </w:tcPr>
          <w:p w14:paraId="5E391CBF">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p>
        </w:tc>
      </w:tr>
      <w:tr w14:paraId="28023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000000" w:sz="4" w:space="0"/>
              <w:left w:val="single" w:color="000000" w:sz="4" w:space="0"/>
              <w:right w:val="single" w:color="000000" w:sz="4" w:space="0"/>
            </w:tcBorders>
            <w:noWrap/>
            <w:vAlign w:val="center"/>
          </w:tcPr>
          <w:p w14:paraId="2CC5BB1C">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可持续发展</w:t>
            </w:r>
          </w:p>
        </w:tc>
        <w:tc>
          <w:tcPr>
            <w:tcW w:w="989" w:type="dxa"/>
            <w:vMerge w:val="restart"/>
            <w:tcBorders>
              <w:top w:val="single" w:color="000000" w:sz="4" w:space="0"/>
              <w:left w:val="single" w:color="000000" w:sz="4" w:space="0"/>
              <w:right w:val="single" w:color="000000" w:sz="4" w:space="0"/>
            </w:tcBorders>
            <w:noWrap w:val="0"/>
            <w:vAlign w:val="center"/>
          </w:tcPr>
          <w:p w14:paraId="702BA140">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Style w:val="19"/>
                <w:rFonts w:hint="eastAsia" w:ascii="仿宋_GB2312" w:hAnsi="宋体" w:eastAsia="仿宋_GB2312" w:cs="仿宋_GB2312"/>
                <w:b/>
                <w:bCs/>
                <w:i w:val="0"/>
                <w:iCs w:val="0"/>
                <w:caps w:val="0"/>
                <w:color w:val="auto"/>
                <w:spacing w:val="0"/>
                <w:kern w:val="0"/>
                <w:sz w:val="22"/>
                <w:szCs w:val="22"/>
                <w:highlight w:val="none"/>
                <w:u w:val="none"/>
                <w:shd w:val="clear" w:color="auto" w:fill="FFFFFF"/>
                <w:lang w:bidi="ar"/>
              </w:rPr>
              <w:t>可持续运营能力</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1F562A2F">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配备专职运营团队≥</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50</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人</w:t>
            </w:r>
          </w:p>
          <w:p w14:paraId="1D389DE4">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提供≥1年详细运营规划和资金预算</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安排情况</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3F9FD68">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restart"/>
            <w:tcBorders>
              <w:top w:val="single" w:color="000000" w:sz="4" w:space="0"/>
              <w:left w:val="single" w:color="000000" w:sz="4" w:space="0"/>
              <w:right w:val="single" w:color="000000" w:sz="4" w:space="0"/>
            </w:tcBorders>
            <w:noWrap w:val="0"/>
            <w:vAlign w:val="center"/>
          </w:tcPr>
          <w:p w14:paraId="3C8B7699">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运营团队花名册（含职责分工）、社保缴纳记录、资金保障材料、未来1年运营规划方案、近3个月营收报表</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等材料</w:t>
            </w:r>
          </w:p>
        </w:tc>
      </w:tr>
      <w:tr w14:paraId="5B591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260694E4">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14:paraId="5B98CC1D">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aps w:val="0"/>
                <w:color w:val="auto"/>
                <w:spacing w:val="0"/>
                <w:kern w:val="0"/>
                <w:sz w:val="22"/>
                <w:szCs w:val="22"/>
                <w:highlight w:val="none"/>
                <w:u w:val="none"/>
                <w:shd w:val="clear" w:color="auto" w:fill="auto"/>
                <w:lang w:bidi="ar"/>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0D3BF77F">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配备专职运营团队</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≥20</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人</w:t>
            </w:r>
          </w:p>
          <w:p w14:paraId="0B27D924">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有≥6个月运营规划</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33C0E44F">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3</w:t>
            </w:r>
          </w:p>
        </w:tc>
        <w:tc>
          <w:tcPr>
            <w:tcW w:w="3853" w:type="dxa"/>
            <w:vMerge w:val="continue"/>
            <w:tcBorders>
              <w:left w:val="single" w:color="000000" w:sz="4" w:space="0"/>
              <w:right w:val="single" w:color="000000" w:sz="4" w:space="0"/>
            </w:tcBorders>
            <w:noWrap w:val="0"/>
            <w:vAlign w:val="center"/>
          </w:tcPr>
          <w:p w14:paraId="33715615">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520EC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bottom w:val="single" w:color="000000" w:sz="4" w:space="0"/>
              <w:right w:val="single" w:color="000000" w:sz="4" w:space="0"/>
            </w:tcBorders>
            <w:noWrap/>
            <w:vAlign w:val="center"/>
          </w:tcPr>
          <w:p w14:paraId="2410F079">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bottom w:val="single" w:color="000000" w:sz="4" w:space="0"/>
              <w:right w:val="single" w:color="000000" w:sz="4" w:space="0"/>
            </w:tcBorders>
            <w:noWrap w:val="0"/>
            <w:vAlign w:val="center"/>
          </w:tcPr>
          <w:p w14:paraId="44027E72">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18257E6B">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无专职运营团队</w:t>
            </w:r>
          </w:p>
          <w:p w14:paraId="2DB08490">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或无长期运营规划</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3DF0998">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0</w:t>
            </w:r>
          </w:p>
        </w:tc>
        <w:tc>
          <w:tcPr>
            <w:tcW w:w="3853" w:type="dxa"/>
            <w:vMerge w:val="continue"/>
            <w:tcBorders>
              <w:left w:val="single" w:color="000000" w:sz="4" w:space="0"/>
              <w:bottom w:val="single" w:color="000000" w:sz="4" w:space="0"/>
              <w:right w:val="single" w:color="000000" w:sz="4" w:space="0"/>
            </w:tcBorders>
            <w:noWrap w:val="0"/>
            <w:vAlign w:val="center"/>
          </w:tcPr>
          <w:p w14:paraId="2B2B46CC">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lang w:val="en-US" w:eastAsia="zh-CN" w:bidi="ar"/>
              </w:rPr>
            </w:pPr>
          </w:p>
        </w:tc>
      </w:tr>
      <w:tr w14:paraId="3C716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000000" w:sz="4" w:space="0"/>
              <w:left w:val="single" w:color="000000" w:sz="4" w:space="0"/>
              <w:right w:val="single" w:color="000000" w:sz="4" w:space="0"/>
            </w:tcBorders>
            <w:noWrap/>
            <w:vAlign w:val="center"/>
          </w:tcPr>
          <w:p w14:paraId="34E45612">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风险防控</w:t>
            </w:r>
          </w:p>
        </w:tc>
        <w:tc>
          <w:tcPr>
            <w:tcW w:w="989" w:type="dxa"/>
            <w:vMerge w:val="restart"/>
            <w:tcBorders>
              <w:top w:val="single" w:color="000000" w:sz="4" w:space="0"/>
              <w:left w:val="single" w:color="000000" w:sz="4" w:space="0"/>
              <w:right w:val="single" w:color="000000" w:sz="4" w:space="0"/>
            </w:tcBorders>
            <w:noWrap w:val="0"/>
            <w:vAlign w:val="center"/>
          </w:tcPr>
          <w:p w14:paraId="4A495EA0">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风险应对与应急处理</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37AFD80F">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已制定完整的AI技术故障、消费纠纷、数据安全、舆情应对四类应急预案，明确处置流程、责任人及24小时响应机制，近6个月无重大风险事故（数据泄露、重大舆情、群体性投诉）</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342F39D2">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3</w:t>
            </w:r>
          </w:p>
        </w:tc>
        <w:tc>
          <w:tcPr>
            <w:tcW w:w="3853" w:type="dxa"/>
            <w:vMerge w:val="restart"/>
            <w:tcBorders>
              <w:top w:val="single" w:color="000000" w:sz="4" w:space="0"/>
              <w:left w:val="single" w:color="000000" w:sz="4" w:space="0"/>
              <w:right w:val="single" w:color="000000" w:sz="4" w:space="0"/>
            </w:tcBorders>
            <w:noWrap w:val="0"/>
            <w:vAlign w:val="center"/>
          </w:tcPr>
          <w:p w14:paraId="0030557D">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风险防控应急预案文件、风险处置责任分工及通讯录、近6个月系统运维及投诉处理记录</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等材料</w:t>
            </w:r>
          </w:p>
        </w:tc>
      </w:tr>
      <w:tr w14:paraId="122B9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45B32535">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14:paraId="11EDFD19">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6013005E">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有基础应急预案，覆盖核心风险场景（≥2类），但处置流程不完整或响应机制不明确</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29CE1A24">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14:paraId="11AE4500">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12AC9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bottom w:val="single" w:color="auto" w:sz="4" w:space="0"/>
              <w:right w:val="single" w:color="000000" w:sz="4" w:space="0"/>
            </w:tcBorders>
            <w:noWrap/>
            <w:vAlign w:val="center"/>
          </w:tcPr>
          <w:p w14:paraId="6560121E">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bottom w:val="single" w:color="auto" w:sz="4" w:space="0"/>
              <w:right w:val="single" w:color="000000" w:sz="4" w:space="0"/>
            </w:tcBorders>
            <w:noWrap w:val="0"/>
            <w:vAlign w:val="center"/>
          </w:tcPr>
          <w:p w14:paraId="5FC77F57">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bottom w:val="single" w:color="auto" w:sz="4" w:space="0"/>
              <w:right w:val="single" w:color="000000" w:sz="4" w:space="0"/>
            </w:tcBorders>
            <w:noWrap w:val="0"/>
            <w:vAlign w:val="center"/>
          </w:tcPr>
          <w:p w14:paraId="0A9318F3">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无应急预案，或近6个月内发生过重大风险事故</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D521E73">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0</w:t>
            </w:r>
          </w:p>
        </w:tc>
        <w:tc>
          <w:tcPr>
            <w:tcW w:w="3853" w:type="dxa"/>
            <w:vMerge w:val="continue"/>
            <w:tcBorders>
              <w:left w:val="single" w:color="000000" w:sz="4" w:space="0"/>
              <w:bottom w:val="single" w:color="auto" w:sz="4" w:space="0"/>
              <w:right w:val="single" w:color="000000" w:sz="4" w:space="0"/>
            </w:tcBorders>
            <w:noWrap w:val="0"/>
            <w:vAlign w:val="center"/>
          </w:tcPr>
          <w:p w14:paraId="779ABA14">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42804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auto" w:sz="4" w:space="0"/>
              <w:left w:val="single" w:color="000000" w:sz="4" w:space="0"/>
              <w:right w:val="single" w:color="000000" w:sz="4" w:space="0"/>
            </w:tcBorders>
            <w:noWrap/>
            <w:vAlign w:val="center"/>
          </w:tcPr>
          <w:p w14:paraId="6D17FF84">
            <w:pPr>
              <w:snapToGrid w:val="0"/>
              <w:spacing w:before="0" w:after="0" w:line="560" w:lineRule="exact"/>
              <w:ind w:left="0" w:leftChars="0" w:right="0" w:rightChars="0" w:firstLine="0" w:firstLineChars="0"/>
              <w:jc w:val="center"/>
              <w:rPr>
                <w:rFonts w:hint="default"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企业资质及示范引领作用</w:t>
            </w:r>
          </w:p>
        </w:tc>
        <w:tc>
          <w:tcPr>
            <w:tcW w:w="989" w:type="dxa"/>
            <w:vMerge w:val="restart"/>
            <w:tcBorders>
              <w:top w:val="single" w:color="auto" w:sz="4" w:space="0"/>
              <w:left w:val="single" w:color="000000" w:sz="4" w:space="0"/>
              <w:right w:val="single" w:color="000000" w:sz="4" w:space="0"/>
            </w:tcBorders>
            <w:noWrap w:val="0"/>
            <w:vAlign w:val="center"/>
          </w:tcPr>
          <w:p w14:paraId="76557279">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8"/>
                <w:highlight w:val="none"/>
                <w:u w:val="none"/>
                <w:lang w:val="en-US" w:eastAsia="zh-CN" w:bidi="ar"/>
              </w:rPr>
              <w:t>加分项（可重复得分）</w:t>
            </w: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46FD3AF4">
            <w:pPr>
              <w:keepNext w:val="0"/>
              <w:keepLines w:val="0"/>
              <w:widowControl/>
              <w:suppressLineNumbers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获得国家级/省级科技企业资质或荣誉（包括但不限于：国家高新技术企业、专精特新“小巨人”企业、专精特新中小企业、创新型中小企业、国家技术创新示范企业、科技型中小企业、瞪羚企业、知识产权优势/示范企业等）</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F187226">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restart"/>
            <w:tcBorders>
              <w:top w:val="single" w:color="auto" w:sz="4" w:space="0"/>
              <w:left w:val="single" w:color="000000" w:sz="4" w:space="0"/>
              <w:right w:val="single" w:color="000000" w:sz="4" w:space="0"/>
            </w:tcBorders>
            <w:noWrap w:val="0"/>
            <w:vAlign w:val="center"/>
          </w:tcPr>
          <w:p w14:paraId="6DFFA057">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相关荣誉证书、</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主流媒体报道截图或链接</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等</w:t>
            </w:r>
          </w:p>
        </w:tc>
      </w:tr>
      <w:tr w14:paraId="28082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3DDB51B1">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14:paraId="5836D764">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3014ED88">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核心AI技术（大模型、视觉识别、推荐算法等）获</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国家级</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荣誉</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53ECACD">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14:paraId="162122C1">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r w14:paraId="33A74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38AB81B1">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14:paraId="2A6E62E3">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42A623D4">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核心AI技术（大模型、视觉识别、推荐算法等）获</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省部级科技奖项</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2A7414A8">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14:paraId="0FEC5CFE">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r w14:paraId="53740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19AB0A40">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14:paraId="3EFC0724">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57DCDD3A">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被国家级政府部门列为典型案例推广或被国家级主流媒体（央视、人民日报）专题报道</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57896E87">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14:paraId="5454213C">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r w14:paraId="12A93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bottom w:val="single" w:color="000000" w:sz="4" w:space="0"/>
              <w:right w:val="single" w:color="000000" w:sz="4" w:space="0"/>
            </w:tcBorders>
            <w:noWrap/>
            <w:vAlign w:val="center"/>
          </w:tcPr>
          <w:p w14:paraId="29478B4B">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bottom w:val="single" w:color="000000" w:sz="4" w:space="0"/>
              <w:right w:val="single" w:color="000000" w:sz="4" w:space="0"/>
            </w:tcBorders>
            <w:noWrap w:val="0"/>
            <w:vAlign w:val="center"/>
          </w:tcPr>
          <w:p w14:paraId="32CE8083">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000000" w:sz="4" w:space="0"/>
              <w:right w:val="single" w:color="000000" w:sz="4" w:space="0"/>
            </w:tcBorders>
            <w:noWrap w:val="0"/>
            <w:vAlign w:val="center"/>
          </w:tcPr>
          <w:p w14:paraId="0E6F7E03">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被省级政府部门列为典型案例推广或被省级主流媒体专题报道</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25B9667A">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bottom w:val="single" w:color="000000" w:sz="4" w:space="0"/>
              <w:right w:val="single" w:color="000000" w:sz="4" w:space="0"/>
            </w:tcBorders>
            <w:noWrap w:val="0"/>
            <w:vAlign w:val="center"/>
          </w:tcPr>
          <w:p w14:paraId="59D64934">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bl>
    <w:p w14:paraId="029CCE95">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注：新一代人工智能技术包括但不限于智算芯片、具身智能、高阶智驾、端侧轻量化模型、多模态模型等方向。</w:t>
      </w:r>
    </w:p>
    <w:p w14:paraId="336FD488">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pPr>
    </w:p>
    <w:p w14:paraId="5F85DE96">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pPr>
    </w:p>
    <w:p w14:paraId="73B67DC3">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i w:val="0"/>
          <w:iCs w:val="0"/>
          <w:color w:val="auto"/>
          <w:kern w:val="0"/>
          <w:sz w:val="24"/>
          <w:szCs w:val="24"/>
          <w:highlight w:val="none"/>
          <w:u w:val="none"/>
          <w:lang w:val="en-US" w:eastAsia="zh-CN" w:bidi="ar"/>
        </w:rPr>
      </w:pPr>
      <w:r>
        <w:rPr>
          <w:rFonts w:hint="eastAsia" w:ascii="黑体" w:hAnsi="黑体" w:eastAsia="黑体" w:cs="黑体"/>
          <w:i w:val="0"/>
          <w:iCs w:val="0"/>
          <w:color w:val="auto"/>
          <w:kern w:val="0"/>
          <w:sz w:val="24"/>
          <w:szCs w:val="24"/>
          <w:highlight w:val="none"/>
          <w:u w:val="none"/>
          <w:lang w:val="en-US" w:eastAsia="zh-CN" w:bidi="ar"/>
        </w:rPr>
        <w:t>二、对于业务聚焦在特定区域落地、常态化运营的创新消费场景</w:t>
      </w:r>
    </w:p>
    <w:tbl>
      <w:tblPr>
        <w:tblStyle w:val="18"/>
        <w:tblpPr w:leftFromText="180" w:rightFromText="180" w:vertAnchor="text" w:tblpXSpec="center" w:tblpY="1"/>
        <w:tblOverlap w:val="never"/>
        <w:tblW w:w="14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3"/>
        <w:gridCol w:w="989"/>
        <w:gridCol w:w="6353"/>
        <w:gridCol w:w="1426"/>
        <w:gridCol w:w="3853"/>
      </w:tblGrid>
      <w:tr w14:paraId="3707B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1553" w:type="dxa"/>
            <w:tcBorders>
              <w:top w:val="single" w:color="000000" w:sz="4" w:space="0"/>
              <w:left w:val="single" w:color="000000" w:sz="4" w:space="0"/>
              <w:bottom w:val="single" w:color="000000" w:sz="4" w:space="0"/>
              <w:right w:val="single" w:color="000000" w:sz="4" w:space="0"/>
            </w:tcBorders>
            <w:noWrap/>
            <w:vAlign w:val="center"/>
          </w:tcPr>
          <w:p w14:paraId="3371DA83">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类型</w:t>
            </w:r>
          </w:p>
        </w:tc>
        <w:tc>
          <w:tcPr>
            <w:tcW w:w="989" w:type="dxa"/>
            <w:tcBorders>
              <w:top w:val="single" w:color="000000" w:sz="4" w:space="0"/>
              <w:left w:val="single" w:color="000000" w:sz="4" w:space="0"/>
              <w:bottom w:val="single" w:color="000000" w:sz="4" w:space="0"/>
              <w:right w:val="single" w:color="000000" w:sz="4" w:space="0"/>
            </w:tcBorders>
            <w:noWrap w:val="0"/>
            <w:vAlign w:val="center"/>
          </w:tcPr>
          <w:p w14:paraId="694E10A4">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维度</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280B123B">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评分标准</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0377F0B">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分值</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14:paraId="656AD4C1">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佐证材料</w:t>
            </w:r>
          </w:p>
        </w:tc>
      </w:tr>
      <w:tr w14:paraId="27194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53" w:type="dxa"/>
            <w:vMerge w:val="restart"/>
            <w:tcBorders>
              <w:left w:val="single" w:color="000000" w:sz="4" w:space="0"/>
              <w:right w:val="single" w:color="000000" w:sz="4" w:space="0"/>
            </w:tcBorders>
            <w:noWrap/>
            <w:vAlign w:val="center"/>
          </w:tcPr>
          <w:p w14:paraId="03194378">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技术适配性</w:t>
            </w:r>
          </w:p>
        </w:tc>
        <w:tc>
          <w:tcPr>
            <w:tcW w:w="989" w:type="dxa"/>
            <w:vMerge w:val="restart"/>
            <w:tcBorders>
              <w:left w:val="single" w:color="000000" w:sz="4" w:space="0"/>
              <w:right w:val="single" w:color="000000" w:sz="4" w:space="0"/>
            </w:tcBorders>
            <w:noWrap w:val="0"/>
            <w:vAlign w:val="center"/>
          </w:tcPr>
          <w:p w14:paraId="54EFF638">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技术成熟度</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68CE1AB2">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olor w:val="auto"/>
                <w:kern w:val="0"/>
                <w:sz w:val="22"/>
                <w:szCs w:val="28"/>
                <w:highlight w:val="none"/>
                <w:u w:val="none"/>
                <w:lang w:val="en-US" w:eastAsia="zh-CN" w:bidi="ar"/>
              </w:rPr>
              <w:t>实际应用≥3项新一代人工智能技术</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618D3DCD">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10</w:t>
            </w:r>
          </w:p>
        </w:tc>
        <w:tc>
          <w:tcPr>
            <w:tcW w:w="3853" w:type="dxa"/>
            <w:vMerge w:val="restart"/>
            <w:tcBorders>
              <w:left w:val="single" w:color="000000" w:sz="4" w:space="0"/>
              <w:right w:val="single" w:color="000000" w:sz="4" w:space="0"/>
            </w:tcBorders>
            <w:noWrap w:val="0"/>
            <w:vAlign w:val="center"/>
          </w:tcPr>
          <w:p w14:paraId="32DB3B84">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专利证书、软著证书；包括开源协议即符合使用条件说明、技术服务合同、授权使用文件等</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材料</w:t>
            </w:r>
          </w:p>
        </w:tc>
      </w:tr>
      <w:tr w14:paraId="7B790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53" w:type="dxa"/>
            <w:vMerge w:val="continue"/>
            <w:tcBorders>
              <w:left w:val="single" w:color="000000" w:sz="4" w:space="0"/>
              <w:right w:val="single" w:color="000000" w:sz="4" w:space="0"/>
            </w:tcBorders>
            <w:noWrap/>
            <w:vAlign w:val="center"/>
          </w:tcPr>
          <w:p w14:paraId="0F609301">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14:paraId="7080FD58">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lang w:val="en-US" w:eastAsia="zh-CN"/>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7E73D579">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实际应用2项新一代人工智能技术</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6EA99BC7">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6</w:t>
            </w:r>
          </w:p>
        </w:tc>
        <w:tc>
          <w:tcPr>
            <w:tcW w:w="3853" w:type="dxa"/>
            <w:vMerge w:val="continue"/>
            <w:tcBorders>
              <w:left w:val="single" w:color="000000" w:sz="4" w:space="0"/>
              <w:right w:val="single" w:color="000000" w:sz="4" w:space="0"/>
            </w:tcBorders>
            <w:noWrap w:val="0"/>
            <w:vAlign w:val="center"/>
          </w:tcPr>
          <w:p w14:paraId="316768DE">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1A01E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77BE73CE">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989" w:type="dxa"/>
            <w:vMerge w:val="restart"/>
            <w:tcBorders>
              <w:top w:val="single" w:color="000000" w:sz="4" w:space="0"/>
              <w:left w:val="single" w:color="000000" w:sz="4" w:space="0"/>
              <w:right w:val="single" w:color="000000" w:sz="4" w:space="0"/>
            </w:tcBorders>
            <w:noWrap w:val="0"/>
            <w:vAlign w:val="center"/>
          </w:tcPr>
          <w:p w14:paraId="1E5E1D49">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AI技术实现层级与应用形态</w:t>
            </w:r>
          </w:p>
          <w:p w14:paraId="17F3B57F">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（可重复得分）</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7A31A081">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sz w:val="22"/>
                <w:szCs w:val="22"/>
                <w:highlight w:val="none"/>
                <w:u w:val="none"/>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bidi="ar"/>
              </w:rPr>
              <w:t>项目实现自主智能作业：应用具身智能、无人系统等核心技术，实现AI自主感知、自主决策、物理执行的全链路闭环。由AI直接操控硬件设备、机器人终端等物理载体，在实际服务场景中自主完成核心服务动作（如自动配送、自主作业、智能巡检等）。</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4D173D23">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lang w:val="en-US"/>
              </w:rPr>
            </w:pPr>
            <w:r>
              <w:rPr>
                <w:rFonts w:hint="eastAsia" w:ascii="仿宋_GB2312" w:hAnsi="宋体" w:eastAsia="仿宋_GB2312" w:cs="仿宋_GB2312"/>
                <w:i w:val="0"/>
                <w:iCs w:val="0"/>
                <w:color w:val="auto"/>
                <w:sz w:val="22"/>
                <w:szCs w:val="22"/>
                <w:highlight w:val="none"/>
                <w:u w:val="none"/>
                <w:lang w:val="en-US" w:eastAsia="zh-CN"/>
              </w:rPr>
              <w:t>5</w:t>
            </w:r>
          </w:p>
        </w:tc>
        <w:tc>
          <w:tcPr>
            <w:tcW w:w="3853" w:type="dxa"/>
            <w:vMerge w:val="restart"/>
            <w:tcBorders>
              <w:top w:val="single" w:color="000000" w:sz="4" w:space="0"/>
              <w:left w:val="single" w:color="000000" w:sz="4" w:space="0"/>
              <w:right w:val="single" w:color="000000" w:sz="4" w:space="0"/>
            </w:tcBorders>
            <w:noWrap w:val="0"/>
            <w:vAlign w:val="center"/>
          </w:tcPr>
          <w:p w14:paraId="1906DB8F">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技术方案说明</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、功能说明书、</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演示视频等</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材料</w:t>
            </w:r>
          </w:p>
        </w:tc>
      </w:tr>
      <w:tr w14:paraId="2B240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09C9FEDD">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right w:val="single" w:color="000000" w:sz="4" w:space="0"/>
            </w:tcBorders>
            <w:noWrap w:val="0"/>
            <w:vAlign w:val="center"/>
          </w:tcPr>
          <w:p w14:paraId="08E8D1D1">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right w:val="single" w:color="000000" w:sz="4" w:space="0"/>
            </w:tcBorders>
            <w:noWrap w:val="0"/>
            <w:vAlign w:val="center"/>
          </w:tcPr>
          <w:p w14:paraId="3D754696">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项目实现生成式智能交互：应用AIGC（生成式人工智能）、大语言模型、多模态模型等核心技术，实现实时内容生成、多模态智能交互。系统可根据用户个性化输入，动态生成文本、图像、视频或定制化解决方案，为用户提供深度语义交互、沉浸式虚拟体验或个性化服务匹配。</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23B33C5">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continue"/>
            <w:tcBorders>
              <w:left w:val="single" w:color="000000" w:sz="4" w:space="0"/>
              <w:right w:val="single" w:color="000000" w:sz="4" w:space="0"/>
            </w:tcBorders>
            <w:noWrap w:val="0"/>
            <w:vAlign w:val="center"/>
          </w:tcPr>
          <w:p w14:paraId="1B09B9AC">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083DE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08B2B7E5">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right w:val="single" w:color="000000" w:sz="4" w:space="0"/>
            </w:tcBorders>
            <w:noWrap w:val="0"/>
            <w:vAlign w:val="center"/>
          </w:tcPr>
          <w:p w14:paraId="4D1077E8">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right w:val="single" w:color="000000" w:sz="4" w:space="0"/>
            </w:tcBorders>
            <w:noWrap w:val="0"/>
            <w:vAlign w:val="center"/>
          </w:tcPr>
          <w:p w14:paraId="039C969E">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项目实现决策智能优化：应用机器学习、运筹优化、大数据分析等算法技术，实现后台资源智能调度、供需动态匹配、业务流程自动化等决策层优化。</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36D27B5F">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continue"/>
            <w:tcBorders>
              <w:left w:val="single" w:color="000000" w:sz="4" w:space="0"/>
              <w:bottom w:val="single" w:color="auto" w:sz="4" w:space="0"/>
              <w:right w:val="single" w:color="000000" w:sz="4" w:space="0"/>
            </w:tcBorders>
            <w:noWrap w:val="0"/>
            <w:vAlign w:val="center"/>
          </w:tcPr>
          <w:p w14:paraId="5788AF97">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047F5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auto" w:sz="4" w:space="0"/>
              <w:left w:val="single" w:color="auto" w:sz="4" w:space="0"/>
              <w:right w:val="single" w:color="auto" w:sz="4" w:space="0"/>
            </w:tcBorders>
            <w:noWrap/>
            <w:vAlign w:val="center"/>
          </w:tcPr>
          <w:p w14:paraId="123A3112">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市场实效性</w:t>
            </w:r>
          </w:p>
        </w:tc>
        <w:tc>
          <w:tcPr>
            <w:tcW w:w="989" w:type="dxa"/>
            <w:vMerge w:val="restart"/>
            <w:tcBorders>
              <w:top w:val="single" w:color="auto" w:sz="4" w:space="0"/>
              <w:left w:val="single" w:color="auto" w:sz="4" w:space="0"/>
              <w:bottom w:val="single" w:color="auto" w:sz="4" w:space="0"/>
              <w:right w:val="single" w:color="auto" w:sz="4" w:space="0"/>
            </w:tcBorders>
            <w:noWrap w:val="0"/>
            <w:vAlign w:val="center"/>
          </w:tcPr>
          <w:p w14:paraId="2C666871">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规模覆盖能力</w:t>
            </w:r>
          </w:p>
        </w:tc>
        <w:tc>
          <w:tcPr>
            <w:tcW w:w="6353" w:type="dxa"/>
            <w:tcBorders>
              <w:top w:val="single" w:color="auto" w:sz="4" w:space="0"/>
              <w:left w:val="single" w:color="auto" w:sz="4" w:space="0"/>
              <w:bottom w:val="single" w:color="auto" w:sz="4" w:space="0"/>
              <w:right w:val="single" w:color="auto" w:sz="4" w:space="0"/>
            </w:tcBorders>
            <w:noWrap w:val="0"/>
            <w:vAlign w:val="center"/>
          </w:tcPr>
          <w:p w14:paraId="67912C44">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在目标区域内落地网点≥5个，或累计服务区域常驻用户≥3万人</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75C5FD86">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12</w:t>
            </w:r>
          </w:p>
        </w:tc>
        <w:tc>
          <w:tcPr>
            <w:tcW w:w="3853" w:type="dxa"/>
            <w:vMerge w:val="restart"/>
            <w:tcBorders>
              <w:top w:val="single" w:color="auto" w:sz="4" w:space="0"/>
              <w:left w:val="single" w:color="auto" w:sz="4" w:space="0"/>
              <w:bottom w:val="single" w:color="auto" w:sz="4" w:space="0"/>
              <w:right w:val="single" w:color="auto" w:sz="4" w:space="0"/>
            </w:tcBorders>
            <w:noWrap w:val="0"/>
            <w:vAlign w:val="center"/>
          </w:tcPr>
          <w:p w14:paraId="1588B68B">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落地网点清单（含地址）、覆盖区域分布地图、用户规模统计表</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等材料</w:t>
            </w:r>
          </w:p>
        </w:tc>
      </w:tr>
      <w:tr w14:paraId="7896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170AD44B">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79013993">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4E4BC227">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val="0"/>
                <w:bCs w:val="0"/>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落地网点3-4个，或服务用户1万-3万人</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4F26DDE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8</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3352ACB3">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24442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3666CA87">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4C803C88">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27623B28">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b w:val="0"/>
                <w:bCs w:val="0"/>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落地网点≤2个，或服务用户&lt;1万人</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27CBF8D9">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58F0E0E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49B7D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4204B8DF">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restart"/>
            <w:tcBorders>
              <w:top w:val="single" w:color="auto" w:sz="4" w:space="0"/>
              <w:left w:val="single" w:color="auto" w:sz="4" w:space="0"/>
              <w:right w:val="single" w:color="auto" w:sz="4" w:space="0"/>
            </w:tcBorders>
            <w:noWrap w:val="0"/>
            <w:vAlign w:val="center"/>
          </w:tcPr>
          <w:p w14:paraId="00C92E67">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2"/>
                <w:sz w:val="22"/>
                <w:szCs w:val="28"/>
                <w:highlight w:val="none"/>
                <w:u w:val="none"/>
                <w:lang w:val="en-US" w:eastAsia="zh-CN" w:bidi="ar-SA"/>
              </w:rPr>
            </w:pPr>
            <w:r>
              <w:rPr>
                <w:rFonts w:hint="eastAsia" w:ascii="仿宋_GB2312" w:hAnsi="宋体" w:eastAsia="仿宋_GB2312" w:cs="仿宋_GB2312"/>
                <w:b/>
                <w:bCs/>
                <w:i w:val="0"/>
                <w:iCs w:val="0"/>
                <w:color w:val="auto"/>
                <w:kern w:val="0"/>
                <w:sz w:val="22"/>
                <w:szCs w:val="28"/>
                <w:highlight w:val="none"/>
                <w:u w:val="none"/>
                <w:lang w:val="en-US" w:eastAsia="zh-CN" w:bidi="ar"/>
              </w:rPr>
              <w:t>终端数/场景数</w:t>
            </w:r>
          </w:p>
        </w:tc>
        <w:tc>
          <w:tcPr>
            <w:tcW w:w="6353" w:type="dxa"/>
            <w:tcBorders>
              <w:top w:val="single" w:color="auto" w:sz="4" w:space="0"/>
              <w:left w:val="single" w:color="auto" w:sz="4" w:space="0"/>
              <w:bottom w:val="single" w:color="auto" w:sz="4" w:space="0"/>
              <w:right w:val="single" w:color="auto" w:sz="4" w:space="0"/>
            </w:tcBorders>
            <w:noWrap w:val="0"/>
            <w:vAlign w:val="center"/>
          </w:tcPr>
          <w:p w14:paraId="4E34288F">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运营终端数或消费场景数（取高值）：≥30个</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7FD591A1">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15</w:t>
            </w:r>
          </w:p>
        </w:tc>
        <w:tc>
          <w:tcPr>
            <w:tcW w:w="3853" w:type="dxa"/>
            <w:vMerge w:val="restart"/>
            <w:tcBorders>
              <w:top w:val="single" w:color="auto" w:sz="4" w:space="0"/>
              <w:left w:val="single" w:color="auto" w:sz="4" w:space="0"/>
              <w:bottom w:val="single" w:color="auto" w:sz="4" w:space="0"/>
              <w:right w:val="single" w:color="auto" w:sz="4" w:space="0"/>
            </w:tcBorders>
            <w:noWrap w:val="0"/>
            <w:vAlign w:val="center"/>
          </w:tcPr>
          <w:p w14:paraId="56768917">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终端设备清单、场景部署清单、现场照片等材料</w:t>
            </w:r>
          </w:p>
        </w:tc>
      </w:tr>
      <w:tr w14:paraId="7BAB8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5C6CD4A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14:paraId="2BE374F1">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0A6CEE44">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≥20个</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035C1C20">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12219115">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5CAE6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554FFD0D">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14:paraId="6E803851">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58D45474">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≥10个</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3D8CF3E4">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5</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56E7D57B">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54C81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406485D0">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14:paraId="7744B7DF">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39AC43B0">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≥5个</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12559254">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3</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49EDDE67">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3826F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1BD72C8D">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bottom w:val="single" w:color="auto" w:sz="4" w:space="0"/>
              <w:right w:val="single" w:color="auto" w:sz="4" w:space="0"/>
            </w:tcBorders>
            <w:noWrap w:val="0"/>
            <w:vAlign w:val="center"/>
          </w:tcPr>
          <w:p w14:paraId="6D6459D4">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4037F224">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&lt;5个</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5BE82B05">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3A550D3F">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36573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4F1ACE75">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restart"/>
            <w:tcBorders>
              <w:top w:val="single" w:color="auto" w:sz="4" w:space="0"/>
              <w:left w:val="single" w:color="auto" w:sz="4" w:space="0"/>
              <w:right w:val="single" w:color="auto" w:sz="4" w:space="0"/>
            </w:tcBorders>
            <w:noWrap w:val="0"/>
            <w:vAlign w:val="center"/>
          </w:tcPr>
          <w:p w14:paraId="4FC4CDEF">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r>
              <w:rPr>
                <w:rFonts w:hint="eastAsia" w:ascii="仿宋_GB2312" w:hAnsi="宋体" w:eastAsia="仿宋_GB2312" w:cs="仿宋_GB2312"/>
                <w:b/>
                <w:bCs/>
                <w:i w:val="0"/>
                <w:iCs w:val="0"/>
                <w:color w:val="auto"/>
                <w:kern w:val="0"/>
                <w:sz w:val="22"/>
                <w:szCs w:val="28"/>
                <w:highlight w:val="none"/>
                <w:u w:val="none"/>
                <w:lang w:val="en-US" w:eastAsia="zh-CN" w:bidi="ar"/>
              </w:rPr>
              <w:t>累计服务次数</w:t>
            </w:r>
          </w:p>
          <w:p w14:paraId="2B409818">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（2025年9月30日以来）</w:t>
            </w:r>
          </w:p>
        </w:tc>
        <w:tc>
          <w:tcPr>
            <w:tcW w:w="6353" w:type="dxa"/>
            <w:tcBorders>
              <w:top w:val="single" w:color="auto" w:sz="4" w:space="0"/>
              <w:left w:val="single" w:color="auto" w:sz="4" w:space="0"/>
              <w:bottom w:val="single" w:color="auto" w:sz="4" w:space="0"/>
              <w:right w:val="single" w:color="auto" w:sz="4" w:space="0"/>
            </w:tcBorders>
            <w:noWrap w:val="0"/>
            <w:vAlign w:val="center"/>
          </w:tcPr>
          <w:p w14:paraId="135B3EE4">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≥2000次</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1CFEE48B">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15</w:t>
            </w:r>
          </w:p>
        </w:tc>
        <w:tc>
          <w:tcPr>
            <w:tcW w:w="3853" w:type="dxa"/>
            <w:vMerge w:val="restart"/>
            <w:tcBorders>
              <w:top w:val="single" w:color="auto" w:sz="4" w:space="0"/>
              <w:left w:val="single" w:color="auto" w:sz="4" w:space="0"/>
              <w:bottom w:val="single" w:color="auto" w:sz="4" w:space="0"/>
              <w:right w:val="single" w:color="auto" w:sz="4" w:space="0"/>
            </w:tcBorders>
            <w:noWrap w:val="0"/>
            <w:vAlign w:val="center"/>
          </w:tcPr>
          <w:p w14:paraId="634523F5">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后台服务记录、消费订单数据（脱敏）、系统日志等材料</w:t>
            </w:r>
          </w:p>
        </w:tc>
      </w:tr>
      <w:tr w14:paraId="48375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58EEC73E">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14:paraId="4CAD0509">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7ADCB3D5">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≥1500次</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1F216CA5">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4316A67A">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4EF16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3725D0F4">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right w:val="single" w:color="auto" w:sz="4" w:space="0"/>
            </w:tcBorders>
            <w:noWrap w:val="0"/>
            <w:vAlign w:val="center"/>
          </w:tcPr>
          <w:p w14:paraId="5F55D131">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69CC42E6">
            <w:pPr>
              <w:keepNext w:val="0"/>
              <w:keepLines w:val="0"/>
              <w:widowControl/>
              <w:suppressLineNumbers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≥1000次</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273826ED">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5</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3D318306">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7BC9C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6850F573">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auto" w:sz="4" w:space="0"/>
              <w:bottom w:val="single" w:color="auto" w:sz="4" w:space="0"/>
              <w:right w:val="single" w:color="auto" w:sz="4" w:space="0"/>
            </w:tcBorders>
            <w:noWrap w:val="0"/>
            <w:vAlign w:val="center"/>
          </w:tcPr>
          <w:p w14:paraId="5B08F12A">
            <w:pPr>
              <w:snapToGrid w:val="0"/>
              <w:spacing w:before="0" w:after="0" w:line="560" w:lineRule="exact"/>
              <w:ind w:left="0" w:leftChars="0" w:right="0" w:rightChars="0" w:firstLine="0" w:firstLineChars="0"/>
              <w:jc w:val="left"/>
              <w:rPr>
                <w:rFonts w:hint="eastAsia" w:ascii="仿宋_GB2312" w:hAnsi="宋体" w:eastAsia="仿宋_GB2312" w:cs="仿宋_GB2312"/>
                <w:b/>
                <w:bCs/>
                <w:i w:val="0"/>
                <w:iCs w:val="0"/>
                <w:color w:val="auto"/>
                <w:sz w:val="22"/>
                <w:szCs w:val="28"/>
                <w:highlight w:val="none"/>
                <w:u w:val="none"/>
                <w:lang w:val="en-US" w:eastAsia="zh-CN"/>
              </w:rPr>
            </w:pPr>
          </w:p>
        </w:tc>
        <w:tc>
          <w:tcPr>
            <w:tcW w:w="6353" w:type="dxa"/>
            <w:tcBorders>
              <w:top w:val="single" w:color="auto" w:sz="4" w:space="0"/>
              <w:left w:val="single" w:color="auto" w:sz="4" w:space="0"/>
              <w:bottom w:val="single" w:color="auto" w:sz="4" w:space="0"/>
              <w:right w:val="single" w:color="auto" w:sz="4" w:space="0"/>
            </w:tcBorders>
            <w:noWrap w:val="0"/>
            <w:vAlign w:val="center"/>
          </w:tcPr>
          <w:p w14:paraId="13F45848">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&lt;1000次</w:t>
            </w:r>
          </w:p>
        </w:tc>
        <w:tc>
          <w:tcPr>
            <w:tcW w:w="1426" w:type="dxa"/>
            <w:tcBorders>
              <w:top w:val="single" w:color="000000" w:sz="4" w:space="0"/>
              <w:left w:val="single" w:color="auto" w:sz="4" w:space="0"/>
              <w:bottom w:val="single" w:color="000000" w:sz="4" w:space="0"/>
              <w:right w:val="single" w:color="auto" w:sz="4" w:space="0"/>
            </w:tcBorders>
            <w:noWrap/>
            <w:vAlign w:val="center"/>
          </w:tcPr>
          <w:p w14:paraId="30B75A0A">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2"/>
                <w:sz w:val="22"/>
                <w:szCs w:val="28"/>
                <w:highlight w:val="none"/>
                <w:u w:val="none"/>
                <w:lang w:val="en-US" w:eastAsia="zh-CN" w:bidi="ar-SA"/>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top w:val="single" w:color="auto" w:sz="4" w:space="0"/>
              <w:left w:val="single" w:color="auto" w:sz="4" w:space="0"/>
              <w:bottom w:val="single" w:color="auto" w:sz="4" w:space="0"/>
              <w:right w:val="single" w:color="auto" w:sz="4" w:space="0"/>
            </w:tcBorders>
            <w:noWrap w:val="0"/>
            <w:vAlign w:val="center"/>
          </w:tcPr>
          <w:p w14:paraId="55F68975">
            <w:pPr>
              <w:snapToGrid w:val="0"/>
              <w:spacing w:before="0" w:after="0" w:line="560" w:lineRule="exact"/>
              <w:ind w:left="0" w:leftChars="0" w:right="0" w:rightChars="0" w:firstLine="0" w:firstLineChars="0"/>
              <w:jc w:val="left"/>
              <w:rPr>
                <w:rFonts w:hint="eastAsia" w:ascii="仿宋_GB2312" w:hAnsi="宋体" w:eastAsia="仿宋_GB2312" w:cs="仿宋_GB2312"/>
                <w:i w:val="0"/>
                <w:iCs w:val="0"/>
                <w:color w:val="auto"/>
                <w:sz w:val="22"/>
                <w:szCs w:val="28"/>
                <w:highlight w:val="none"/>
                <w:u w:val="none"/>
              </w:rPr>
            </w:pPr>
          </w:p>
        </w:tc>
      </w:tr>
      <w:tr w14:paraId="5A0EE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auto" w:sz="4" w:space="0"/>
              <w:right w:val="single" w:color="auto" w:sz="4" w:space="0"/>
            </w:tcBorders>
            <w:noWrap/>
            <w:vAlign w:val="center"/>
          </w:tcPr>
          <w:p w14:paraId="0974DDCC">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tcBorders>
              <w:top w:val="single" w:color="auto" w:sz="4" w:space="0"/>
              <w:left w:val="single" w:color="000000" w:sz="4" w:space="0"/>
              <w:right w:val="single" w:color="000000" w:sz="4" w:space="0"/>
            </w:tcBorders>
            <w:noWrap w:val="0"/>
            <w:vAlign w:val="center"/>
          </w:tcPr>
          <w:p w14:paraId="322C5162">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深圳科创消费特色</w:t>
            </w: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111C71F2">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深圳为全国首个落地城市</w:t>
            </w:r>
          </w:p>
        </w:tc>
        <w:tc>
          <w:tcPr>
            <w:tcW w:w="1426" w:type="dxa"/>
            <w:tcBorders>
              <w:top w:val="single" w:color="auto" w:sz="4" w:space="0"/>
              <w:left w:val="single" w:color="000000" w:sz="4" w:space="0"/>
              <w:bottom w:val="single" w:color="auto" w:sz="4" w:space="0"/>
              <w:right w:val="single" w:color="000000" w:sz="4" w:space="0"/>
            </w:tcBorders>
            <w:noWrap/>
            <w:vAlign w:val="center"/>
          </w:tcPr>
          <w:p w14:paraId="3F60270D">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20</w:t>
            </w:r>
          </w:p>
        </w:tc>
        <w:tc>
          <w:tcPr>
            <w:tcW w:w="3853" w:type="dxa"/>
            <w:tcBorders>
              <w:top w:val="single" w:color="auto" w:sz="4" w:space="0"/>
              <w:left w:val="single" w:color="000000" w:sz="4" w:space="0"/>
              <w:right w:val="single" w:color="000000" w:sz="4" w:space="0"/>
            </w:tcBorders>
            <w:noWrap w:val="0"/>
            <w:vAlign w:val="center"/>
          </w:tcPr>
          <w:p w14:paraId="4036B20F">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需附有官方媒体新闻稿截图</w:t>
            </w:r>
          </w:p>
        </w:tc>
      </w:tr>
      <w:tr w14:paraId="52EA6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auto" w:sz="4" w:space="0"/>
              <w:left w:val="single" w:color="000000" w:sz="4" w:space="0"/>
              <w:right w:val="single" w:color="000000" w:sz="4" w:space="0"/>
            </w:tcBorders>
            <w:noWrap/>
            <w:vAlign w:val="center"/>
          </w:tcPr>
          <w:p w14:paraId="3433AAF6">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推广可行性</w:t>
            </w:r>
          </w:p>
        </w:tc>
        <w:tc>
          <w:tcPr>
            <w:tcW w:w="989" w:type="dxa"/>
            <w:vMerge w:val="restart"/>
            <w:tcBorders>
              <w:top w:val="single" w:color="auto" w:sz="4" w:space="0"/>
              <w:left w:val="single" w:color="000000" w:sz="4" w:space="0"/>
              <w:right w:val="single" w:color="000000" w:sz="4" w:space="0"/>
            </w:tcBorders>
            <w:noWrap w:val="0"/>
            <w:vAlign w:val="center"/>
          </w:tcPr>
          <w:p w14:paraId="1B14C91D">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模式可复制性</w:t>
            </w: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63A47010">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形成的技术解决方案或运营模式已输出给≥1个其他区域作为参考借鉴（有正式交流纪要或合作协议）</w:t>
            </w:r>
          </w:p>
        </w:tc>
        <w:tc>
          <w:tcPr>
            <w:tcW w:w="1426" w:type="dxa"/>
            <w:tcBorders>
              <w:top w:val="single" w:color="auto" w:sz="4" w:space="0"/>
              <w:left w:val="single" w:color="000000" w:sz="4" w:space="0"/>
              <w:bottom w:val="single" w:color="auto" w:sz="4" w:space="0"/>
              <w:right w:val="single" w:color="000000" w:sz="4" w:space="0"/>
            </w:tcBorders>
            <w:noWrap/>
            <w:vAlign w:val="center"/>
          </w:tcPr>
          <w:p w14:paraId="13F2880B">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restart"/>
            <w:tcBorders>
              <w:top w:val="single" w:color="auto" w:sz="4" w:space="0"/>
              <w:left w:val="single" w:color="000000" w:sz="4" w:space="0"/>
              <w:right w:val="single" w:color="000000" w:sz="4" w:space="0"/>
            </w:tcBorders>
            <w:noWrap w:val="0"/>
            <w:vAlign w:val="center"/>
          </w:tcPr>
          <w:p w14:paraId="4F53D07F">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标准化运营手册、</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推广方案、商业计划书</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等材料</w:t>
            </w:r>
          </w:p>
        </w:tc>
      </w:tr>
      <w:tr w14:paraId="058B6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7A6E5780">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right w:val="single" w:color="000000" w:sz="4" w:space="0"/>
            </w:tcBorders>
            <w:noWrap w:val="0"/>
            <w:vAlign w:val="center"/>
          </w:tcPr>
          <w:p w14:paraId="129EEF53">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09B5887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已形成可公开的行业白皮书/操作指南</w:t>
            </w:r>
          </w:p>
        </w:tc>
        <w:tc>
          <w:tcPr>
            <w:tcW w:w="1426" w:type="dxa"/>
            <w:tcBorders>
              <w:top w:val="single" w:color="auto" w:sz="4" w:space="0"/>
              <w:left w:val="single" w:color="000000" w:sz="4" w:space="0"/>
              <w:bottom w:val="single" w:color="auto" w:sz="4" w:space="0"/>
              <w:right w:val="single" w:color="000000" w:sz="4" w:space="0"/>
            </w:tcBorders>
            <w:noWrap/>
            <w:vAlign w:val="center"/>
          </w:tcPr>
          <w:p w14:paraId="19BA5EAF">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3</w:t>
            </w:r>
          </w:p>
        </w:tc>
        <w:tc>
          <w:tcPr>
            <w:tcW w:w="3853" w:type="dxa"/>
            <w:vMerge w:val="continue"/>
            <w:tcBorders>
              <w:left w:val="single" w:color="000000" w:sz="4" w:space="0"/>
              <w:right w:val="single" w:color="000000" w:sz="4" w:space="0"/>
            </w:tcBorders>
            <w:noWrap w:val="0"/>
            <w:vAlign w:val="center"/>
          </w:tcPr>
          <w:p w14:paraId="62C615BF">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340C9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56CB649E">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989" w:type="dxa"/>
            <w:vMerge w:val="continue"/>
            <w:tcBorders>
              <w:left w:val="single" w:color="000000" w:sz="4" w:space="0"/>
              <w:right w:val="single" w:color="000000" w:sz="4" w:space="0"/>
            </w:tcBorders>
            <w:noWrap w:val="0"/>
            <w:vAlign w:val="center"/>
          </w:tcPr>
          <w:p w14:paraId="0FA2BB9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350235E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有详细的技术方案文档，具备参考价值但尚未输出</w:t>
            </w:r>
          </w:p>
        </w:tc>
        <w:tc>
          <w:tcPr>
            <w:tcW w:w="1426" w:type="dxa"/>
            <w:tcBorders>
              <w:top w:val="single" w:color="auto" w:sz="4" w:space="0"/>
              <w:left w:val="single" w:color="000000" w:sz="4" w:space="0"/>
              <w:bottom w:val="single" w:color="auto" w:sz="4" w:space="0"/>
              <w:right w:val="single" w:color="000000" w:sz="4" w:space="0"/>
            </w:tcBorders>
            <w:noWrap/>
            <w:vAlign w:val="center"/>
          </w:tcPr>
          <w:p w14:paraId="0AB32D1C">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14:paraId="05DB6AD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20E72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22B4DEDE">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p>
        </w:tc>
        <w:tc>
          <w:tcPr>
            <w:tcW w:w="989" w:type="dxa"/>
            <w:vMerge w:val="continue"/>
            <w:tcBorders>
              <w:left w:val="single" w:color="000000" w:sz="4" w:space="0"/>
              <w:bottom w:val="single" w:color="auto" w:sz="4" w:space="0"/>
              <w:right w:val="single" w:color="000000" w:sz="4" w:space="0"/>
            </w:tcBorders>
            <w:noWrap w:val="0"/>
            <w:vAlign w:val="center"/>
          </w:tcPr>
          <w:p w14:paraId="0386EA34">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sz w:val="22"/>
                <w:szCs w:val="22"/>
                <w:highlight w:val="none"/>
                <w:u w:val="none"/>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5A9FDBF3">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无标准化文档，商业模式不清晰</w:t>
            </w:r>
          </w:p>
        </w:tc>
        <w:tc>
          <w:tcPr>
            <w:tcW w:w="1426" w:type="dxa"/>
            <w:tcBorders>
              <w:top w:val="single" w:color="auto" w:sz="4" w:space="0"/>
              <w:left w:val="single" w:color="000000" w:sz="4" w:space="0"/>
              <w:bottom w:val="single" w:color="auto" w:sz="4" w:space="0"/>
              <w:right w:val="single" w:color="000000" w:sz="4" w:space="0"/>
            </w:tcBorders>
            <w:noWrap/>
            <w:vAlign w:val="center"/>
          </w:tcPr>
          <w:p w14:paraId="42430BE0">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0</w:t>
            </w:r>
          </w:p>
        </w:tc>
        <w:tc>
          <w:tcPr>
            <w:tcW w:w="3853" w:type="dxa"/>
            <w:vMerge w:val="continue"/>
            <w:tcBorders>
              <w:left w:val="single" w:color="000000" w:sz="4" w:space="0"/>
              <w:bottom w:val="single" w:color="auto" w:sz="4" w:space="0"/>
              <w:right w:val="single" w:color="000000" w:sz="4" w:space="0"/>
            </w:tcBorders>
            <w:noWrap w:val="0"/>
            <w:vAlign w:val="center"/>
          </w:tcPr>
          <w:p w14:paraId="1A47D7CA">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p>
        </w:tc>
      </w:tr>
      <w:tr w14:paraId="11719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000000" w:sz="4" w:space="0"/>
              <w:left w:val="single" w:color="000000" w:sz="4" w:space="0"/>
              <w:right w:val="single" w:color="000000" w:sz="4" w:space="0"/>
            </w:tcBorders>
            <w:noWrap/>
            <w:vAlign w:val="center"/>
          </w:tcPr>
          <w:p w14:paraId="7375381D">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可持续发展</w:t>
            </w:r>
          </w:p>
        </w:tc>
        <w:tc>
          <w:tcPr>
            <w:tcW w:w="989" w:type="dxa"/>
            <w:vMerge w:val="restart"/>
            <w:tcBorders>
              <w:top w:val="single" w:color="000000" w:sz="4" w:space="0"/>
              <w:left w:val="single" w:color="000000" w:sz="4" w:space="0"/>
              <w:right w:val="single" w:color="000000" w:sz="4" w:space="0"/>
            </w:tcBorders>
            <w:noWrap w:val="0"/>
            <w:vAlign w:val="center"/>
          </w:tcPr>
          <w:p w14:paraId="4B8F1FF2">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Style w:val="19"/>
                <w:rFonts w:hint="eastAsia" w:ascii="仿宋_GB2312" w:hAnsi="宋体" w:eastAsia="仿宋_GB2312" w:cs="仿宋_GB2312"/>
                <w:b/>
                <w:bCs/>
                <w:i w:val="0"/>
                <w:iCs w:val="0"/>
                <w:caps w:val="0"/>
                <w:color w:val="auto"/>
                <w:spacing w:val="0"/>
                <w:kern w:val="0"/>
                <w:sz w:val="22"/>
                <w:szCs w:val="22"/>
                <w:highlight w:val="none"/>
                <w:u w:val="none"/>
                <w:shd w:val="clear" w:color="auto" w:fill="FFFFFF"/>
                <w:lang w:bidi="ar"/>
              </w:rPr>
              <w:t>可持续运营能力</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6799B4F7">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配备专职运营团队≥10人</w:t>
            </w:r>
          </w:p>
          <w:p w14:paraId="318E9129">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提供≥1年详细运营规划和资金预算安排情况</w:t>
            </w:r>
          </w:p>
          <w:p w14:paraId="3EB13CDD">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且项目已实现稳定盈利（连续3个月净利润为正）</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6E525356">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5</w:t>
            </w:r>
          </w:p>
        </w:tc>
        <w:tc>
          <w:tcPr>
            <w:tcW w:w="3853" w:type="dxa"/>
            <w:vMerge w:val="restart"/>
            <w:tcBorders>
              <w:top w:val="single" w:color="000000" w:sz="4" w:space="0"/>
              <w:left w:val="single" w:color="000000" w:sz="4" w:space="0"/>
              <w:right w:val="single" w:color="000000" w:sz="4" w:space="0"/>
            </w:tcBorders>
            <w:noWrap w:val="0"/>
            <w:vAlign w:val="center"/>
          </w:tcPr>
          <w:p w14:paraId="3FBBB260">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运营团队花名册（含职责分工）、社保缴纳记录、资金保障材料、未来1年运营规划方案、近3个月营收报表</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等材料</w:t>
            </w:r>
          </w:p>
        </w:tc>
      </w:tr>
      <w:tr w14:paraId="5F2B3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5129962C">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14:paraId="458C1CC8">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aps w:val="0"/>
                <w:color w:val="auto"/>
                <w:spacing w:val="0"/>
                <w:kern w:val="0"/>
                <w:sz w:val="22"/>
                <w:szCs w:val="22"/>
                <w:highlight w:val="none"/>
                <w:u w:val="none"/>
                <w:shd w:val="clear" w:color="auto" w:fill="auto"/>
                <w:lang w:bidi="ar"/>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3187AE98">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配备专职运营团队3-9人</w:t>
            </w:r>
          </w:p>
          <w:p w14:paraId="0CA8D183">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有≥6个月运营规划</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2A624CD3">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3</w:t>
            </w:r>
          </w:p>
        </w:tc>
        <w:tc>
          <w:tcPr>
            <w:tcW w:w="3853" w:type="dxa"/>
            <w:vMerge w:val="continue"/>
            <w:tcBorders>
              <w:left w:val="single" w:color="000000" w:sz="4" w:space="0"/>
              <w:right w:val="single" w:color="000000" w:sz="4" w:space="0"/>
            </w:tcBorders>
            <w:noWrap w:val="0"/>
            <w:vAlign w:val="center"/>
          </w:tcPr>
          <w:p w14:paraId="3746227F">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34E2B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bottom w:val="single" w:color="000000" w:sz="4" w:space="0"/>
              <w:right w:val="single" w:color="000000" w:sz="4" w:space="0"/>
            </w:tcBorders>
            <w:noWrap/>
            <w:vAlign w:val="center"/>
          </w:tcPr>
          <w:p w14:paraId="62676365">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bottom w:val="single" w:color="000000" w:sz="4" w:space="0"/>
              <w:right w:val="single" w:color="000000" w:sz="4" w:space="0"/>
            </w:tcBorders>
            <w:noWrap w:val="0"/>
            <w:vAlign w:val="center"/>
          </w:tcPr>
          <w:p w14:paraId="16933D7B">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30E06614">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无专职运营团队</w:t>
            </w:r>
          </w:p>
          <w:p w14:paraId="14748218">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或无长期运营规划</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733E6EF">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0</w:t>
            </w:r>
          </w:p>
        </w:tc>
        <w:tc>
          <w:tcPr>
            <w:tcW w:w="3853" w:type="dxa"/>
            <w:vMerge w:val="continue"/>
            <w:tcBorders>
              <w:left w:val="single" w:color="000000" w:sz="4" w:space="0"/>
              <w:bottom w:val="single" w:color="000000" w:sz="4" w:space="0"/>
              <w:right w:val="single" w:color="000000" w:sz="4" w:space="0"/>
            </w:tcBorders>
            <w:noWrap w:val="0"/>
            <w:vAlign w:val="center"/>
          </w:tcPr>
          <w:p w14:paraId="10DE7D64">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lang w:val="en-US" w:eastAsia="zh-CN" w:bidi="ar"/>
              </w:rPr>
            </w:pPr>
          </w:p>
        </w:tc>
      </w:tr>
      <w:tr w14:paraId="12E53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000000" w:sz="4" w:space="0"/>
              <w:left w:val="single" w:color="000000" w:sz="4" w:space="0"/>
              <w:right w:val="single" w:color="000000" w:sz="4" w:space="0"/>
            </w:tcBorders>
            <w:noWrap/>
            <w:vAlign w:val="center"/>
          </w:tcPr>
          <w:p w14:paraId="36A27673">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风险防控</w:t>
            </w:r>
          </w:p>
        </w:tc>
        <w:tc>
          <w:tcPr>
            <w:tcW w:w="989" w:type="dxa"/>
            <w:vMerge w:val="restart"/>
            <w:tcBorders>
              <w:top w:val="single" w:color="000000" w:sz="4" w:space="0"/>
              <w:left w:val="single" w:color="000000" w:sz="4" w:space="0"/>
              <w:right w:val="single" w:color="000000" w:sz="4" w:space="0"/>
            </w:tcBorders>
            <w:noWrap w:val="0"/>
            <w:vAlign w:val="center"/>
          </w:tcPr>
          <w:p w14:paraId="1FC4FB7C">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风险应对与应急处理</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3BA0ACE1">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已制定完整的AI技术故障、消费纠纷、数据安全、舆情应对四类应急预案，明确处置流程、责任人及24小时响应机制，近6个月无重大风险事故（数据泄露、重大舆情、群体性投诉）</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3FC772E2">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3</w:t>
            </w:r>
          </w:p>
        </w:tc>
        <w:tc>
          <w:tcPr>
            <w:tcW w:w="3853" w:type="dxa"/>
            <w:vMerge w:val="restart"/>
            <w:tcBorders>
              <w:top w:val="single" w:color="000000" w:sz="4" w:space="0"/>
              <w:left w:val="single" w:color="000000" w:sz="4" w:space="0"/>
              <w:right w:val="single" w:color="000000" w:sz="4" w:space="0"/>
            </w:tcBorders>
            <w:noWrap w:val="0"/>
            <w:vAlign w:val="center"/>
          </w:tcPr>
          <w:p w14:paraId="78DA5722">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风险防控应急预案文件、风险处置责任分工及通讯录、近6个月系统运维及投诉处理记录</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等材料</w:t>
            </w:r>
          </w:p>
        </w:tc>
      </w:tr>
      <w:tr w14:paraId="13DBF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01B3A6E7">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14:paraId="7E4C5C3C">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0493EAF1">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有基础应急预案，覆盖核心风险场景（≥2类），但处置流程不完整或响应机制不明确</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3DC4DDD0">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14:paraId="485F3A57">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033FD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bottom w:val="single" w:color="auto" w:sz="4" w:space="0"/>
              <w:right w:val="single" w:color="000000" w:sz="4" w:space="0"/>
            </w:tcBorders>
            <w:noWrap/>
            <w:vAlign w:val="center"/>
          </w:tcPr>
          <w:p w14:paraId="20D230AA">
            <w:pPr>
              <w:keepNext/>
              <w:keepLines w:val="0"/>
              <w:pageBreakBefore w:val="0"/>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bottom w:val="single" w:color="auto" w:sz="4" w:space="0"/>
              <w:right w:val="single" w:color="000000" w:sz="4" w:space="0"/>
            </w:tcBorders>
            <w:noWrap w:val="0"/>
            <w:vAlign w:val="center"/>
          </w:tcPr>
          <w:p w14:paraId="56262F28">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p>
        </w:tc>
        <w:tc>
          <w:tcPr>
            <w:tcW w:w="6353" w:type="dxa"/>
            <w:tcBorders>
              <w:top w:val="single" w:color="000000" w:sz="4" w:space="0"/>
              <w:left w:val="single" w:color="000000" w:sz="4" w:space="0"/>
              <w:bottom w:val="single" w:color="auto" w:sz="4" w:space="0"/>
              <w:right w:val="single" w:color="000000" w:sz="4" w:space="0"/>
            </w:tcBorders>
            <w:noWrap w:val="0"/>
            <w:vAlign w:val="center"/>
          </w:tcPr>
          <w:p w14:paraId="276070EC">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无应急预案，或近6个月内发生过重大风险事故</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103C9BAD">
            <w:pPr>
              <w:keepNext/>
              <w:keepLines w:val="0"/>
              <w:widowControl/>
              <w:suppressLineNumbers w:val="0"/>
              <w:bidi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0</w:t>
            </w:r>
          </w:p>
        </w:tc>
        <w:tc>
          <w:tcPr>
            <w:tcW w:w="3853" w:type="dxa"/>
            <w:vMerge w:val="continue"/>
            <w:tcBorders>
              <w:left w:val="single" w:color="000000" w:sz="4" w:space="0"/>
              <w:bottom w:val="single" w:color="auto" w:sz="4" w:space="0"/>
              <w:right w:val="single" w:color="000000" w:sz="4" w:space="0"/>
            </w:tcBorders>
            <w:noWrap w:val="0"/>
            <w:vAlign w:val="center"/>
          </w:tcPr>
          <w:p w14:paraId="28F3D49C">
            <w:pPr>
              <w:keepNext/>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p>
        </w:tc>
      </w:tr>
      <w:tr w14:paraId="00080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restart"/>
            <w:tcBorders>
              <w:top w:val="single" w:color="auto" w:sz="4" w:space="0"/>
              <w:left w:val="single" w:color="000000" w:sz="4" w:space="0"/>
              <w:right w:val="single" w:color="000000" w:sz="4" w:space="0"/>
            </w:tcBorders>
            <w:noWrap/>
            <w:vAlign w:val="center"/>
          </w:tcPr>
          <w:p w14:paraId="2CE5AC18">
            <w:pPr>
              <w:snapToGrid w:val="0"/>
              <w:spacing w:before="0" w:after="0" w:line="560" w:lineRule="exact"/>
              <w:ind w:left="0" w:leftChars="0" w:right="0" w:rightChars="0" w:firstLine="0" w:firstLineChars="0"/>
              <w:jc w:val="center"/>
              <w:rPr>
                <w:rFonts w:hint="default" w:ascii="仿宋_GB2312" w:hAnsi="宋体" w:eastAsia="仿宋_GB2312" w:cs="仿宋_GB2312"/>
                <w:b/>
                <w:bCs/>
                <w:i w:val="0"/>
                <w:iCs w:val="0"/>
                <w:color w:val="auto"/>
                <w:sz w:val="22"/>
                <w:szCs w:val="22"/>
                <w:highlight w:val="none"/>
                <w:u w:val="none"/>
                <w:lang w:val="en-US" w:eastAsia="zh-CN"/>
              </w:rPr>
            </w:pPr>
            <w:r>
              <w:rPr>
                <w:rFonts w:hint="eastAsia" w:ascii="仿宋_GB2312" w:hAnsi="宋体" w:eastAsia="仿宋_GB2312" w:cs="仿宋_GB2312"/>
                <w:b/>
                <w:bCs/>
                <w:i w:val="0"/>
                <w:iCs w:val="0"/>
                <w:color w:val="auto"/>
                <w:sz w:val="22"/>
                <w:szCs w:val="22"/>
                <w:highlight w:val="none"/>
                <w:u w:val="none"/>
                <w:lang w:val="en-US" w:eastAsia="zh-CN"/>
              </w:rPr>
              <w:t>企业资质及示范引领作用</w:t>
            </w:r>
          </w:p>
        </w:tc>
        <w:tc>
          <w:tcPr>
            <w:tcW w:w="989" w:type="dxa"/>
            <w:vMerge w:val="restart"/>
            <w:tcBorders>
              <w:top w:val="single" w:color="auto" w:sz="4" w:space="0"/>
              <w:left w:val="single" w:color="000000" w:sz="4" w:space="0"/>
              <w:right w:val="single" w:color="000000" w:sz="4" w:space="0"/>
            </w:tcBorders>
            <w:noWrap w:val="0"/>
            <w:vAlign w:val="center"/>
          </w:tcPr>
          <w:p w14:paraId="72A082FD">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8"/>
                <w:highlight w:val="none"/>
                <w:u w:val="none"/>
                <w:lang w:val="en-US" w:eastAsia="zh-CN" w:bidi="ar"/>
              </w:rPr>
              <w:t>加分项（可重复得分）</w:t>
            </w: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509C0024">
            <w:pPr>
              <w:keepNext w:val="0"/>
              <w:keepLines w:val="0"/>
              <w:widowControl/>
              <w:suppressLineNumbers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获得国家级/省级科技企业资质或荣誉（包括但不限于：国家高新技术企业、专精特新“小巨人”企业、专精特新中小企业、创新型中小企业、国家技术创新示范企业、科技型中小企业、瞪羚企业、知识产权优势/示范企业等）</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1AB5991C">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restart"/>
            <w:tcBorders>
              <w:top w:val="single" w:color="auto" w:sz="4" w:space="0"/>
              <w:left w:val="single" w:color="000000" w:sz="4" w:space="0"/>
              <w:right w:val="single" w:color="000000" w:sz="4" w:space="0"/>
            </w:tcBorders>
            <w:noWrap w:val="0"/>
            <w:vAlign w:val="center"/>
          </w:tcPr>
          <w:p w14:paraId="2B171091">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相关荣誉证书、主流媒体报道截图或链接等</w:t>
            </w:r>
          </w:p>
        </w:tc>
      </w:tr>
      <w:tr w14:paraId="45077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42ABEC72">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14:paraId="514B40E2">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0A01BCB5">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核心AI技术（大模型、视觉识别、推荐算法等）获</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国家级</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eastAsia="zh-CN" w:bidi="ar"/>
              </w:rPr>
              <w:t>荣誉</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18E5BD10">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eastAsia"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14:paraId="2F1687B8">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r w14:paraId="70745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6EF27D86">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14:paraId="14455C69">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6EC6F553">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t>核心AI技术（大模型、视觉识别、推荐算法等）获</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bidi="ar"/>
              </w:rPr>
              <w:t>省部级科技奖项</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2A964F42">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14:paraId="4CB13481">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r w14:paraId="1D086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right w:val="single" w:color="000000" w:sz="4" w:space="0"/>
            </w:tcBorders>
            <w:noWrap/>
            <w:vAlign w:val="center"/>
          </w:tcPr>
          <w:p w14:paraId="3388B85F">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right w:val="single" w:color="000000" w:sz="4" w:space="0"/>
            </w:tcBorders>
            <w:noWrap w:val="0"/>
            <w:vAlign w:val="center"/>
          </w:tcPr>
          <w:p w14:paraId="32D05A27">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auto" w:sz="4" w:space="0"/>
              <w:right w:val="single" w:color="000000" w:sz="4" w:space="0"/>
            </w:tcBorders>
            <w:noWrap w:val="0"/>
            <w:vAlign w:val="center"/>
          </w:tcPr>
          <w:p w14:paraId="3E05BE87">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aps w:val="0"/>
                <w:color w:val="auto"/>
                <w:spacing w:val="0"/>
                <w:kern w:val="0"/>
                <w:sz w:val="22"/>
                <w:szCs w:val="22"/>
                <w:highlight w:val="none"/>
                <w:u w:val="none"/>
                <w:shd w:val="clear" w:color="auto" w:fill="auto"/>
                <w:lang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被国家级政府部门列为典型案例推广或被国家级主流媒体（央视、</w:t>
            </w:r>
            <w:r>
              <w:rPr>
                <w:rFonts w:hint="eastAsia"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《人民日报》</w:t>
            </w: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）专题报道</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D3E0D3A">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right w:val="single" w:color="000000" w:sz="4" w:space="0"/>
            </w:tcBorders>
            <w:noWrap w:val="0"/>
            <w:vAlign w:val="center"/>
          </w:tcPr>
          <w:p w14:paraId="13D83E07">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r w14:paraId="5C9F1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553" w:type="dxa"/>
            <w:vMerge w:val="continue"/>
            <w:tcBorders>
              <w:left w:val="single" w:color="000000" w:sz="4" w:space="0"/>
              <w:bottom w:val="single" w:color="000000" w:sz="4" w:space="0"/>
              <w:right w:val="single" w:color="000000" w:sz="4" w:space="0"/>
            </w:tcBorders>
            <w:noWrap/>
            <w:vAlign w:val="center"/>
          </w:tcPr>
          <w:p w14:paraId="2507CCB0">
            <w:pPr>
              <w:snapToGrid w:val="0"/>
              <w:spacing w:before="0" w:after="0" w:line="560" w:lineRule="exact"/>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lang w:val="en-US" w:eastAsia="zh-CN"/>
              </w:rPr>
            </w:pPr>
          </w:p>
        </w:tc>
        <w:tc>
          <w:tcPr>
            <w:tcW w:w="989" w:type="dxa"/>
            <w:vMerge w:val="continue"/>
            <w:tcBorders>
              <w:left w:val="single" w:color="000000" w:sz="4" w:space="0"/>
              <w:bottom w:val="single" w:color="000000" w:sz="4" w:space="0"/>
              <w:right w:val="single" w:color="000000" w:sz="4" w:space="0"/>
            </w:tcBorders>
            <w:noWrap w:val="0"/>
            <w:vAlign w:val="center"/>
          </w:tcPr>
          <w:p w14:paraId="5008335C">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b/>
                <w:bCs/>
                <w:i w:val="0"/>
                <w:iCs w:val="0"/>
                <w:color w:val="auto"/>
                <w:kern w:val="0"/>
                <w:sz w:val="22"/>
                <w:szCs w:val="28"/>
                <w:highlight w:val="none"/>
                <w:u w:val="none"/>
                <w:lang w:val="en-US" w:eastAsia="zh-CN" w:bidi="ar"/>
              </w:rPr>
            </w:pPr>
          </w:p>
        </w:tc>
        <w:tc>
          <w:tcPr>
            <w:tcW w:w="6353" w:type="dxa"/>
            <w:tcBorders>
              <w:top w:val="single" w:color="auto" w:sz="4" w:space="0"/>
              <w:left w:val="single" w:color="000000" w:sz="4" w:space="0"/>
              <w:bottom w:val="single" w:color="000000" w:sz="4" w:space="0"/>
              <w:right w:val="single" w:color="000000" w:sz="4" w:space="0"/>
            </w:tcBorders>
            <w:noWrap w:val="0"/>
            <w:vAlign w:val="center"/>
          </w:tcPr>
          <w:p w14:paraId="0D89C884">
            <w:pPr>
              <w:keepNext/>
              <w:keepLines w:val="0"/>
              <w:widowControl/>
              <w:suppressLineNumbers w:val="0"/>
              <w:bidi w:val="0"/>
              <w:snapToGrid w:val="0"/>
              <w:spacing w:before="0" w:after="0" w:line="560" w:lineRule="exact"/>
              <w:ind w:left="0" w:leftChars="0" w:right="0" w:rightChars="0" w:firstLine="0" w:firstLineChars="0"/>
              <w:jc w:val="left"/>
              <w:textAlignment w:val="cente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pPr>
            <w:r>
              <w:rPr>
                <w:rFonts w:hint="default" w:ascii="仿宋_GB2312" w:hAnsi="宋体" w:eastAsia="仿宋_GB2312" w:cs="仿宋_GB2312"/>
                <w:i w:val="0"/>
                <w:iCs w:val="0"/>
                <w:caps w:val="0"/>
                <w:color w:val="auto"/>
                <w:spacing w:val="0"/>
                <w:kern w:val="0"/>
                <w:sz w:val="22"/>
                <w:szCs w:val="22"/>
                <w:highlight w:val="none"/>
                <w:u w:val="none"/>
                <w:shd w:val="clear" w:color="auto" w:fill="auto"/>
                <w:lang w:val="en-US" w:eastAsia="zh-CN" w:bidi="ar"/>
              </w:rPr>
              <w:t>被省级政府部门列为典型案例推广或被省级主流媒体专题报道</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194ACE1A">
            <w:pPr>
              <w:keepNext w:val="0"/>
              <w:keepLines w:val="0"/>
              <w:widowControl/>
              <w:suppressLineNumbers w:val="0"/>
              <w:snapToGrid w:val="0"/>
              <w:spacing w:before="0" w:after="0" w:line="560" w:lineRule="exact"/>
              <w:ind w:left="0" w:leftChars="0" w:right="0" w:rightChars="0" w:firstLine="0" w:firstLineChars="0"/>
              <w:jc w:val="center"/>
              <w:textAlignment w:val="center"/>
              <w:rPr>
                <w:rFonts w:hint="default" w:ascii="仿宋_GB2312" w:hAnsi="宋体" w:eastAsia="仿宋_GB2312" w:cs="仿宋_GB2312"/>
                <w:i w:val="0"/>
                <w:iCs w:val="0"/>
                <w:color w:val="auto"/>
                <w:kern w:val="0"/>
                <w:sz w:val="22"/>
                <w:szCs w:val="28"/>
                <w:highlight w:val="none"/>
                <w:u w:val="none"/>
                <w:lang w:val="en-US" w:eastAsia="zh-CN" w:bidi="ar"/>
              </w:rPr>
            </w:pPr>
            <w:r>
              <w:rPr>
                <w:rFonts w:hint="eastAsia" w:ascii="仿宋_GB2312" w:hAnsi="宋体" w:eastAsia="仿宋_GB2312" w:cs="仿宋_GB2312"/>
                <w:i w:val="0"/>
                <w:iCs w:val="0"/>
                <w:color w:val="auto"/>
                <w:kern w:val="0"/>
                <w:sz w:val="22"/>
                <w:szCs w:val="28"/>
                <w:highlight w:val="none"/>
                <w:u w:val="none"/>
                <w:lang w:val="en-US" w:eastAsia="zh-CN" w:bidi="ar"/>
              </w:rPr>
              <w:t>2</w:t>
            </w:r>
          </w:p>
        </w:tc>
        <w:tc>
          <w:tcPr>
            <w:tcW w:w="3853" w:type="dxa"/>
            <w:vMerge w:val="continue"/>
            <w:tcBorders>
              <w:left w:val="single" w:color="000000" w:sz="4" w:space="0"/>
              <w:bottom w:val="single" w:color="000000" w:sz="4" w:space="0"/>
              <w:right w:val="single" w:color="000000" w:sz="4" w:space="0"/>
            </w:tcBorders>
            <w:noWrap w:val="0"/>
            <w:vAlign w:val="center"/>
          </w:tcPr>
          <w:p w14:paraId="7289DF0E">
            <w:pPr>
              <w:keepNext w:val="0"/>
              <w:keepLines w:val="0"/>
              <w:widowControl/>
              <w:suppressLineNumbers w:val="0"/>
              <w:snapToGrid w:val="0"/>
              <w:spacing w:before="0" w:after="0" w:line="560" w:lineRule="exact"/>
              <w:ind w:left="0" w:leftChars="0" w:right="0" w:rightChars="0" w:firstLine="0" w:firstLineChars="0"/>
              <w:jc w:val="left"/>
              <w:textAlignment w:val="center"/>
              <w:rPr>
                <w:rFonts w:hint="eastAsia" w:ascii="仿宋_GB2312" w:hAnsi="宋体" w:eastAsia="仿宋_GB2312" w:cs="仿宋_GB2312"/>
                <w:i w:val="0"/>
                <w:iCs w:val="0"/>
                <w:color w:val="auto"/>
                <w:kern w:val="0"/>
                <w:sz w:val="22"/>
                <w:szCs w:val="28"/>
                <w:highlight w:val="none"/>
                <w:u w:val="none"/>
                <w:lang w:val="en-US" w:eastAsia="zh-CN" w:bidi="ar"/>
              </w:rPr>
            </w:pPr>
          </w:p>
        </w:tc>
      </w:tr>
    </w:tbl>
    <w:p w14:paraId="4DF45F7F">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注：新一代人工智能技术包括但不限于智算芯片、具身智能、高阶智驾、端侧轻量化模型、多模态模型等方向。</w:t>
      </w:r>
    </w:p>
    <w:p w14:paraId="25EB23C9">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pPr>
    </w:p>
    <w:p w14:paraId="219C66C8">
      <w:pPr>
        <w:rPr>
          <w:color w:val="auto"/>
          <w:highlight w:val="none"/>
        </w:rPr>
      </w:pPr>
    </w:p>
    <w:sectPr>
      <w:headerReference r:id="rId7" w:type="default"/>
      <w:pgSz w:w="16838" w:h="11906" w:orient="landscape"/>
      <w:pgMar w:top="1474" w:right="1814" w:bottom="1474" w:left="181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6030804020204"/>
    <w:charset w:val="00"/>
    <w:family w:val="auto"/>
    <w:pitch w:val="default"/>
    <w:sig w:usb0="E7006EFF" w:usb1="D200FDFF" w:usb2="0A246029" w:usb3="0400200C" w:csb0="600001FF" w:csb1="DFFF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D9CE5">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A8E624">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0A8E624">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37A9F">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B3F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05E716C"/>
    <w:rsid w:val="012A09FA"/>
    <w:rsid w:val="02803A46"/>
    <w:rsid w:val="02CB1CF7"/>
    <w:rsid w:val="02DA63DE"/>
    <w:rsid w:val="02E93786"/>
    <w:rsid w:val="032C6A46"/>
    <w:rsid w:val="03B55433"/>
    <w:rsid w:val="05036B9E"/>
    <w:rsid w:val="052D305E"/>
    <w:rsid w:val="052E6828"/>
    <w:rsid w:val="06426774"/>
    <w:rsid w:val="064C2F18"/>
    <w:rsid w:val="06825C75"/>
    <w:rsid w:val="068A4895"/>
    <w:rsid w:val="070F7027"/>
    <w:rsid w:val="08461CA3"/>
    <w:rsid w:val="0A0D52EB"/>
    <w:rsid w:val="0A2D6324"/>
    <w:rsid w:val="0A302337"/>
    <w:rsid w:val="0A58254D"/>
    <w:rsid w:val="0A6C5760"/>
    <w:rsid w:val="0A8D4688"/>
    <w:rsid w:val="0B35692F"/>
    <w:rsid w:val="0B4456D1"/>
    <w:rsid w:val="0BAD1FAB"/>
    <w:rsid w:val="0BE1742C"/>
    <w:rsid w:val="0CE26E99"/>
    <w:rsid w:val="0D0E36C4"/>
    <w:rsid w:val="0D1F0CED"/>
    <w:rsid w:val="0E511A57"/>
    <w:rsid w:val="0E913392"/>
    <w:rsid w:val="0EB47F46"/>
    <w:rsid w:val="0F95719B"/>
    <w:rsid w:val="0FBB6FC1"/>
    <w:rsid w:val="0FE131A1"/>
    <w:rsid w:val="0FED3255"/>
    <w:rsid w:val="10BF0BFF"/>
    <w:rsid w:val="10F308A0"/>
    <w:rsid w:val="11A73770"/>
    <w:rsid w:val="124226AB"/>
    <w:rsid w:val="126D73E5"/>
    <w:rsid w:val="13A40095"/>
    <w:rsid w:val="14053C83"/>
    <w:rsid w:val="15C958A9"/>
    <w:rsid w:val="160A19AA"/>
    <w:rsid w:val="163D2AB4"/>
    <w:rsid w:val="16FA8BE0"/>
    <w:rsid w:val="172A2DF8"/>
    <w:rsid w:val="17B005EC"/>
    <w:rsid w:val="185533C0"/>
    <w:rsid w:val="187E0EC3"/>
    <w:rsid w:val="18AB1F57"/>
    <w:rsid w:val="190653E0"/>
    <w:rsid w:val="197B53D3"/>
    <w:rsid w:val="1A595627"/>
    <w:rsid w:val="1C210334"/>
    <w:rsid w:val="1C964CCC"/>
    <w:rsid w:val="1CB753A9"/>
    <w:rsid w:val="1CFC17D2"/>
    <w:rsid w:val="1D0D00C6"/>
    <w:rsid w:val="1D641A53"/>
    <w:rsid w:val="1D7D3E55"/>
    <w:rsid w:val="1DCBAF54"/>
    <w:rsid w:val="1EBE0883"/>
    <w:rsid w:val="1F615BEE"/>
    <w:rsid w:val="205A510F"/>
    <w:rsid w:val="21127D99"/>
    <w:rsid w:val="21A5207B"/>
    <w:rsid w:val="22C22819"/>
    <w:rsid w:val="23AE7537"/>
    <w:rsid w:val="246A3FA3"/>
    <w:rsid w:val="26B13C0B"/>
    <w:rsid w:val="26E72CF4"/>
    <w:rsid w:val="272E1910"/>
    <w:rsid w:val="2976170C"/>
    <w:rsid w:val="29862CCB"/>
    <w:rsid w:val="2A104310"/>
    <w:rsid w:val="2A1A1904"/>
    <w:rsid w:val="2A4B3E74"/>
    <w:rsid w:val="2BA068F1"/>
    <w:rsid w:val="2C2A1457"/>
    <w:rsid w:val="2CAE0A32"/>
    <w:rsid w:val="2EF028BC"/>
    <w:rsid w:val="2F0A3862"/>
    <w:rsid w:val="2FFC0AFB"/>
    <w:rsid w:val="302C0287"/>
    <w:rsid w:val="31A95387"/>
    <w:rsid w:val="31B31F93"/>
    <w:rsid w:val="31B83DD4"/>
    <w:rsid w:val="321653A8"/>
    <w:rsid w:val="322E20A6"/>
    <w:rsid w:val="329C19A3"/>
    <w:rsid w:val="32F52701"/>
    <w:rsid w:val="341A4C22"/>
    <w:rsid w:val="347B2CCE"/>
    <w:rsid w:val="352B3694"/>
    <w:rsid w:val="35AA0056"/>
    <w:rsid w:val="363C0287"/>
    <w:rsid w:val="3654545B"/>
    <w:rsid w:val="36565190"/>
    <w:rsid w:val="366C2500"/>
    <w:rsid w:val="382C7B34"/>
    <w:rsid w:val="387303F9"/>
    <w:rsid w:val="392F53FC"/>
    <w:rsid w:val="392F6470"/>
    <w:rsid w:val="39FD4890"/>
    <w:rsid w:val="3AE03440"/>
    <w:rsid w:val="3B0E3D0E"/>
    <w:rsid w:val="3BFC17F2"/>
    <w:rsid w:val="3C0C0B0D"/>
    <w:rsid w:val="3CFD6976"/>
    <w:rsid w:val="3D4A73E3"/>
    <w:rsid w:val="3D5D42F6"/>
    <w:rsid w:val="3DB808BA"/>
    <w:rsid w:val="3F2E6041"/>
    <w:rsid w:val="3FAC643B"/>
    <w:rsid w:val="3FDDF272"/>
    <w:rsid w:val="407A2ECB"/>
    <w:rsid w:val="418D6C3A"/>
    <w:rsid w:val="423806ED"/>
    <w:rsid w:val="423865DE"/>
    <w:rsid w:val="428230B1"/>
    <w:rsid w:val="42FB5880"/>
    <w:rsid w:val="437A5877"/>
    <w:rsid w:val="43BB3CEC"/>
    <w:rsid w:val="4412784D"/>
    <w:rsid w:val="4419481C"/>
    <w:rsid w:val="443C2562"/>
    <w:rsid w:val="44A91A1A"/>
    <w:rsid w:val="44D052C5"/>
    <w:rsid w:val="45B74C48"/>
    <w:rsid w:val="46A70EF9"/>
    <w:rsid w:val="46AE1F3D"/>
    <w:rsid w:val="473C23B2"/>
    <w:rsid w:val="4743523B"/>
    <w:rsid w:val="474450E0"/>
    <w:rsid w:val="47781E40"/>
    <w:rsid w:val="48541414"/>
    <w:rsid w:val="4900762E"/>
    <w:rsid w:val="49EC7FDD"/>
    <w:rsid w:val="4A6B0082"/>
    <w:rsid w:val="4AB56AE2"/>
    <w:rsid w:val="4B0038EE"/>
    <w:rsid w:val="4B6E7935"/>
    <w:rsid w:val="4BB87F0C"/>
    <w:rsid w:val="4D3521BB"/>
    <w:rsid w:val="4E7E74BD"/>
    <w:rsid w:val="4E805B64"/>
    <w:rsid w:val="4E853694"/>
    <w:rsid w:val="4EE07D75"/>
    <w:rsid w:val="4F0F02C3"/>
    <w:rsid w:val="4F214F20"/>
    <w:rsid w:val="4F9660BB"/>
    <w:rsid w:val="4FB87893"/>
    <w:rsid w:val="4FC2745B"/>
    <w:rsid w:val="509A0D5C"/>
    <w:rsid w:val="50CB0BE4"/>
    <w:rsid w:val="51A47BE3"/>
    <w:rsid w:val="52252BFC"/>
    <w:rsid w:val="540939FA"/>
    <w:rsid w:val="543117F2"/>
    <w:rsid w:val="54D06548"/>
    <w:rsid w:val="54E753F5"/>
    <w:rsid w:val="554FA15E"/>
    <w:rsid w:val="563F7F48"/>
    <w:rsid w:val="56F7427F"/>
    <w:rsid w:val="57630B12"/>
    <w:rsid w:val="5779221D"/>
    <w:rsid w:val="584A4BC5"/>
    <w:rsid w:val="584C4C5F"/>
    <w:rsid w:val="589B5008"/>
    <w:rsid w:val="58A326D8"/>
    <w:rsid w:val="59466376"/>
    <w:rsid w:val="5A6327D8"/>
    <w:rsid w:val="5AA370C6"/>
    <w:rsid w:val="5AEF58D9"/>
    <w:rsid w:val="5BF51433"/>
    <w:rsid w:val="5D3A2B61"/>
    <w:rsid w:val="5EAB332E"/>
    <w:rsid w:val="5EDA3C27"/>
    <w:rsid w:val="5F6568F7"/>
    <w:rsid w:val="5FFBFD4E"/>
    <w:rsid w:val="5FFF8D5C"/>
    <w:rsid w:val="60C802BC"/>
    <w:rsid w:val="61DE0EB4"/>
    <w:rsid w:val="623151CA"/>
    <w:rsid w:val="625F3421"/>
    <w:rsid w:val="63A419D8"/>
    <w:rsid w:val="64D37E08"/>
    <w:rsid w:val="64DB7056"/>
    <w:rsid w:val="6575B814"/>
    <w:rsid w:val="65BFEBEA"/>
    <w:rsid w:val="66982F4F"/>
    <w:rsid w:val="66F0546D"/>
    <w:rsid w:val="67486004"/>
    <w:rsid w:val="683B3E0E"/>
    <w:rsid w:val="6888651F"/>
    <w:rsid w:val="6894168D"/>
    <w:rsid w:val="68E34454"/>
    <w:rsid w:val="68EB6152"/>
    <w:rsid w:val="69B52798"/>
    <w:rsid w:val="6A7451AD"/>
    <w:rsid w:val="6AC14C27"/>
    <w:rsid w:val="6AD17E5E"/>
    <w:rsid w:val="6B3EB88D"/>
    <w:rsid w:val="6B6B4CB3"/>
    <w:rsid w:val="6BC41409"/>
    <w:rsid w:val="6C030E4B"/>
    <w:rsid w:val="6C5C62E3"/>
    <w:rsid w:val="6CAB30BC"/>
    <w:rsid w:val="6CED51AD"/>
    <w:rsid w:val="6D042BC1"/>
    <w:rsid w:val="6DEEA043"/>
    <w:rsid w:val="6E365A3C"/>
    <w:rsid w:val="6FCC3E6E"/>
    <w:rsid w:val="6FEE0232"/>
    <w:rsid w:val="6FEFB7EB"/>
    <w:rsid w:val="6FFF1537"/>
    <w:rsid w:val="6FFF9156"/>
    <w:rsid w:val="71D6011D"/>
    <w:rsid w:val="72694444"/>
    <w:rsid w:val="72AF14FA"/>
    <w:rsid w:val="72CCF95A"/>
    <w:rsid w:val="738FA7E8"/>
    <w:rsid w:val="73A0155B"/>
    <w:rsid w:val="74BE521F"/>
    <w:rsid w:val="74F90479"/>
    <w:rsid w:val="750C1C31"/>
    <w:rsid w:val="760B2FB7"/>
    <w:rsid w:val="7625601A"/>
    <w:rsid w:val="76463F55"/>
    <w:rsid w:val="76976C92"/>
    <w:rsid w:val="76E7A51A"/>
    <w:rsid w:val="76EF2560"/>
    <w:rsid w:val="77775C59"/>
    <w:rsid w:val="77BF249E"/>
    <w:rsid w:val="77BF93F3"/>
    <w:rsid w:val="78070238"/>
    <w:rsid w:val="78D33F7B"/>
    <w:rsid w:val="798E36E0"/>
    <w:rsid w:val="7AAE0691"/>
    <w:rsid w:val="7BCB6CA6"/>
    <w:rsid w:val="7BFEB912"/>
    <w:rsid w:val="7C160625"/>
    <w:rsid w:val="7C1A6A34"/>
    <w:rsid w:val="7CBE4AD3"/>
    <w:rsid w:val="7CF93ECE"/>
    <w:rsid w:val="7D1C7CE5"/>
    <w:rsid w:val="7EFF667A"/>
    <w:rsid w:val="7F363046"/>
    <w:rsid w:val="7F37A9D1"/>
    <w:rsid w:val="7F57AF46"/>
    <w:rsid w:val="7F6FAAF8"/>
    <w:rsid w:val="7FE945FD"/>
    <w:rsid w:val="8EFFBC18"/>
    <w:rsid w:val="AC2DB864"/>
    <w:rsid w:val="AD5E79E0"/>
    <w:rsid w:val="AFF12026"/>
    <w:rsid w:val="B2F75F1D"/>
    <w:rsid w:val="B7CD38DF"/>
    <w:rsid w:val="BE5F0EAB"/>
    <w:rsid w:val="BFDF6CE9"/>
    <w:rsid w:val="CFFB07A0"/>
    <w:rsid w:val="DAA7F856"/>
    <w:rsid w:val="DEF3A296"/>
    <w:rsid w:val="DF7E72E6"/>
    <w:rsid w:val="DFFF8C5C"/>
    <w:rsid w:val="E0FDEE4E"/>
    <w:rsid w:val="E56AB755"/>
    <w:rsid w:val="E8EFA96F"/>
    <w:rsid w:val="EBF7B39F"/>
    <w:rsid w:val="F3D1CF89"/>
    <w:rsid w:val="F72F75A0"/>
    <w:rsid w:val="F7772E64"/>
    <w:rsid w:val="FBED48AB"/>
    <w:rsid w:val="FBF9F7D1"/>
    <w:rsid w:val="FD9FAED7"/>
    <w:rsid w:val="FDEF3408"/>
    <w:rsid w:val="FEFBCB58"/>
    <w:rsid w:val="FF773750"/>
    <w:rsid w:val="FF77E1E5"/>
    <w:rsid w:val="FFC4A885"/>
    <w:rsid w:val="FFD9CCFF"/>
    <w:rsid w:val="FFEFB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character" w:customStyle="1" w:styleId="35">
    <w:name w:val="font01"/>
    <w:qFormat/>
    <w:uiPriority w:val="0"/>
    <w:rPr>
      <w:rFonts w:hint="eastAsia" w:ascii="宋体" w:hAnsi="宋体" w:eastAsia="宋体" w:cs="宋体"/>
      <w:color w:val="000000"/>
      <w:sz w:val="22"/>
      <w:szCs w:val="22"/>
      <w:u w:val="none"/>
    </w:rPr>
  </w:style>
  <w:style w:type="paragraph" w:customStyle="1" w:styleId="36">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5059</Words>
  <Characters>5215</Characters>
  <Lines>0</Lines>
  <Paragraphs>0</Paragraphs>
  <TotalTime>2</TotalTime>
  <ScaleCrop>false</ScaleCrop>
  <LinksUpToDate>false</LinksUpToDate>
  <CharactersWithSpaces>5223</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2025-07-08T18:47:00Z</dcterms:created>
  <dc:creator>黄佩琳</dc:creator>
  <cp:lastModifiedBy>吴佩庭</cp:lastModifiedBy>
  <cp:lastPrinted>2026-03-29T06:49:00Z</cp:lastPrinted>
  <dcterms:modified xsi:type="dcterms:W3CDTF">2026-06-23T10:36:30Z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BCE87815C3504CF1ACCBEE19063BD71E_13</vt:lpwstr>
  </property>
  <property fmtid="{D5CDD505-2E9C-101B-9397-08002B2CF9AE}" pid="4" name="KSOTemplateDocerSaveRecord">
    <vt:lpwstr>eyJoZGlkIjoiY2NiNzc0ZWE4MzBjY2JmMGYyMmY4NjkxNmNhZGJlNDUiLCJ1c2VySWQiOiI4NzUyMjIyNTQifQ==</vt:lpwstr>
  </property>
</Properties>
</file>