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CB5F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color w:val="auto"/>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1C4E20C6">
      <w:pPr>
        <w:spacing w:before="100" w:beforeAutospacing="1" w:after="100" w:afterAutospacing="1" w:line="560" w:lineRule="exact"/>
        <w:jc w:val="center"/>
        <w:rPr>
          <w:rFonts w:ascii="Times New Roman" w:hAnsi="Times New Roman" w:eastAsia="华文中宋" w:cs="Times New Roman"/>
          <w:b/>
          <w:color w:val="auto"/>
          <w:sz w:val="44"/>
          <w:szCs w:val="44"/>
          <w:highlight w:val="none"/>
        </w:rPr>
      </w:pPr>
    </w:p>
    <w:p w14:paraId="09648B4D">
      <w:pPr>
        <w:pStyle w:val="17"/>
        <w:ind w:firstLine="640"/>
        <w:rPr>
          <w:rFonts w:ascii="Times New Roman" w:hAnsi="Times New Roman" w:cs="Times New Roman"/>
          <w:color w:val="auto"/>
          <w:highlight w:val="none"/>
        </w:rPr>
      </w:pPr>
    </w:p>
    <w:p w14:paraId="37C6A52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“匠心筑梦 智汇南山”</w:t>
      </w:r>
    </w:p>
    <w:p w14:paraId="7D958BA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小标宋简体" w:hAnsi="方正小标宋简体" w:eastAsia="方正小标宋简体" w:cs="方正小标宋简体"/>
          <w:bCs/>
          <w:color w:val="auto"/>
          <w:sz w:val="44"/>
          <w:szCs w:val="44"/>
          <w:highlight w:val="none"/>
          <w:lang w:val="en-US"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2026年深圳市南山区</w:t>
      </w:r>
      <w:r>
        <w:rPr>
          <w:rFonts w:hint="eastAsia" w:ascii="方正小标宋简体" w:hAnsi="方正小标宋简体" w:eastAsia="方正小标宋简体" w:cs="方正小标宋简体"/>
          <w:bCs/>
          <w:color w:val="auto"/>
          <w:sz w:val="44"/>
          <w:szCs w:val="44"/>
          <w:highlight w:val="none"/>
          <w:lang w:val="en-US" w:eastAsia="zh-CN"/>
        </w:rPr>
        <w:t>人工智能训练师</w:t>
      </w:r>
    </w:p>
    <w:p w14:paraId="1C8843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44"/>
          <w:szCs w:val="44"/>
          <w:highlight w:val="none"/>
          <w:lang w:val="en-US" w:eastAsia="zh-CN"/>
        </w:rPr>
      </w:pPr>
      <w:r>
        <w:rPr>
          <w:rFonts w:hint="eastAsia" w:ascii="方正小标宋简体" w:hAnsi="方正小标宋简体" w:eastAsia="方正小标宋简体" w:cs="方正小标宋简体"/>
          <w:bCs/>
          <w:color w:val="auto"/>
          <w:sz w:val="44"/>
          <w:szCs w:val="44"/>
          <w:highlight w:val="none"/>
          <w:lang w:val="en-US" w:eastAsia="zh-CN"/>
        </w:rPr>
        <w:t>职业技能竞赛</w:t>
      </w:r>
    </w:p>
    <w:p w14:paraId="16E594B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44"/>
          <w:szCs w:val="44"/>
          <w:highlight w:val="none"/>
          <w:lang w:val="en-AU"/>
        </w:rPr>
      </w:pPr>
      <w:r>
        <w:rPr>
          <w:rFonts w:hint="eastAsia" w:ascii="方正小标宋简体" w:hAnsi="方正小标宋简体" w:eastAsia="方正小标宋简体" w:cs="方正小标宋简体"/>
          <w:bCs/>
          <w:color w:val="auto"/>
          <w:sz w:val="44"/>
          <w:szCs w:val="44"/>
          <w:highlight w:val="none"/>
          <w:lang w:val="en-AU"/>
        </w:rPr>
        <w:t>技术文件</w:t>
      </w:r>
    </w:p>
    <w:p w14:paraId="7BDA8D77">
      <w:pPr>
        <w:pStyle w:val="13"/>
        <w:rPr>
          <w:rFonts w:ascii="Times New Roman" w:hAnsi="Times New Roman" w:eastAsia="微软雅黑" w:cs="Times New Roman"/>
          <w:color w:val="auto"/>
          <w:highlight w:val="none"/>
          <w:lang w:eastAsia="zh-CN"/>
        </w:rPr>
      </w:pPr>
    </w:p>
    <w:p w14:paraId="056FC478">
      <w:pPr>
        <w:spacing w:line="560" w:lineRule="exact"/>
        <w:rPr>
          <w:rFonts w:ascii="Times New Roman" w:hAnsi="Times New Roman" w:cs="Times New Roman"/>
          <w:color w:val="auto"/>
          <w:highlight w:val="none"/>
          <w:lang w:val="en-AU"/>
        </w:rPr>
      </w:pPr>
    </w:p>
    <w:p w14:paraId="7BAE59A8">
      <w:pPr>
        <w:spacing w:line="560" w:lineRule="exact"/>
        <w:rPr>
          <w:rFonts w:ascii="Times New Roman" w:hAnsi="Times New Roman" w:cs="Times New Roman"/>
          <w:color w:val="auto"/>
          <w:highlight w:val="none"/>
          <w:lang w:val="en-AU"/>
        </w:rPr>
      </w:pPr>
    </w:p>
    <w:p w14:paraId="3B09EB4F">
      <w:pPr>
        <w:spacing w:line="560" w:lineRule="exact"/>
        <w:rPr>
          <w:rFonts w:ascii="Times New Roman" w:hAnsi="Times New Roman" w:cs="Times New Roman"/>
          <w:color w:val="auto"/>
          <w:highlight w:val="none"/>
          <w:lang w:val="en-AU"/>
        </w:rPr>
      </w:pPr>
    </w:p>
    <w:p w14:paraId="27E6774D">
      <w:pPr>
        <w:spacing w:line="560" w:lineRule="exact"/>
        <w:rPr>
          <w:rFonts w:ascii="Times New Roman" w:hAnsi="Times New Roman" w:cs="Times New Roman"/>
          <w:color w:val="auto"/>
          <w:highlight w:val="none"/>
          <w:lang w:val="en-AU"/>
        </w:rPr>
      </w:pPr>
    </w:p>
    <w:p w14:paraId="4A5FF0F1">
      <w:pPr>
        <w:spacing w:line="560" w:lineRule="exact"/>
        <w:rPr>
          <w:rFonts w:ascii="Times New Roman" w:hAnsi="Times New Roman" w:cs="Times New Roman"/>
          <w:color w:val="auto"/>
          <w:highlight w:val="none"/>
          <w:lang w:val="en-AU"/>
        </w:rPr>
      </w:pPr>
    </w:p>
    <w:p w14:paraId="6E215AC9">
      <w:pPr>
        <w:spacing w:line="560" w:lineRule="exact"/>
        <w:rPr>
          <w:rFonts w:ascii="Times New Roman" w:hAnsi="Times New Roman" w:cs="Times New Roman"/>
          <w:color w:val="auto"/>
          <w:highlight w:val="none"/>
          <w:lang w:val="en-AU"/>
        </w:rPr>
      </w:pPr>
    </w:p>
    <w:p w14:paraId="6F149182">
      <w:pPr>
        <w:pStyle w:val="2"/>
        <w:ind w:firstLine="640"/>
        <w:rPr>
          <w:rFonts w:ascii="Times New Roman" w:hAnsi="Times New Roman" w:cs="Times New Roman"/>
          <w:color w:val="auto"/>
          <w:highlight w:val="none"/>
          <w:lang w:val="en-AU"/>
        </w:rPr>
      </w:pPr>
    </w:p>
    <w:p w14:paraId="478E6F10">
      <w:pPr>
        <w:pStyle w:val="2"/>
        <w:ind w:firstLine="0" w:firstLineChars="0"/>
        <w:rPr>
          <w:rFonts w:ascii="Times New Roman" w:hAnsi="Times New Roman" w:cs="Times New Roman"/>
          <w:color w:val="auto"/>
          <w:highlight w:val="none"/>
          <w:lang w:val="en-AU"/>
        </w:rPr>
      </w:pPr>
    </w:p>
    <w:p w14:paraId="0A72789B">
      <w:pPr>
        <w:pStyle w:val="2"/>
        <w:ind w:firstLine="640"/>
        <w:rPr>
          <w:rFonts w:ascii="Times New Roman" w:hAnsi="Times New Roman" w:cs="Times New Roman"/>
          <w:color w:val="auto"/>
          <w:highlight w:val="none"/>
          <w:lang w:val="en-AU"/>
        </w:rPr>
      </w:pPr>
    </w:p>
    <w:p w14:paraId="64639FA6">
      <w:pPr>
        <w:pStyle w:val="2"/>
        <w:ind w:firstLine="640"/>
        <w:rPr>
          <w:rFonts w:ascii="Times New Roman" w:hAnsi="Times New Roman" w:cs="Times New Roman"/>
          <w:color w:val="auto"/>
          <w:highlight w:val="none"/>
          <w:lang w:val="en-AU"/>
        </w:rPr>
      </w:pPr>
    </w:p>
    <w:p w14:paraId="1F43E8EE">
      <w:pPr>
        <w:pStyle w:val="2"/>
        <w:ind w:firstLine="640"/>
        <w:rPr>
          <w:rFonts w:ascii="Times New Roman" w:hAnsi="Times New Roman" w:cs="Times New Roman"/>
          <w:color w:val="auto"/>
          <w:highlight w:val="none"/>
          <w:lang w:val="en-AU"/>
        </w:rPr>
      </w:pPr>
    </w:p>
    <w:p w14:paraId="7972D97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年深圳</w:t>
      </w:r>
      <w:r>
        <w:rPr>
          <w:rFonts w:hint="eastAsia" w:ascii="仿宋_GB2312" w:hAnsi="仿宋_GB2312" w:cs="仿宋_GB2312"/>
          <w:color w:val="auto"/>
          <w:sz w:val="32"/>
          <w:szCs w:val="32"/>
          <w:highlight w:val="none"/>
          <w:lang w:eastAsia="zh-CN"/>
        </w:rPr>
        <w:t>市南山区</w:t>
      </w:r>
    </w:p>
    <w:p w14:paraId="10D7C73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cs="仿宋_GB2312"/>
          <w:color w:val="auto"/>
          <w:sz w:val="32"/>
          <w:szCs w:val="32"/>
          <w:highlight w:val="none"/>
          <w:lang w:val="en-US" w:eastAsia="zh-CN"/>
        </w:rPr>
        <w:t>人工智能训练师</w:t>
      </w:r>
      <w:r>
        <w:rPr>
          <w:rFonts w:hint="eastAsia" w:ascii="仿宋_GB2312" w:hAnsi="仿宋_GB2312" w:eastAsia="仿宋_GB2312" w:cs="仿宋_GB2312"/>
          <w:color w:val="auto"/>
          <w:sz w:val="32"/>
          <w:szCs w:val="32"/>
          <w:highlight w:val="none"/>
          <w:lang w:eastAsia="zh-CN"/>
        </w:rPr>
        <w:t>职业技能竞赛</w:t>
      </w:r>
      <w:r>
        <w:rPr>
          <w:rFonts w:hint="eastAsia" w:ascii="仿宋_GB2312" w:hAnsi="仿宋_GB2312" w:cs="仿宋_GB2312"/>
          <w:color w:val="auto"/>
          <w:sz w:val="32"/>
          <w:szCs w:val="32"/>
          <w:highlight w:val="none"/>
          <w:lang w:val="en-US" w:eastAsia="zh-CN"/>
        </w:rPr>
        <w:t>执委会</w:t>
      </w:r>
    </w:p>
    <w:p w14:paraId="40618CC9">
      <w:pPr>
        <w:spacing w:line="560" w:lineRule="exact"/>
        <w:rPr>
          <w:rFonts w:ascii="Times New Roman" w:hAnsi="Times New Roman" w:eastAsia="仿宋" w:cs="Times New Roman"/>
          <w:color w:val="auto"/>
          <w:sz w:val="32"/>
          <w:szCs w:val="32"/>
          <w:highlight w:val="none"/>
          <w:lang w:val="en-AU"/>
        </w:rPr>
      </w:pPr>
    </w:p>
    <w:p w14:paraId="2E5444E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color w:val="auto"/>
          <w:sz w:val="32"/>
          <w:szCs w:val="32"/>
          <w:highlight w:val="none"/>
          <w:lang w:val="en-AU" w:eastAsia="zh-CN"/>
        </w:rPr>
      </w:pPr>
      <w:r>
        <w:rPr>
          <w:rFonts w:hint="eastAsia" w:ascii="仿宋_GB2312" w:hAnsi="仿宋_GB2312" w:eastAsia="仿宋_GB2312" w:cs="仿宋_GB2312"/>
          <w:color w:val="auto"/>
          <w:sz w:val="32"/>
          <w:szCs w:val="32"/>
          <w:highlight w:val="none"/>
          <w:lang w:val="en-AU" w:eastAsia="zh-CN"/>
        </w:rPr>
        <w:t>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AU" w:eastAsia="zh-CN"/>
        </w:rPr>
        <w:t>年</w:t>
      </w:r>
      <w:r>
        <w:rPr>
          <w:rFonts w:hint="eastAsia" w:ascii="仿宋_GB2312" w:hAnsi="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val="en-AU" w:eastAsia="zh-CN"/>
        </w:rPr>
        <w:t>月</w:t>
      </w:r>
    </w:p>
    <w:p w14:paraId="069076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一、技术描述</w:t>
      </w:r>
    </w:p>
    <w:p w14:paraId="4B49A6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（一）项目概要</w:t>
      </w:r>
    </w:p>
    <w:p w14:paraId="3649DD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rPr>
      </w:pPr>
      <w:r>
        <w:rPr>
          <w:rFonts w:hint="eastAsia" w:ascii="仿宋_GB2312" w:hAnsi="仿宋_GB2312" w:eastAsia="仿宋_GB2312" w:cs="仿宋_GB2312"/>
          <w:color w:val="auto"/>
          <w:sz w:val="32"/>
          <w:szCs w:val="32"/>
          <w:highlight w:val="none"/>
          <w:lang w:val="en-US" w:eastAsia="zh-CN"/>
        </w:rPr>
        <w:t>人工智能训练师是指使用智能训练软件，在人工智能产品全生命周期中开展业务数据采集与</w:t>
      </w:r>
      <w:r>
        <w:rPr>
          <w:rFonts w:hint="eastAsia" w:ascii="仿宋_GB2312" w:hAnsi="仿宋_GB2312" w:cs="仿宋_GB2312"/>
          <w:color w:val="auto"/>
          <w:sz w:val="32"/>
          <w:szCs w:val="32"/>
          <w:highlight w:val="none"/>
          <w:lang w:val="en-US" w:eastAsia="zh-CN"/>
        </w:rPr>
        <w:t>优化</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数据分析</w:t>
      </w:r>
      <w:r>
        <w:rPr>
          <w:rFonts w:hint="eastAsia" w:ascii="仿宋_GB2312" w:hAnsi="仿宋_GB2312" w:eastAsia="仿宋_GB2312" w:cs="仿宋_GB2312"/>
          <w:color w:val="auto"/>
          <w:sz w:val="32"/>
          <w:szCs w:val="32"/>
          <w:highlight w:val="none"/>
          <w:lang w:val="en-US" w:eastAsia="zh-CN"/>
        </w:rPr>
        <w:t>、智能系统设计及相关辅助作业的专业技术人员。本次竞赛重点考核选手的综合职业能力：涵盖职业道德</w:t>
      </w:r>
      <w:r>
        <w:rPr>
          <w:rFonts w:hint="eastAsia" w:ascii="仿宋_GB2312" w:hAnsi="仿宋_GB2312" w:cs="仿宋_GB2312"/>
          <w:color w:val="auto"/>
          <w:sz w:val="32"/>
          <w:szCs w:val="32"/>
          <w:highlight w:val="none"/>
          <w:lang w:val="en-US" w:eastAsia="zh-CN"/>
        </w:rPr>
        <w:t>、基础知识、数据采集和处理、数据标注、智能系统运维等</w:t>
      </w:r>
      <w:r>
        <w:rPr>
          <w:rFonts w:hint="eastAsia" w:ascii="仿宋_GB2312" w:hAnsi="仿宋_GB2312" w:eastAsia="仿宋_GB2312" w:cs="仿宋_GB2312"/>
          <w:color w:val="auto"/>
          <w:kern w:val="2"/>
          <w:sz w:val="32"/>
          <w:szCs w:val="32"/>
          <w:highlight w:val="none"/>
          <w:lang w:val="en-US" w:eastAsia="zh-CN" w:bidi="ar-SA"/>
        </w:rPr>
        <w:t>核心技能，同时须具备业务需求分析、人工智能应用场景设计、数据安全保护、风险识别和综合问题解决能力。</w:t>
      </w:r>
    </w:p>
    <w:p w14:paraId="343395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FF0000"/>
          <w:sz w:val="32"/>
          <w:szCs w:val="32"/>
          <w:highlight w:val="none"/>
        </w:rPr>
      </w:pPr>
      <w:r>
        <w:rPr>
          <w:rFonts w:hint="default" w:ascii="Times New Roman" w:hAnsi="Times New Roman" w:eastAsia="楷体_GB2312" w:cs="Times New Roman"/>
          <w:b w:val="0"/>
          <w:bCs w:val="0"/>
          <w:color w:val="auto"/>
          <w:sz w:val="32"/>
          <w:szCs w:val="32"/>
          <w:highlight w:val="none"/>
        </w:rPr>
        <w:t>（二）基本知识及能力要求</w:t>
      </w:r>
    </w:p>
    <w:tbl>
      <w:tblPr>
        <w:tblStyle w:val="14"/>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2"/>
        <w:gridCol w:w="994"/>
        <w:gridCol w:w="1487"/>
        <w:gridCol w:w="4100"/>
        <w:gridCol w:w="1083"/>
      </w:tblGrid>
      <w:tr w14:paraId="14E1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233" w:type="dxa"/>
            <w:gridSpan w:val="4"/>
            <w:noWrap w:val="0"/>
            <w:vAlign w:val="center"/>
          </w:tcPr>
          <w:p w14:paraId="3023FE8C">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b/>
                <w:bCs/>
                <w:color w:val="auto"/>
                <w:sz w:val="24"/>
              </w:rPr>
            </w:pPr>
            <w:r>
              <w:rPr>
                <w:rFonts w:hint="eastAsia" w:ascii="仿宋_GB2312" w:hAnsi="仿宋_GB2312" w:eastAsia="仿宋_GB2312" w:cs="仿宋_GB2312"/>
                <w:b/>
                <w:bCs/>
                <w:i w:val="0"/>
                <w:iCs w:val="0"/>
                <w:color w:val="auto"/>
                <w:kern w:val="0"/>
                <w:sz w:val="24"/>
                <w:szCs w:val="24"/>
                <w:highlight w:val="none"/>
                <w:u w:val="none"/>
                <w:lang w:val="en-US" w:eastAsia="zh-CN" w:bidi="ar"/>
              </w:rPr>
              <w:t>理论知识相关要求</w:t>
            </w:r>
          </w:p>
        </w:tc>
        <w:tc>
          <w:tcPr>
            <w:tcW w:w="1083" w:type="dxa"/>
            <w:noWrap w:val="0"/>
            <w:vAlign w:val="center"/>
          </w:tcPr>
          <w:p w14:paraId="5529FFEE">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权重比例</w:t>
            </w:r>
          </w:p>
          <w:p w14:paraId="189C676B">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b/>
                <w:bCs/>
                <w:color w:val="auto"/>
                <w:sz w:val="24"/>
              </w:rPr>
            </w:pPr>
            <w:r>
              <w:rPr>
                <w:rFonts w:hint="eastAsia" w:ascii="仿宋_GB2312" w:hAnsi="仿宋_GB2312" w:eastAsia="仿宋_GB2312" w:cs="仿宋_GB2312"/>
                <w:b/>
                <w:bCs/>
                <w:i w:val="0"/>
                <w:iCs w:val="0"/>
                <w:color w:val="auto"/>
                <w:kern w:val="0"/>
                <w:sz w:val="24"/>
                <w:szCs w:val="24"/>
                <w:u w:val="none"/>
                <w:lang w:val="en-US" w:eastAsia="zh-CN" w:bidi="ar"/>
              </w:rPr>
              <w:t>（%）</w:t>
            </w:r>
          </w:p>
        </w:tc>
      </w:tr>
      <w:tr w14:paraId="453D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46" w:type="dxa"/>
            <w:gridSpan w:val="2"/>
            <w:vMerge w:val="restart"/>
            <w:noWrap w:val="0"/>
            <w:vAlign w:val="center"/>
          </w:tcPr>
          <w:p w14:paraId="7CAA82F2">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职业道德</w:t>
            </w:r>
          </w:p>
        </w:tc>
        <w:tc>
          <w:tcPr>
            <w:tcW w:w="1487" w:type="dxa"/>
            <w:noWrap w:val="0"/>
            <w:vAlign w:val="center"/>
          </w:tcPr>
          <w:p w14:paraId="2C1B051F">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职业道德</w:t>
            </w:r>
          </w:p>
          <w:p w14:paraId="32F686CB">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基本知识</w:t>
            </w:r>
          </w:p>
        </w:tc>
        <w:tc>
          <w:tcPr>
            <w:tcW w:w="4100" w:type="dxa"/>
            <w:noWrap w:val="0"/>
            <w:vAlign w:val="center"/>
          </w:tcPr>
          <w:p w14:paraId="79E013E7">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职业道德基本知识</w:t>
            </w:r>
          </w:p>
        </w:tc>
        <w:tc>
          <w:tcPr>
            <w:tcW w:w="1083" w:type="dxa"/>
            <w:vMerge w:val="restart"/>
            <w:noWrap w:val="0"/>
            <w:vAlign w:val="center"/>
          </w:tcPr>
          <w:p w14:paraId="50AF54EF">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ascii="仿宋_GB2312" w:hAnsi="仿宋_GB2312" w:cs="仿宋_GB2312"/>
                <w:color w:val="auto"/>
                <w:sz w:val="24"/>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14:paraId="010A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46" w:type="dxa"/>
            <w:gridSpan w:val="2"/>
            <w:vMerge w:val="continue"/>
            <w:noWrap w:val="0"/>
            <w:vAlign w:val="center"/>
          </w:tcPr>
          <w:p w14:paraId="54911EC3">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szCs w:val="24"/>
              </w:rPr>
            </w:pPr>
          </w:p>
        </w:tc>
        <w:tc>
          <w:tcPr>
            <w:tcW w:w="1487" w:type="dxa"/>
            <w:noWrap w:val="0"/>
            <w:vAlign w:val="center"/>
          </w:tcPr>
          <w:p w14:paraId="141B2150">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职业守则</w:t>
            </w:r>
          </w:p>
        </w:tc>
        <w:tc>
          <w:tcPr>
            <w:tcW w:w="4100" w:type="dxa"/>
            <w:noWrap w:val="0"/>
            <w:vAlign w:val="center"/>
          </w:tcPr>
          <w:p w14:paraId="0CA39B42">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职业守则</w:t>
            </w:r>
          </w:p>
        </w:tc>
        <w:tc>
          <w:tcPr>
            <w:tcW w:w="1083" w:type="dxa"/>
            <w:vMerge w:val="continue"/>
            <w:noWrap w:val="0"/>
            <w:vAlign w:val="center"/>
          </w:tcPr>
          <w:p w14:paraId="7BD6FDD1">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rPr>
            </w:pPr>
          </w:p>
        </w:tc>
      </w:tr>
      <w:tr w14:paraId="4826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1646" w:type="dxa"/>
            <w:gridSpan w:val="2"/>
            <w:vMerge w:val="restart"/>
            <w:noWrap w:val="0"/>
            <w:vAlign w:val="center"/>
          </w:tcPr>
          <w:p w14:paraId="2AFB762D">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基础知识</w:t>
            </w:r>
          </w:p>
        </w:tc>
        <w:tc>
          <w:tcPr>
            <w:tcW w:w="1487" w:type="dxa"/>
            <w:noWrap w:val="0"/>
            <w:vAlign w:val="center"/>
          </w:tcPr>
          <w:p w14:paraId="1BEEC378">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计算机</w:t>
            </w:r>
          </w:p>
          <w:p w14:paraId="2F038289">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操作知识</w:t>
            </w:r>
          </w:p>
        </w:tc>
        <w:tc>
          <w:tcPr>
            <w:tcW w:w="4100" w:type="dxa"/>
            <w:noWrap w:val="0"/>
            <w:vAlign w:val="center"/>
          </w:tcPr>
          <w:p w14:paraId="6C9F4058">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计算机操作知识</w:t>
            </w:r>
          </w:p>
        </w:tc>
        <w:tc>
          <w:tcPr>
            <w:tcW w:w="1083" w:type="dxa"/>
            <w:vMerge w:val="restart"/>
            <w:noWrap w:val="0"/>
            <w:vAlign w:val="center"/>
          </w:tcPr>
          <w:p w14:paraId="2B9AB00A">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ascii="仿宋_GB2312" w:hAnsi="仿宋_GB2312" w:cs="仿宋_GB2312"/>
                <w:color w:val="auto"/>
                <w:sz w:val="24"/>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15</w:t>
            </w:r>
          </w:p>
        </w:tc>
      </w:tr>
      <w:tr w14:paraId="1DBF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46" w:type="dxa"/>
            <w:gridSpan w:val="2"/>
            <w:vMerge w:val="continue"/>
            <w:noWrap w:val="0"/>
            <w:vAlign w:val="center"/>
          </w:tcPr>
          <w:p w14:paraId="1990912A">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szCs w:val="24"/>
              </w:rPr>
            </w:pPr>
          </w:p>
        </w:tc>
        <w:tc>
          <w:tcPr>
            <w:tcW w:w="1487" w:type="dxa"/>
            <w:noWrap w:val="0"/>
            <w:vAlign w:val="center"/>
          </w:tcPr>
          <w:p w14:paraId="42A38161">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办公应用</w:t>
            </w:r>
          </w:p>
          <w:p w14:paraId="67561D29">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软件</w:t>
            </w:r>
          </w:p>
        </w:tc>
        <w:tc>
          <w:tcPr>
            <w:tcW w:w="4100" w:type="dxa"/>
            <w:noWrap w:val="0"/>
            <w:vAlign w:val="center"/>
          </w:tcPr>
          <w:p w14:paraId="22AEDDC6">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办公应用软件</w:t>
            </w:r>
          </w:p>
        </w:tc>
        <w:tc>
          <w:tcPr>
            <w:tcW w:w="1083" w:type="dxa"/>
            <w:vMerge w:val="continue"/>
            <w:noWrap w:val="0"/>
            <w:vAlign w:val="center"/>
          </w:tcPr>
          <w:p w14:paraId="2B98D2FC">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rPr>
            </w:pPr>
          </w:p>
        </w:tc>
      </w:tr>
      <w:tr w14:paraId="1DC6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46" w:type="dxa"/>
            <w:gridSpan w:val="2"/>
            <w:vMerge w:val="continue"/>
            <w:noWrap w:val="0"/>
            <w:vAlign w:val="center"/>
          </w:tcPr>
          <w:p w14:paraId="41640D26">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szCs w:val="24"/>
              </w:rPr>
            </w:pPr>
          </w:p>
        </w:tc>
        <w:tc>
          <w:tcPr>
            <w:tcW w:w="1487" w:type="dxa"/>
            <w:noWrap w:val="0"/>
            <w:vAlign w:val="center"/>
          </w:tcPr>
          <w:p w14:paraId="1B4BF433">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相关法律</w:t>
            </w:r>
          </w:p>
          <w:p w14:paraId="6A4F570E">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法规知识</w:t>
            </w:r>
          </w:p>
        </w:tc>
        <w:tc>
          <w:tcPr>
            <w:tcW w:w="4100" w:type="dxa"/>
            <w:noWrap w:val="0"/>
            <w:vAlign w:val="center"/>
          </w:tcPr>
          <w:p w14:paraId="29B6D598">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相关法律法规知识</w:t>
            </w:r>
          </w:p>
        </w:tc>
        <w:tc>
          <w:tcPr>
            <w:tcW w:w="1083" w:type="dxa"/>
            <w:vMerge w:val="continue"/>
            <w:noWrap w:val="0"/>
            <w:vAlign w:val="center"/>
          </w:tcPr>
          <w:p w14:paraId="10187631">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rPr>
            </w:pPr>
          </w:p>
        </w:tc>
      </w:tr>
      <w:tr w14:paraId="425E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5" w:hRule="atLeast"/>
          <w:jc w:val="center"/>
        </w:trPr>
        <w:tc>
          <w:tcPr>
            <w:tcW w:w="1646" w:type="dxa"/>
            <w:gridSpan w:val="2"/>
            <w:vMerge w:val="restart"/>
            <w:noWrap w:val="0"/>
            <w:vAlign w:val="center"/>
          </w:tcPr>
          <w:p w14:paraId="647C7A46">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数据</w:t>
            </w:r>
          </w:p>
          <w:p w14:paraId="56630D17">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i w:val="0"/>
                <w:iCs w:val="0"/>
                <w:color w:val="auto"/>
                <w:kern w:val="0"/>
                <w:sz w:val="24"/>
                <w:szCs w:val="24"/>
                <w:u w:val="none"/>
                <w:lang w:val="en-US" w:eastAsia="zh-CN" w:bidi="ar"/>
              </w:rPr>
              <w:t>采集与</w:t>
            </w:r>
            <w:r>
              <w:rPr>
                <w:rFonts w:hint="eastAsia" w:ascii="仿宋_GB2312" w:hAnsi="仿宋_GB2312" w:cs="仿宋_GB2312"/>
                <w:i w:val="0"/>
                <w:iCs w:val="0"/>
                <w:color w:val="auto"/>
                <w:kern w:val="0"/>
                <w:sz w:val="24"/>
                <w:szCs w:val="24"/>
                <w:u w:val="none"/>
                <w:lang w:val="en-US" w:eastAsia="zh-CN" w:bidi="ar"/>
              </w:rPr>
              <w:t>处理</w:t>
            </w:r>
          </w:p>
        </w:tc>
        <w:tc>
          <w:tcPr>
            <w:tcW w:w="1487" w:type="dxa"/>
            <w:noWrap w:val="0"/>
            <w:vAlign w:val="center"/>
          </w:tcPr>
          <w:p w14:paraId="7D418776">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业务数据</w:t>
            </w:r>
          </w:p>
          <w:p w14:paraId="4BE5B588">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i w:val="0"/>
                <w:iCs w:val="0"/>
                <w:color w:val="auto"/>
                <w:kern w:val="0"/>
                <w:sz w:val="24"/>
                <w:szCs w:val="24"/>
                <w:u w:val="none"/>
                <w:lang w:val="en-US" w:eastAsia="zh-CN" w:bidi="ar"/>
              </w:rPr>
              <w:t>质量检测</w:t>
            </w:r>
          </w:p>
        </w:tc>
        <w:tc>
          <w:tcPr>
            <w:tcW w:w="4100" w:type="dxa"/>
            <w:noWrap w:val="0"/>
            <w:vAlign w:val="center"/>
          </w:tcPr>
          <w:p w14:paraId="62982B8F">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业务数据质量要求和标准</w:t>
            </w:r>
          </w:p>
          <w:p w14:paraId="18D778E8">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能够完成数据库内业务数据采集</w:t>
            </w:r>
          </w:p>
          <w:p w14:paraId="046563E2">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业务数据处理规范和方法</w:t>
            </w:r>
          </w:p>
        </w:tc>
        <w:tc>
          <w:tcPr>
            <w:tcW w:w="1083" w:type="dxa"/>
            <w:vMerge w:val="restart"/>
            <w:noWrap w:val="0"/>
            <w:vAlign w:val="center"/>
          </w:tcPr>
          <w:p w14:paraId="67447E2C">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ascii="仿宋_GB2312" w:hAnsi="仿宋_GB2312" w:cs="仿宋_GB2312"/>
                <w:color w:val="auto"/>
                <w:sz w:val="24"/>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2</w:t>
            </w:r>
            <w:r>
              <w:rPr>
                <w:rFonts w:hint="eastAsia" w:ascii="仿宋_GB2312" w:hAnsi="仿宋_GB2312" w:cs="仿宋_GB2312"/>
                <w:i w:val="0"/>
                <w:iCs w:val="0"/>
                <w:color w:val="auto"/>
                <w:kern w:val="0"/>
                <w:sz w:val="24"/>
                <w:szCs w:val="24"/>
                <w:highlight w:val="none"/>
                <w:u w:val="none"/>
                <w:lang w:val="en-US" w:eastAsia="zh-CN" w:bidi="ar"/>
              </w:rPr>
              <w:t>5</w:t>
            </w:r>
          </w:p>
        </w:tc>
      </w:tr>
      <w:tr w14:paraId="7E51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1646" w:type="dxa"/>
            <w:gridSpan w:val="2"/>
            <w:vMerge w:val="continue"/>
            <w:noWrap w:val="0"/>
            <w:vAlign w:val="center"/>
          </w:tcPr>
          <w:p w14:paraId="1C58B7BA">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szCs w:val="24"/>
              </w:rPr>
            </w:pPr>
          </w:p>
        </w:tc>
        <w:tc>
          <w:tcPr>
            <w:tcW w:w="1487" w:type="dxa"/>
            <w:noWrap w:val="0"/>
            <w:vAlign w:val="center"/>
          </w:tcPr>
          <w:p w14:paraId="23A479C4">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ascii="仿宋_GB2312" w:hAnsi="仿宋_GB2312" w:cs="仿宋_GB2312"/>
                <w:color w:val="auto"/>
                <w:sz w:val="24"/>
                <w:szCs w:val="24"/>
                <w:lang w:val="en-US"/>
              </w:rPr>
            </w:pPr>
            <w:r>
              <w:rPr>
                <w:rFonts w:hint="eastAsia" w:ascii="仿宋_GB2312" w:hAnsi="仿宋_GB2312" w:cs="仿宋_GB2312"/>
                <w:i w:val="0"/>
                <w:iCs w:val="0"/>
                <w:color w:val="auto"/>
                <w:kern w:val="0"/>
                <w:sz w:val="24"/>
                <w:szCs w:val="24"/>
                <w:u w:val="none"/>
                <w:lang w:val="en-US" w:eastAsia="zh-CN" w:bidi="ar"/>
              </w:rPr>
              <w:t>数据处理方法优化</w:t>
            </w:r>
          </w:p>
        </w:tc>
        <w:tc>
          <w:tcPr>
            <w:tcW w:w="4100" w:type="dxa"/>
            <w:noWrap w:val="0"/>
            <w:vAlign w:val="center"/>
          </w:tcPr>
          <w:p w14:paraId="64B2079A">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数据采集知识</w:t>
            </w:r>
          </w:p>
          <w:p w14:paraId="7CC567BB">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default" w:ascii="仿宋_GB2312" w:hAnsi="仿宋_GB2312" w:cs="仿宋_GB2312"/>
                <w:color w:val="auto"/>
                <w:sz w:val="24"/>
                <w:szCs w:val="24"/>
                <w:lang w:val="en-US"/>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数据处理知识</w:t>
            </w:r>
          </w:p>
        </w:tc>
        <w:tc>
          <w:tcPr>
            <w:tcW w:w="1083" w:type="dxa"/>
            <w:vMerge w:val="continue"/>
            <w:noWrap w:val="0"/>
            <w:vAlign w:val="center"/>
          </w:tcPr>
          <w:p w14:paraId="5C0119E0">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rPr>
            </w:pPr>
          </w:p>
        </w:tc>
      </w:tr>
      <w:tr w14:paraId="152C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1646" w:type="dxa"/>
            <w:gridSpan w:val="2"/>
            <w:vMerge w:val="continue"/>
            <w:noWrap w:val="0"/>
            <w:vAlign w:val="center"/>
          </w:tcPr>
          <w:p w14:paraId="26412832">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szCs w:val="24"/>
              </w:rPr>
            </w:pPr>
          </w:p>
        </w:tc>
        <w:tc>
          <w:tcPr>
            <w:tcW w:w="1487" w:type="dxa"/>
            <w:noWrap w:val="0"/>
            <w:vAlign w:val="center"/>
          </w:tcPr>
          <w:p w14:paraId="77E422DC">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ascii="仿宋_GB2312" w:hAnsi="仿宋_GB2312" w:cs="仿宋_GB2312"/>
                <w:i w:val="0"/>
                <w:iCs w:val="0"/>
                <w:color w:val="auto"/>
                <w:kern w:val="0"/>
                <w:sz w:val="24"/>
                <w:szCs w:val="24"/>
                <w:u w:val="none"/>
                <w:lang w:val="en-US" w:eastAsia="zh-CN" w:bidi="ar"/>
              </w:rPr>
            </w:pPr>
            <w:r>
              <w:rPr>
                <w:rFonts w:hint="eastAsia" w:ascii="仿宋_GB2312" w:hAnsi="仿宋_GB2312" w:cs="仿宋_GB2312"/>
                <w:i w:val="0"/>
                <w:iCs w:val="0"/>
                <w:color w:val="auto"/>
                <w:kern w:val="0"/>
                <w:sz w:val="24"/>
                <w:szCs w:val="24"/>
                <w:u w:val="none"/>
                <w:lang w:val="en-US" w:eastAsia="zh-CN" w:bidi="ar"/>
              </w:rPr>
              <w:t>数据采集与预处理</w:t>
            </w:r>
          </w:p>
        </w:tc>
        <w:tc>
          <w:tcPr>
            <w:tcW w:w="4100" w:type="dxa"/>
            <w:noWrap w:val="0"/>
            <w:vAlign w:val="center"/>
          </w:tcPr>
          <w:p w14:paraId="70E863B4">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－音频采集设备的操作方法与注意事项</w:t>
            </w:r>
          </w:p>
          <w:p w14:paraId="2986F710">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－录音环境标准的相关内容</w:t>
            </w:r>
          </w:p>
          <w:p w14:paraId="7E221B2A">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－降噪、标准化、剪辑等音视频软件操作方法</w:t>
            </w:r>
          </w:p>
          <w:p w14:paraId="614BD95E">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lang w:val="en-US" w:eastAsia="zh-CN"/>
              </w:rPr>
            </w:pPr>
            <w:r>
              <w:rPr>
                <w:rFonts w:hint="eastAsia" w:ascii="仿宋_GB2312" w:hAnsi="仿宋_GB2312" w:cs="仿宋_GB2312"/>
                <w:color w:val="auto"/>
                <w:kern w:val="2"/>
                <w:sz w:val="24"/>
                <w:szCs w:val="24"/>
                <w:lang w:val="en-US" w:eastAsia="zh-CN" w:bidi="ar-SA"/>
              </w:rPr>
              <w:t>－数据文件命名、目录结构设计与元数据管理的方法</w:t>
            </w:r>
          </w:p>
        </w:tc>
        <w:tc>
          <w:tcPr>
            <w:tcW w:w="1083" w:type="dxa"/>
            <w:vMerge w:val="continue"/>
            <w:noWrap w:val="0"/>
            <w:vAlign w:val="center"/>
          </w:tcPr>
          <w:p w14:paraId="04787D6A">
            <w:pPr>
              <w:keepNext w:val="0"/>
              <w:keepLines w:val="0"/>
              <w:pageBreakBefore w:val="0"/>
              <w:kinsoku/>
              <w:overflowPunct/>
              <w:topLinePunct w:val="0"/>
              <w:autoSpaceDE/>
              <w:autoSpaceDN/>
              <w:bidi w:val="0"/>
              <w:adjustRightInd/>
              <w:spacing w:beforeAutospacing="0" w:afterAutospacing="0" w:line="0" w:lineRule="atLeast"/>
              <w:jc w:val="center"/>
              <w:rPr>
                <w:rFonts w:hint="eastAsia" w:ascii="仿宋_GB2312" w:hAnsi="仿宋_GB2312" w:cs="仿宋_GB2312"/>
                <w:color w:val="auto"/>
                <w:sz w:val="24"/>
              </w:rPr>
            </w:pPr>
          </w:p>
        </w:tc>
      </w:tr>
      <w:tr w14:paraId="03D4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4" w:hRule="atLeast"/>
          <w:jc w:val="center"/>
        </w:trPr>
        <w:tc>
          <w:tcPr>
            <w:tcW w:w="1646" w:type="dxa"/>
            <w:gridSpan w:val="2"/>
            <w:vMerge w:val="restart"/>
            <w:noWrap w:val="0"/>
            <w:vAlign w:val="center"/>
          </w:tcPr>
          <w:p w14:paraId="45E226DF">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eastAsia" w:ascii="仿宋_GB2312" w:hAnsi="仿宋_GB2312" w:cs="仿宋_GB2312"/>
                <w:b/>
                <w:bCs/>
                <w:color w:val="auto"/>
                <w:sz w:val="24"/>
              </w:rPr>
            </w:pPr>
            <w:r>
              <w:rPr>
                <w:rFonts w:hint="eastAsia" w:ascii="仿宋_GB2312" w:hAnsi="仿宋_GB2312" w:cs="仿宋_GB2312"/>
                <w:i w:val="0"/>
                <w:iCs w:val="0"/>
                <w:color w:val="auto"/>
                <w:kern w:val="0"/>
                <w:sz w:val="24"/>
                <w:szCs w:val="24"/>
                <w:u w:val="none"/>
                <w:lang w:val="en-US" w:eastAsia="zh-CN" w:bidi="ar"/>
              </w:rPr>
              <w:t>数据标注</w:t>
            </w:r>
          </w:p>
        </w:tc>
        <w:tc>
          <w:tcPr>
            <w:tcW w:w="1487" w:type="dxa"/>
            <w:noWrap w:val="0"/>
            <w:vAlign w:val="center"/>
          </w:tcPr>
          <w:p w14:paraId="50DCBBA3">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lang w:val="en-US"/>
              </w:rPr>
            </w:pPr>
            <w:r>
              <w:rPr>
                <w:rFonts w:hint="eastAsia" w:ascii="仿宋_GB2312" w:hAnsi="仿宋_GB2312" w:eastAsia="仿宋_GB2312" w:cs="仿宋_GB2312"/>
                <w:i w:val="0"/>
                <w:iCs w:val="0"/>
                <w:color w:val="auto"/>
                <w:kern w:val="0"/>
                <w:sz w:val="24"/>
                <w:szCs w:val="24"/>
                <w:u w:val="none"/>
                <w:lang w:val="en-US" w:eastAsia="zh-CN" w:bidi="ar"/>
              </w:rPr>
              <w:t>数据</w:t>
            </w:r>
            <w:r>
              <w:rPr>
                <w:rFonts w:hint="eastAsia" w:ascii="仿宋_GB2312" w:hAnsi="仿宋_GB2312" w:cs="仿宋_GB2312"/>
                <w:i w:val="0"/>
                <w:iCs w:val="0"/>
                <w:color w:val="auto"/>
                <w:kern w:val="0"/>
                <w:sz w:val="24"/>
                <w:szCs w:val="24"/>
                <w:u w:val="none"/>
                <w:lang w:val="en-US" w:eastAsia="zh-CN" w:bidi="ar"/>
              </w:rPr>
              <w:t>归类与定义</w:t>
            </w:r>
          </w:p>
        </w:tc>
        <w:tc>
          <w:tcPr>
            <w:tcW w:w="4100" w:type="dxa"/>
            <w:noWrap w:val="0"/>
            <w:vAlign w:val="center"/>
          </w:tcPr>
          <w:p w14:paraId="4E09B350">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数据聚类工具知识</w:t>
            </w:r>
          </w:p>
          <w:p w14:paraId="4DD38F17">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数据归纳方法</w:t>
            </w:r>
          </w:p>
          <w:p w14:paraId="2485910D">
            <w:pPr>
              <w:widowControl/>
              <w:spacing w:line="0" w:lineRule="atLeast"/>
              <w:jc w:val="left"/>
              <w:textAlignment w:val="top"/>
              <w:rPr>
                <w:rFonts w:hint="eastAsia" w:ascii="仿宋_GB2312" w:hAnsi="仿宋_GB2312" w:cs="仿宋_GB2312"/>
                <w:b/>
                <w:bCs/>
                <w:color w:val="auto"/>
                <w:sz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数据定义知识</w:t>
            </w:r>
          </w:p>
        </w:tc>
        <w:tc>
          <w:tcPr>
            <w:tcW w:w="1083" w:type="dxa"/>
            <w:vMerge w:val="restart"/>
            <w:noWrap w:val="0"/>
            <w:vAlign w:val="center"/>
          </w:tcPr>
          <w:p w14:paraId="3FCD4242">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cs="仿宋_GB2312"/>
                <w:i w:val="0"/>
                <w:iCs w:val="0"/>
                <w:color w:val="auto"/>
                <w:kern w:val="0"/>
                <w:sz w:val="24"/>
                <w:szCs w:val="24"/>
                <w:highlight w:val="none"/>
                <w:u w:val="none"/>
                <w:lang w:val="en-US" w:eastAsia="zh-CN" w:bidi="ar"/>
              </w:rPr>
              <w:t>35</w:t>
            </w:r>
          </w:p>
        </w:tc>
      </w:tr>
      <w:tr w14:paraId="4C66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1646" w:type="dxa"/>
            <w:gridSpan w:val="2"/>
            <w:vMerge w:val="continue"/>
            <w:noWrap w:val="0"/>
            <w:vAlign w:val="center"/>
          </w:tcPr>
          <w:p w14:paraId="675C28FE">
            <w:pPr>
              <w:widowControl/>
              <w:spacing w:line="0" w:lineRule="atLeast"/>
              <w:jc w:val="center"/>
              <w:textAlignment w:val="top"/>
              <w:rPr>
                <w:rFonts w:hint="eastAsia" w:ascii="仿宋_GB2312" w:hAnsi="仿宋_GB2312" w:cs="仿宋_GB2312"/>
                <w:b/>
                <w:bCs/>
                <w:color w:val="auto"/>
                <w:sz w:val="24"/>
              </w:rPr>
            </w:pPr>
          </w:p>
        </w:tc>
        <w:tc>
          <w:tcPr>
            <w:tcW w:w="1487" w:type="dxa"/>
            <w:noWrap w:val="0"/>
            <w:vAlign w:val="center"/>
          </w:tcPr>
          <w:p w14:paraId="6813DEDA">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i w:val="0"/>
                <w:iCs w:val="0"/>
                <w:color w:val="auto"/>
                <w:kern w:val="0"/>
                <w:sz w:val="24"/>
                <w:szCs w:val="24"/>
                <w:u w:val="none"/>
                <w:lang w:val="en-US" w:eastAsia="zh-CN" w:bidi="ar"/>
              </w:rPr>
              <w:t>标注数据审核</w:t>
            </w:r>
          </w:p>
        </w:tc>
        <w:tc>
          <w:tcPr>
            <w:tcW w:w="4100" w:type="dxa"/>
            <w:noWrap w:val="0"/>
            <w:vAlign w:val="center"/>
          </w:tcPr>
          <w:p w14:paraId="169EB799">
            <w:pPr>
              <w:widowControl/>
              <w:spacing w:line="0" w:lineRule="atLeast"/>
              <w:jc w:val="left"/>
              <w:textAlignment w:val="top"/>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数据审核标准和方法</w:t>
            </w:r>
          </w:p>
          <w:p w14:paraId="27497B6A">
            <w:pPr>
              <w:widowControl/>
              <w:spacing w:line="0" w:lineRule="atLeast"/>
              <w:jc w:val="left"/>
              <w:textAlignment w:val="top"/>
              <w:rPr>
                <w:rFonts w:hint="default" w:ascii="仿宋_GB2312" w:hAnsi="仿宋_GB2312" w:cs="仿宋_GB2312"/>
                <w:b/>
                <w:bCs/>
                <w:color w:val="auto"/>
                <w:sz w:val="24"/>
                <w:lang w:val="en-US"/>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数据审核工具使用知识</w:t>
            </w:r>
          </w:p>
        </w:tc>
        <w:tc>
          <w:tcPr>
            <w:tcW w:w="1083" w:type="dxa"/>
            <w:vMerge w:val="continue"/>
            <w:noWrap w:val="0"/>
            <w:vAlign w:val="center"/>
          </w:tcPr>
          <w:p w14:paraId="5AA6A1A5">
            <w:pPr>
              <w:widowControl/>
              <w:spacing w:line="0" w:lineRule="atLeast"/>
              <w:jc w:val="center"/>
              <w:textAlignment w:val="top"/>
              <w:rPr>
                <w:rFonts w:hint="eastAsia" w:ascii="仿宋_GB2312" w:hAnsi="仿宋_GB2312" w:cs="仿宋_GB2312"/>
                <w:b/>
                <w:caps/>
                <w:color w:val="auto"/>
                <w:sz w:val="24"/>
              </w:rPr>
            </w:pPr>
          </w:p>
        </w:tc>
      </w:tr>
      <w:tr w14:paraId="59AE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1646" w:type="dxa"/>
            <w:gridSpan w:val="2"/>
            <w:vMerge w:val="continue"/>
            <w:noWrap w:val="0"/>
            <w:vAlign w:val="center"/>
          </w:tcPr>
          <w:p w14:paraId="17168DC0">
            <w:pPr>
              <w:widowControl/>
              <w:spacing w:line="0" w:lineRule="atLeast"/>
              <w:jc w:val="center"/>
              <w:textAlignment w:val="top"/>
              <w:rPr>
                <w:rFonts w:hint="eastAsia" w:ascii="仿宋_GB2312" w:hAnsi="仿宋_GB2312" w:cs="仿宋_GB2312"/>
                <w:b/>
                <w:bCs/>
                <w:color w:val="auto"/>
                <w:sz w:val="24"/>
              </w:rPr>
            </w:pPr>
          </w:p>
        </w:tc>
        <w:tc>
          <w:tcPr>
            <w:tcW w:w="1487" w:type="dxa"/>
            <w:noWrap w:val="0"/>
            <w:vAlign w:val="center"/>
          </w:tcPr>
          <w:p w14:paraId="2BFE36E7">
            <w:pPr>
              <w:widowControl/>
              <w:spacing w:line="0" w:lineRule="atLeast"/>
              <w:jc w:val="center"/>
              <w:textAlignment w:val="top"/>
              <w:rPr>
                <w:rFonts w:hint="default" w:ascii="仿宋_GB2312" w:hAnsi="仿宋_GB2312" w:cs="仿宋_GB2312"/>
                <w:i w:val="0"/>
                <w:iCs w:val="0"/>
                <w:color w:val="auto"/>
                <w:kern w:val="0"/>
                <w:sz w:val="24"/>
                <w:szCs w:val="24"/>
                <w:u w:val="none"/>
                <w:lang w:val="en-US" w:eastAsia="zh-CN" w:bidi="ar"/>
              </w:rPr>
            </w:pPr>
            <w:r>
              <w:rPr>
                <w:rFonts w:hint="eastAsia" w:ascii="仿宋_GB2312" w:hAnsi="仿宋_GB2312" w:cs="仿宋_GB2312"/>
                <w:i w:val="0"/>
                <w:iCs w:val="0"/>
                <w:color w:val="auto"/>
                <w:kern w:val="0"/>
                <w:sz w:val="24"/>
                <w:szCs w:val="24"/>
                <w:u w:val="none"/>
                <w:lang w:val="en-US" w:eastAsia="zh-CN" w:bidi="ar"/>
              </w:rPr>
              <w:t>数据标注与质检</w:t>
            </w:r>
          </w:p>
        </w:tc>
        <w:tc>
          <w:tcPr>
            <w:tcW w:w="4100" w:type="dxa"/>
            <w:noWrap w:val="0"/>
            <w:vAlign w:val="center"/>
          </w:tcPr>
          <w:p w14:paraId="39E541EC">
            <w:pPr>
              <w:widowControl/>
              <w:spacing w:line="0" w:lineRule="atLeast"/>
              <w:jc w:val="left"/>
              <w:textAlignment w:val="top"/>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能使用数据标注平台，对用户话语进行意图分类</w:t>
            </w:r>
          </w:p>
          <w:p w14:paraId="5C329F04">
            <w:pPr>
              <w:widowControl/>
              <w:spacing w:line="0" w:lineRule="atLeast"/>
              <w:jc w:val="left"/>
              <w:textAlignment w:val="top"/>
              <w:rPr>
                <w:rFonts w:hint="eastAsia" w:ascii="仿宋_GB2312" w:hAnsi="仿宋_GB2312" w:cs="仿宋_GB2312"/>
                <w:b/>
                <w:bCs/>
                <w:color w:val="auto"/>
                <w:sz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能在句子中标出人名、地名、机构名等实体的边界，并进行槽位填充</w:t>
            </w:r>
          </w:p>
          <w:p w14:paraId="5C0F4885">
            <w:pPr>
              <w:widowControl/>
              <w:spacing w:line="0" w:lineRule="atLeast"/>
              <w:jc w:val="left"/>
              <w:textAlignment w:val="top"/>
              <w:rPr>
                <w:rFonts w:hint="default"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能通过平台内置的质检功能，核查标注结果</w:t>
            </w:r>
          </w:p>
        </w:tc>
        <w:tc>
          <w:tcPr>
            <w:tcW w:w="1083" w:type="dxa"/>
            <w:vMerge w:val="continue"/>
            <w:noWrap w:val="0"/>
            <w:vAlign w:val="center"/>
          </w:tcPr>
          <w:p w14:paraId="685B7B59">
            <w:pPr>
              <w:widowControl/>
              <w:spacing w:line="0" w:lineRule="atLeast"/>
              <w:jc w:val="center"/>
              <w:textAlignment w:val="top"/>
              <w:rPr>
                <w:rFonts w:hint="eastAsia" w:ascii="仿宋_GB2312" w:hAnsi="仿宋_GB2312" w:cs="仿宋_GB2312"/>
                <w:b/>
                <w:caps/>
                <w:color w:val="auto"/>
                <w:sz w:val="24"/>
              </w:rPr>
            </w:pPr>
          </w:p>
        </w:tc>
      </w:tr>
      <w:tr w14:paraId="75BA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5" w:hRule="atLeast"/>
          <w:jc w:val="center"/>
        </w:trPr>
        <w:tc>
          <w:tcPr>
            <w:tcW w:w="1646" w:type="dxa"/>
            <w:gridSpan w:val="2"/>
            <w:vMerge w:val="restart"/>
            <w:noWrap w:val="0"/>
            <w:vAlign w:val="center"/>
          </w:tcPr>
          <w:p w14:paraId="33C99995">
            <w:pPr>
              <w:widowControl/>
              <w:spacing w:line="0" w:lineRule="atLeast"/>
              <w:jc w:val="center"/>
              <w:textAlignment w:val="top"/>
              <w:rPr>
                <w:rFonts w:hint="default" w:ascii="仿宋_GB2312" w:hAnsi="仿宋_GB2312" w:cs="仿宋_GB2312"/>
                <w:b/>
                <w:bCs/>
                <w:color w:val="auto"/>
                <w:sz w:val="24"/>
                <w:lang w:val="en-US"/>
              </w:rPr>
            </w:pPr>
            <w:r>
              <w:rPr>
                <w:rFonts w:hint="eastAsia" w:ascii="仿宋_GB2312" w:hAnsi="仿宋_GB2312" w:cs="仿宋_GB2312"/>
                <w:i w:val="0"/>
                <w:iCs w:val="0"/>
                <w:color w:val="auto"/>
                <w:kern w:val="0"/>
                <w:sz w:val="24"/>
                <w:szCs w:val="24"/>
                <w:u w:val="none"/>
                <w:lang w:val="en-US" w:eastAsia="zh-CN" w:bidi="ar"/>
              </w:rPr>
              <w:t>智能系统运维</w:t>
            </w:r>
          </w:p>
        </w:tc>
        <w:tc>
          <w:tcPr>
            <w:tcW w:w="1487" w:type="dxa"/>
            <w:noWrap w:val="0"/>
            <w:vAlign w:val="center"/>
          </w:tcPr>
          <w:p w14:paraId="47C9D23D">
            <w:pPr>
              <w:widowControl/>
              <w:spacing w:line="0" w:lineRule="atLeast"/>
              <w:jc w:val="center"/>
              <w:textAlignment w:val="top"/>
              <w:rPr>
                <w:rFonts w:hint="eastAsia" w:ascii="仿宋_GB2312" w:hAnsi="仿宋_GB2312" w:eastAsia="仿宋_GB2312" w:cs="仿宋_GB2312"/>
                <w:b/>
                <w:bCs/>
                <w:color w:val="auto"/>
                <w:sz w:val="24"/>
                <w:lang w:val="en-US" w:eastAsia="zh-CN"/>
              </w:rPr>
            </w:pPr>
            <w:r>
              <w:rPr>
                <w:rFonts w:hint="eastAsia" w:ascii="仿宋_GB2312" w:hAnsi="仿宋_GB2312" w:cs="仿宋_GB2312"/>
                <w:i w:val="0"/>
                <w:iCs w:val="0"/>
                <w:color w:val="auto"/>
                <w:kern w:val="0"/>
                <w:sz w:val="24"/>
                <w:szCs w:val="24"/>
                <w:u w:val="none"/>
                <w:lang w:val="en-US" w:eastAsia="zh-CN" w:bidi="ar"/>
              </w:rPr>
              <w:t>智能系统维护</w:t>
            </w:r>
          </w:p>
        </w:tc>
        <w:tc>
          <w:tcPr>
            <w:tcW w:w="4100" w:type="dxa"/>
            <w:noWrap w:val="0"/>
            <w:vAlign w:val="center"/>
          </w:tcPr>
          <w:p w14:paraId="0968C5C8">
            <w:pPr>
              <w:widowControl/>
              <w:spacing w:line="0" w:lineRule="atLeast"/>
              <w:jc w:val="left"/>
              <w:textAlignment w:val="top"/>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知识整理方法</w:t>
            </w:r>
          </w:p>
          <w:p w14:paraId="3330DCBD">
            <w:pPr>
              <w:widowControl/>
              <w:spacing w:line="0" w:lineRule="atLeast"/>
              <w:jc w:val="left"/>
              <w:textAlignment w:val="top"/>
              <w:rPr>
                <w:rFonts w:hint="eastAsia" w:ascii="仿宋_GB2312" w:hAnsi="仿宋_GB2312" w:cs="仿宋_GB2312"/>
                <w:b/>
                <w:bCs/>
                <w:color w:val="auto"/>
                <w:sz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数据整理方法</w:t>
            </w:r>
          </w:p>
          <w:p w14:paraId="37F1C570">
            <w:pPr>
              <w:widowControl/>
              <w:spacing w:line="0" w:lineRule="atLeast"/>
              <w:jc w:val="left"/>
              <w:textAlignment w:val="top"/>
              <w:rPr>
                <w:rFonts w:hint="default" w:ascii="仿宋_GB2312" w:hAnsi="仿宋_GB2312" w:cs="仿宋_GB2312"/>
                <w:b/>
                <w:bCs/>
                <w:color w:val="auto"/>
                <w:sz w:val="24"/>
                <w:lang w:val="en-US"/>
              </w:rPr>
            </w:pPr>
            <w:r>
              <w:rPr>
                <w:rFonts w:hint="eastAsia" w:ascii="仿宋_GB2312" w:hAnsi="仿宋_GB2312" w:cs="仿宋_GB2312"/>
                <w:color w:val="auto"/>
                <w:kern w:val="2"/>
                <w:sz w:val="24"/>
                <w:szCs w:val="24"/>
                <w:lang w:val="en-US" w:eastAsia="zh-CN" w:bidi="ar-SA"/>
              </w:rPr>
              <w:t>－</w:t>
            </w:r>
            <w:r>
              <w:rPr>
                <w:rFonts w:hint="eastAsia" w:ascii="仿宋_GB2312" w:hAnsi="仿宋_GB2312" w:cs="仿宋_GB2312"/>
                <w:i w:val="0"/>
                <w:iCs w:val="0"/>
                <w:color w:val="auto"/>
                <w:kern w:val="0"/>
                <w:sz w:val="24"/>
                <w:szCs w:val="24"/>
                <w:u w:val="none"/>
                <w:lang w:val="en-US" w:eastAsia="zh-CN" w:bidi="ar"/>
              </w:rPr>
              <w:t>智能应用方法</w:t>
            </w:r>
          </w:p>
        </w:tc>
        <w:tc>
          <w:tcPr>
            <w:tcW w:w="1083" w:type="dxa"/>
            <w:vMerge w:val="restart"/>
            <w:noWrap w:val="0"/>
            <w:vAlign w:val="center"/>
          </w:tcPr>
          <w:p w14:paraId="4601D0C8">
            <w:pPr>
              <w:keepNext w:val="0"/>
              <w:keepLines w:val="0"/>
              <w:pageBreakBefore w:val="0"/>
              <w:widowControl/>
              <w:suppressLineNumbers w:val="0"/>
              <w:kinsoku/>
              <w:overflowPunct/>
              <w:topLinePunct w:val="0"/>
              <w:autoSpaceDE/>
              <w:autoSpaceDN/>
              <w:bidi w:val="0"/>
              <w:adjustRightInd/>
              <w:spacing w:beforeAutospacing="0" w:afterAutospacing="0" w:line="0" w:lineRule="atLeast"/>
              <w:jc w:val="center"/>
              <w:textAlignment w:val="center"/>
              <w:rPr>
                <w:rFonts w:hint="default" w:ascii="仿宋_GB2312" w:hAnsi="仿宋_GB2312" w:eastAsia="仿宋_GB2312" w:cs="仿宋_GB2312"/>
                <w:b/>
                <w:caps/>
                <w:color w:val="auto"/>
                <w:sz w:val="24"/>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20</w:t>
            </w:r>
          </w:p>
        </w:tc>
      </w:tr>
      <w:tr w14:paraId="6DE0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1646" w:type="dxa"/>
            <w:gridSpan w:val="2"/>
            <w:vMerge w:val="continue"/>
            <w:noWrap w:val="0"/>
            <w:vAlign w:val="center"/>
          </w:tcPr>
          <w:p w14:paraId="0ADBA627">
            <w:pPr>
              <w:widowControl/>
              <w:spacing w:line="0" w:lineRule="atLeast"/>
              <w:jc w:val="center"/>
              <w:textAlignment w:val="top"/>
              <w:rPr>
                <w:rFonts w:hint="eastAsia" w:ascii="仿宋_GB2312" w:hAnsi="仿宋_GB2312" w:cs="仿宋_GB2312"/>
                <w:b/>
                <w:bCs/>
                <w:color w:val="auto"/>
                <w:sz w:val="24"/>
              </w:rPr>
            </w:pPr>
          </w:p>
        </w:tc>
        <w:tc>
          <w:tcPr>
            <w:tcW w:w="1487" w:type="dxa"/>
            <w:noWrap w:val="0"/>
            <w:vAlign w:val="center"/>
          </w:tcPr>
          <w:p w14:paraId="3AE3A292">
            <w:pPr>
              <w:widowControl/>
              <w:spacing w:line="0" w:lineRule="atLeast"/>
              <w:jc w:val="center"/>
              <w:textAlignment w:val="top"/>
              <w:rPr>
                <w:rFonts w:hint="default" w:ascii="仿宋_GB2312" w:hAnsi="仿宋_GB2312" w:cs="仿宋_GB2312"/>
                <w:b/>
                <w:bCs/>
                <w:color w:val="auto"/>
                <w:sz w:val="24"/>
                <w:lang w:val="en-US"/>
              </w:rPr>
            </w:pPr>
            <w:r>
              <w:rPr>
                <w:rFonts w:hint="eastAsia" w:ascii="仿宋_GB2312" w:hAnsi="仿宋_GB2312" w:cs="仿宋_GB2312"/>
                <w:i w:val="0"/>
                <w:iCs w:val="0"/>
                <w:color w:val="auto"/>
                <w:kern w:val="0"/>
                <w:sz w:val="24"/>
                <w:szCs w:val="24"/>
                <w:u w:val="none"/>
                <w:lang w:val="en-US" w:eastAsia="zh-CN" w:bidi="ar"/>
              </w:rPr>
              <w:t>智能系统优化</w:t>
            </w:r>
          </w:p>
        </w:tc>
        <w:tc>
          <w:tcPr>
            <w:tcW w:w="4100" w:type="dxa"/>
            <w:noWrap w:val="0"/>
            <w:vAlign w:val="center"/>
          </w:tcPr>
          <w:p w14:paraId="0C38B610">
            <w:pPr>
              <w:widowControl/>
              <w:spacing w:line="0" w:lineRule="atLeast"/>
              <w:jc w:val="left"/>
              <w:textAlignment w:val="top"/>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数据拆解基础方法</w:t>
            </w:r>
          </w:p>
          <w:p w14:paraId="20377BCE">
            <w:pPr>
              <w:widowControl/>
              <w:spacing w:line="0" w:lineRule="atLeast"/>
              <w:jc w:val="left"/>
              <w:textAlignment w:val="top"/>
              <w:rPr>
                <w:rFonts w:hint="eastAsia" w:ascii="仿宋_GB2312" w:hAnsi="仿宋_GB2312" w:cs="仿宋_GB2312"/>
                <w:b/>
                <w:bCs/>
                <w:color w:val="auto"/>
                <w:sz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数据分析基础方法</w:t>
            </w:r>
          </w:p>
          <w:p w14:paraId="0EDB659C">
            <w:pPr>
              <w:widowControl/>
              <w:spacing w:line="0" w:lineRule="atLeast"/>
              <w:jc w:val="left"/>
              <w:textAlignment w:val="top"/>
              <w:rPr>
                <w:rFonts w:hint="eastAsia" w:ascii="仿宋_GB2312" w:hAnsi="仿宋_GB2312" w:cs="仿宋_GB2312"/>
                <w:b/>
                <w:bCs/>
                <w:color w:val="auto"/>
                <w:sz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i w:val="0"/>
                <w:iCs w:val="0"/>
                <w:color w:val="auto"/>
                <w:kern w:val="0"/>
                <w:sz w:val="24"/>
                <w:szCs w:val="24"/>
                <w:u w:val="none"/>
                <w:lang w:val="en-US" w:eastAsia="zh-CN" w:bidi="ar"/>
              </w:rPr>
              <w:t>数据分析工具使用方法</w:t>
            </w:r>
          </w:p>
        </w:tc>
        <w:tc>
          <w:tcPr>
            <w:tcW w:w="1083" w:type="dxa"/>
            <w:vMerge w:val="continue"/>
            <w:noWrap w:val="0"/>
            <w:vAlign w:val="center"/>
          </w:tcPr>
          <w:p w14:paraId="7420D423">
            <w:pPr>
              <w:widowControl/>
              <w:spacing w:line="0" w:lineRule="atLeast"/>
              <w:jc w:val="center"/>
              <w:textAlignment w:val="top"/>
              <w:rPr>
                <w:rFonts w:hint="eastAsia" w:ascii="仿宋_GB2312" w:hAnsi="仿宋_GB2312" w:cs="仿宋_GB2312"/>
                <w:b/>
                <w:caps/>
                <w:color w:val="auto"/>
                <w:sz w:val="24"/>
              </w:rPr>
            </w:pPr>
          </w:p>
        </w:tc>
      </w:tr>
      <w:tr w14:paraId="41B0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233" w:type="dxa"/>
            <w:gridSpan w:val="4"/>
            <w:noWrap w:val="0"/>
            <w:vAlign w:val="center"/>
          </w:tcPr>
          <w:p w14:paraId="391229AF">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b/>
                <w:bCs/>
                <w:color w:val="auto"/>
                <w:sz w:val="24"/>
              </w:rPr>
              <w:t>合计</w:t>
            </w:r>
            <w:r>
              <w:rPr>
                <w:rFonts w:hint="eastAsia" w:ascii="仿宋_GB2312" w:hAnsi="仿宋_GB2312" w:cs="仿宋_GB2312"/>
                <w:b/>
                <w:bCs/>
                <w:color w:val="auto"/>
                <w:sz w:val="24"/>
              </w:rPr>
              <w:tab/>
            </w:r>
          </w:p>
        </w:tc>
        <w:tc>
          <w:tcPr>
            <w:tcW w:w="1083" w:type="dxa"/>
            <w:noWrap w:val="0"/>
            <w:vAlign w:val="center"/>
          </w:tcPr>
          <w:p w14:paraId="6AA9441F">
            <w:pPr>
              <w:widowControl/>
              <w:spacing w:line="0" w:lineRule="atLeast"/>
              <w:jc w:val="center"/>
              <w:textAlignment w:val="top"/>
              <w:rPr>
                <w:rFonts w:hint="default" w:ascii="仿宋_GB2312" w:hAnsi="仿宋_GB2312" w:eastAsia="仿宋_GB2312" w:cs="仿宋_GB2312"/>
                <w:b/>
                <w:caps/>
                <w:color w:val="auto"/>
                <w:sz w:val="24"/>
                <w:lang w:val="en-US" w:eastAsia="zh-CN"/>
              </w:rPr>
            </w:pPr>
            <w:r>
              <w:rPr>
                <w:rFonts w:hint="eastAsia" w:ascii="仿宋_GB2312" w:hAnsi="仿宋_GB2312" w:cs="仿宋_GB2312"/>
                <w:b/>
                <w:caps/>
                <w:color w:val="auto"/>
                <w:sz w:val="24"/>
                <w:lang w:val="en-US" w:eastAsia="zh-CN"/>
              </w:rPr>
              <w:t>100</w:t>
            </w:r>
          </w:p>
        </w:tc>
      </w:tr>
      <w:tr w14:paraId="0DAB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233" w:type="dxa"/>
            <w:gridSpan w:val="4"/>
            <w:noWrap w:val="0"/>
            <w:vAlign w:val="center"/>
          </w:tcPr>
          <w:p w14:paraId="79B0DD64">
            <w:pPr>
              <w:widowControl/>
              <w:spacing w:line="0" w:lineRule="atLeast"/>
              <w:jc w:val="center"/>
              <w:textAlignment w:val="top"/>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实操能力相关要求</w:t>
            </w:r>
          </w:p>
        </w:tc>
        <w:tc>
          <w:tcPr>
            <w:tcW w:w="1083" w:type="dxa"/>
            <w:noWrap w:val="0"/>
            <w:vAlign w:val="center"/>
          </w:tcPr>
          <w:p w14:paraId="60EE505F">
            <w:pPr>
              <w:pStyle w:val="18"/>
              <w:wordWrap w:val="0"/>
              <w:snapToGrid w:val="0"/>
              <w:spacing w:line="0" w:lineRule="atLeast"/>
              <w:jc w:val="center"/>
              <w:rPr>
                <w:rFonts w:hint="eastAsia" w:ascii="仿宋_GB2312" w:hAnsi="仿宋_GB2312" w:eastAsia="仿宋_GB2312" w:cs="仿宋_GB2312"/>
                <w:b/>
                <w:caps/>
                <w:color w:val="auto"/>
                <w:sz w:val="24"/>
                <w:highlight w:val="none"/>
                <w:lang w:eastAsia="zh-CN"/>
              </w:rPr>
            </w:pPr>
            <w:r>
              <w:rPr>
                <w:rFonts w:hint="eastAsia" w:ascii="仿宋_GB2312" w:hAnsi="仿宋_GB2312" w:eastAsia="仿宋_GB2312" w:cs="仿宋_GB2312"/>
                <w:b/>
                <w:caps/>
                <w:color w:val="auto"/>
                <w:sz w:val="24"/>
                <w:highlight w:val="none"/>
                <w:lang w:eastAsia="zh-CN"/>
              </w:rPr>
              <w:t>权重比例</w:t>
            </w:r>
          </w:p>
          <w:p w14:paraId="22BD56F5">
            <w:pPr>
              <w:widowControl/>
              <w:spacing w:line="0" w:lineRule="atLeast"/>
              <w:jc w:val="center"/>
              <w:textAlignment w:val="top"/>
              <w:rPr>
                <w:rFonts w:hint="eastAsia" w:ascii="仿宋_GB2312" w:hAnsi="仿宋_GB2312" w:cs="仿宋_GB2312"/>
                <w:b/>
                <w:bCs/>
                <w:color w:val="auto"/>
                <w:sz w:val="24"/>
                <w:highlight w:val="none"/>
              </w:rPr>
            </w:pPr>
            <w:r>
              <w:rPr>
                <w:rFonts w:hint="eastAsia" w:ascii="仿宋_GB2312" w:hAnsi="仿宋_GB2312" w:cs="仿宋_GB2312"/>
                <w:b/>
                <w:caps/>
                <w:color w:val="auto"/>
                <w:sz w:val="24"/>
                <w:highlight w:val="none"/>
              </w:rPr>
              <w:t>（%）</w:t>
            </w:r>
          </w:p>
        </w:tc>
      </w:tr>
      <w:tr w14:paraId="0D76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9" w:hRule="atLeast"/>
          <w:jc w:val="center"/>
        </w:trPr>
        <w:tc>
          <w:tcPr>
            <w:tcW w:w="652" w:type="dxa"/>
            <w:vMerge w:val="restart"/>
            <w:noWrap w:val="0"/>
            <w:vAlign w:val="center"/>
          </w:tcPr>
          <w:p w14:paraId="620CCF9A">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数据采集与标注</w:t>
            </w:r>
          </w:p>
        </w:tc>
        <w:tc>
          <w:tcPr>
            <w:tcW w:w="994" w:type="dxa"/>
            <w:noWrap w:val="0"/>
            <w:vAlign w:val="center"/>
          </w:tcPr>
          <w:p w14:paraId="4CB5665C">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数据采集</w:t>
            </w:r>
          </w:p>
        </w:tc>
        <w:tc>
          <w:tcPr>
            <w:tcW w:w="5587" w:type="dxa"/>
            <w:gridSpan w:val="2"/>
            <w:noWrap w:val="0"/>
            <w:vAlign w:val="center"/>
          </w:tcPr>
          <w:p w14:paraId="1979358A">
            <w:pPr>
              <w:keepNext w:val="0"/>
              <w:keepLines w:val="0"/>
              <w:pageBreakBefore w:val="0"/>
              <w:kinsoku/>
              <w:wordWrap w:val="0"/>
              <w:overflowPunct/>
              <w:topLinePunct w:val="0"/>
              <w:autoSpaceDE/>
              <w:autoSpaceDN/>
              <w:bidi w:val="0"/>
              <w:adjustRightInd/>
              <w:spacing w:beforeAutospacing="0" w:afterAutospacing="0" w:line="0" w:lineRule="atLeast"/>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能利用OpenCV正确开启摄像头并获取视频流</w:t>
            </w:r>
          </w:p>
          <w:p w14:paraId="721354C1">
            <w:pPr>
              <w:keepNext w:val="0"/>
              <w:keepLines w:val="0"/>
              <w:pageBreakBefore w:val="0"/>
              <w:kinsoku/>
              <w:wordWrap w:val="0"/>
              <w:overflowPunct/>
              <w:topLinePunct w:val="0"/>
              <w:autoSpaceDE/>
              <w:autoSpaceDN/>
              <w:bidi w:val="0"/>
              <w:adjustRightInd/>
              <w:spacing w:beforeAutospacing="0" w:afterAutospacing="0" w:line="0" w:lineRule="atLeast"/>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能逐帧读取图像并获取总帧数</w:t>
            </w:r>
          </w:p>
          <w:p w14:paraId="4E90C990">
            <w:pPr>
              <w:pStyle w:val="1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能按需保存图像至指定路径，命名规范</w:t>
            </w:r>
          </w:p>
          <w:p w14:paraId="793725F0">
            <w:pPr>
              <w:pStyle w:val="10"/>
              <w:keepNext w:val="0"/>
              <w:keepLines w:val="0"/>
              <w:pageBreakBefore w:val="0"/>
              <w:kinsoku/>
              <w:overflowPunct/>
              <w:topLinePunct w:val="0"/>
              <w:autoSpaceDE/>
              <w:autoSpaceDN/>
              <w:bidi w:val="0"/>
              <w:adjustRightInd/>
              <w:spacing w:beforeAutospacing="0" w:afterAutospacing="0" w:line="0" w:lineRule="atLeast"/>
              <w:rPr>
                <w:rFonts w:hint="eastAsia"/>
                <w:lang w:val="en-US" w:eastAsia="zh-CN"/>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能对图像进行编辑处理</w:t>
            </w:r>
          </w:p>
          <w:p w14:paraId="0CD8BEFE">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程序逻辑清晰，Python语法结构运用得当</w:t>
            </w:r>
          </w:p>
        </w:tc>
        <w:tc>
          <w:tcPr>
            <w:tcW w:w="1083" w:type="dxa"/>
            <w:vMerge w:val="restart"/>
            <w:noWrap w:val="0"/>
            <w:vAlign w:val="center"/>
          </w:tcPr>
          <w:p w14:paraId="2E3981AC">
            <w:pPr>
              <w:pStyle w:val="9"/>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rPr>
              <w:t>40</w:t>
            </w:r>
          </w:p>
        </w:tc>
      </w:tr>
      <w:tr w14:paraId="10AF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8" w:hRule="atLeast"/>
          <w:jc w:val="center"/>
        </w:trPr>
        <w:tc>
          <w:tcPr>
            <w:tcW w:w="652" w:type="dxa"/>
            <w:vMerge w:val="continue"/>
            <w:noWrap w:val="0"/>
            <w:vAlign w:val="center"/>
          </w:tcPr>
          <w:p w14:paraId="592D4FDB">
            <w:pPr>
              <w:pStyle w:val="9"/>
              <w:spacing w:line="0" w:lineRule="atLeast"/>
              <w:jc w:val="center"/>
              <w:textAlignment w:val="center"/>
              <w:rPr>
                <w:rFonts w:hint="eastAsia" w:ascii="仿宋_GB2312" w:hAnsi="仿宋_GB2312" w:cs="仿宋_GB2312"/>
                <w:color w:val="auto"/>
                <w:sz w:val="24"/>
                <w:szCs w:val="24"/>
              </w:rPr>
            </w:pPr>
          </w:p>
        </w:tc>
        <w:tc>
          <w:tcPr>
            <w:tcW w:w="994" w:type="dxa"/>
            <w:noWrap w:val="0"/>
            <w:vAlign w:val="center"/>
          </w:tcPr>
          <w:p w14:paraId="09809054">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数据标注</w:t>
            </w:r>
          </w:p>
        </w:tc>
        <w:tc>
          <w:tcPr>
            <w:tcW w:w="5587" w:type="dxa"/>
            <w:gridSpan w:val="2"/>
            <w:noWrap w:val="0"/>
            <w:vAlign w:val="center"/>
          </w:tcPr>
          <w:p w14:paraId="703768BB">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能根据任务类型选择合适的标注工具（LabelMe）</w:t>
            </w:r>
            <w:r>
              <w:rPr>
                <w:rFonts w:hint="eastAsia" w:ascii="仿宋_GB2312" w:hAnsi="仿宋_GB2312" w:eastAsia="仿宋_GB2312" w:cs="仿宋_GB2312"/>
                <w:color w:val="auto"/>
                <w:kern w:val="2"/>
                <w:sz w:val="24"/>
                <w:szCs w:val="24"/>
                <w:lang w:val="en-US" w:eastAsia="zh-CN" w:bidi="ar-SA"/>
              </w:rPr>
              <w:br w:type="textWrapping"/>
            </w: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能正确导入待标注数据</w:t>
            </w:r>
            <w:r>
              <w:rPr>
                <w:rFonts w:hint="eastAsia" w:ascii="仿宋_GB2312" w:hAnsi="仿宋_GB2312" w:eastAsia="仿宋_GB2312" w:cs="仿宋_GB2312"/>
                <w:color w:val="auto"/>
                <w:kern w:val="2"/>
                <w:sz w:val="24"/>
                <w:szCs w:val="24"/>
                <w:lang w:val="en-US" w:eastAsia="zh-CN" w:bidi="ar-SA"/>
              </w:rPr>
              <w:br w:type="textWrapping"/>
            </w: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能合理配置标注属性（类别、矩形框/多边形等）</w:t>
            </w:r>
            <w:r>
              <w:rPr>
                <w:rFonts w:hint="eastAsia" w:ascii="仿宋_GB2312" w:hAnsi="仿宋_GB2312" w:eastAsia="仿宋_GB2312" w:cs="仿宋_GB2312"/>
                <w:color w:val="auto"/>
                <w:kern w:val="2"/>
                <w:sz w:val="24"/>
                <w:szCs w:val="24"/>
                <w:lang w:val="en-US" w:eastAsia="zh-CN" w:bidi="ar-SA"/>
              </w:rPr>
              <w:br w:type="textWrapping"/>
            </w: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标注质量符合要求（边框紧贴目标、无漏标错标）</w:t>
            </w:r>
            <w:r>
              <w:rPr>
                <w:rFonts w:hint="eastAsia" w:ascii="仿宋_GB2312" w:hAnsi="仿宋_GB2312" w:eastAsia="仿宋_GB2312" w:cs="仿宋_GB2312"/>
                <w:color w:val="auto"/>
                <w:kern w:val="2"/>
                <w:sz w:val="24"/>
                <w:szCs w:val="24"/>
                <w:lang w:val="en-US" w:eastAsia="zh-CN" w:bidi="ar-SA"/>
              </w:rPr>
              <w:br w:type="textWrapping"/>
            </w: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完成数据校验与发布</w:t>
            </w:r>
          </w:p>
        </w:tc>
        <w:tc>
          <w:tcPr>
            <w:tcW w:w="1083" w:type="dxa"/>
            <w:vMerge w:val="continue"/>
            <w:noWrap w:val="0"/>
            <w:vAlign w:val="center"/>
          </w:tcPr>
          <w:p w14:paraId="420D66FB">
            <w:pPr>
              <w:pStyle w:val="9"/>
              <w:spacing w:line="0" w:lineRule="atLeast"/>
              <w:jc w:val="center"/>
              <w:textAlignment w:val="center"/>
              <w:rPr>
                <w:rFonts w:hint="eastAsia" w:ascii="仿宋_GB2312" w:hAnsi="仿宋_GB2312" w:cs="仿宋_GB2312"/>
                <w:color w:val="auto"/>
                <w:sz w:val="24"/>
                <w:szCs w:val="24"/>
              </w:rPr>
            </w:pPr>
          </w:p>
        </w:tc>
      </w:tr>
      <w:tr w14:paraId="074C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2" w:type="dxa"/>
            <w:vMerge w:val="restart"/>
            <w:noWrap w:val="0"/>
            <w:vAlign w:val="center"/>
          </w:tcPr>
          <w:p w14:paraId="37E41913">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数据分析</w:t>
            </w:r>
          </w:p>
        </w:tc>
        <w:tc>
          <w:tcPr>
            <w:tcW w:w="994" w:type="dxa"/>
            <w:noWrap w:val="0"/>
            <w:vAlign w:val="center"/>
          </w:tcPr>
          <w:p w14:paraId="7A1E23AA">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分析整理数据</w:t>
            </w:r>
          </w:p>
        </w:tc>
        <w:tc>
          <w:tcPr>
            <w:tcW w:w="5587" w:type="dxa"/>
            <w:gridSpan w:val="2"/>
            <w:noWrap w:val="0"/>
            <w:vAlign w:val="center"/>
          </w:tcPr>
          <w:p w14:paraId="7CBF6661">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－能使用Python（Pandas）读取CSV、XLSX等数据并检查字段、类型和编码</w:t>
            </w:r>
          </w:p>
          <w:p w14:paraId="6E7172F8">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－能识别并处理重复值、缺失值、异常值和不合理取值</w:t>
            </w:r>
          </w:p>
          <w:p w14:paraId="638FFC5D">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－能统一咨询类别、风险等级和日期时间等字段格式</w:t>
            </w:r>
          </w:p>
          <w:p w14:paraId="6001E048">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－能按要求筛选、排序、合并或拆分数据，并规范保存清洗结果</w:t>
            </w:r>
          </w:p>
        </w:tc>
        <w:tc>
          <w:tcPr>
            <w:tcW w:w="1083" w:type="dxa"/>
            <w:vMerge w:val="restart"/>
            <w:noWrap w:val="0"/>
            <w:vAlign w:val="center"/>
          </w:tcPr>
          <w:p w14:paraId="2BA973EC">
            <w:pPr>
              <w:pStyle w:val="9"/>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rPr>
              <w:t>30</w:t>
            </w:r>
          </w:p>
        </w:tc>
      </w:tr>
      <w:tr w14:paraId="0998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652" w:type="dxa"/>
            <w:vMerge w:val="continue"/>
            <w:noWrap w:val="0"/>
            <w:vAlign w:val="center"/>
          </w:tcPr>
          <w:p w14:paraId="2DB65059">
            <w:pPr>
              <w:pStyle w:val="9"/>
              <w:spacing w:line="0" w:lineRule="atLeast"/>
              <w:jc w:val="center"/>
              <w:textAlignment w:val="center"/>
              <w:rPr>
                <w:rFonts w:hint="eastAsia" w:ascii="仿宋_GB2312" w:hAnsi="仿宋_GB2312" w:cs="仿宋_GB2312"/>
                <w:color w:val="auto"/>
                <w:sz w:val="24"/>
                <w:szCs w:val="24"/>
              </w:rPr>
            </w:pPr>
          </w:p>
        </w:tc>
        <w:tc>
          <w:tcPr>
            <w:tcW w:w="994" w:type="dxa"/>
            <w:noWrap w:val="0"/>
            <w:vAlign w:val="center"/>
          </w:tcPr>
          <w:p w14:paraId="54279AB6">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数据统计</w:t>
            </w:r>
          </w:p>
        </w:tc>
        <w:tc>
          <w:tcPr>
            <w:tcW w:w="5587" w:type="dxa"/>
            <w:gridSpan w:val="2"/>
            <w:noWrap w:val="0"/>
            <w:vAlign w:val="center"/>
          </w:tcPr>
          <w:p w14:paraId="50FDD830">
            <w:pPr>
              <w:autoSpaceDE w:val="0"/>
              <w:autoSpaceDN w:val="0"/>
              <w:adjustRightInd w:val="0"/>
              <w:snapToGrid w:val="0"/>
              <w:spacing w:before="0" w:after="0" w:line="240" w:lineRule="auto"/>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能围绕业务问题确定统计指标和分析维度</w:t>
            </w:r>
          </w:p>
          <w:p w14:paraId="1BEE7EA3">
            <w:pPr>
              <w:autoSpaceDE w:val="0"/>
              <w:autoSpaceDN w:val="0"/>
              <w:adjustRightInd w:val="0"/>
              <w:snapToGrid w:val="0"/>
              <w:spacing w:before="0" w:after="0" w:line="240" w:lineRule="auto"/>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能使用Pandas进行分组、聚合和交叉统计</w:t>
            </w:r>
          </w:p>
          <w:p w14:paraId="0EEE1A39">
            <w:pPr>
              <w:autoSpaceDE w:val="0"/>
              <w:autoSpaceDN w:val="0"/>
              <w:adjustRightInd w:val="0"/>
              <w:snapToGrid w:val="0"/>
              <w:spacing w:before="0" w:after="0" w:line="240" w:lineRule="auto"/>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能统计总量、时间趋势、类别、风险等级、检索结果和满意度等指标</w:t>
            </w:r>
          </w:p>
          <w:p w14:paraId="3DB1597F">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能将统计结果规范输出</w:t>
            </w:r>
          </w:p>
        </w:tc>
        <w:tc>
          <w:tcPr>
            <w:tcW w:w="1083" w:type="dxa"/>
            <w:vMerge w:val="continue"/>
            <w:noWrap w:val="0"/>
            <w:vAlign w:val="center"/>
          </w:tcPr>
          <w:p w14:paraId="66B862F1">
            <w:pPr>
              <w:pStyle w:val="9"/>
              <w:spacing w:line="0" w:lineRule="atLeast"/>
              <w:jc w:val="center"/>
              <w:textAlignment w:val="center"/>
              <w:rPr>
                <w:rFonts w:hint="eastAsia" w:ascii="仿宋_GB2312" w:hAnsi="仿宋_GB2312" w:cs="仿宋_GB2312"/>
                <w:color w:val="auto"/>
                <w:sz w:val="24"/>
                <w:szCs w:val="24"/>
              </w:rPr>
            </w:pPr>
          </w:p>
        </w:tc>
      </w:tr>
      <w:tr w14:paraId="0967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8" w:hRule="atLeast"/>
          <w:jc w:val="center"/>
        </w:trPr>
        <w:tc>
          <w:tcPr>
            <w:tcW w:w="652" w:type="dxa"/>
            <w:vMerge w:val="continue"/>
            <w:noWrap w:val="0"/>
            <w:vAlign w:val="center"/>
          </w:tcPr>
          <w:p w14:paraId="0EA90342">
            <w:pPr>
              <w:pStyle w:val="9"/>
              <w:spacing w:line="0" w:lineRule="atLeast"/>
              <w:jc w:val="center"/>
              <w:textAlignment w:val="center"/>
              <w:rPr>
                <w:rFonts w:hint="eastAsia" w:ascii="仿宋_GB2312" w:hAnsi="仿宋_GB2312" w:cs="仿宋_GB2312"/>
                <w:color w:val="auto"/>
                <w:sz w:val="24"/>
                <w:szCs w:val="24"/>
              </w:rPr>
            </w:pPr>
          </w:p>
        </w:tc>
        <w:tc>
          <w:tcPr>
            <w:tcW w:w="994" w:type="dxa"/>
            <w:noWrap w:val="0"/>
            <w:vAlign w:val="center"/>
          </w:tcPr>
          <w:p w14:paraId="46C7BCF7">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数据可视化</w:t>
            </w:r>
          </w:p>
        </w:tc>
        <w:tc>
          <w:tcPr>
            <w:tcW w:w="5587" w:type="dxa"/>
            <w:gridSpan w:val="2"/>
            <w:noWrap w:val="0"/>
            <w:vAlign w:val="center"/>
          </w:tcPr>
          <w:p w14:paraId="3A76BA23">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－能根据分析目标选择柱状图、折线图、饼图（或环形图）等图表</w:t>
            </w:r>
          </w:p>
          <w:p w14:paraId="5651C80A">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－能保</w:t>
            </w:r>
            <w:r>
              <w:rPr>
                <w:rFonts w:hint="eastAsia" w:ascii="仿宋_GB2312" w:hAnsi="仿宋_GB2312" w:cs="仿宋_GB2312"/>
                <w:color w:val="auto"/>
                <w:kern w:val="2"/>
                <w:sz w:val="24"/>
                <w:szCs w:val="24"/>
                <w:highlight w:val="none"/>
                <w:lang w:val="en-US" w:eastAsia="zh-CN" w:bidi="ar-SA"/>
              </w:rPr>
              <w:t>证图表数据准确</w:t>
            </w:r>
            <w:r>
              <w:rPr>
                <w:rFonts w:hint="eastAsia" w:ascii="仿宋_GB2312" w:hAnsi="仿宋_GB2312" w:cs="仿宋_GB2312"/>
                <w:color w:val="auto"/>
                <w:kern w:val="2"/>
                <w:sz w:val="24"/>
                <w:szCs w:val="24"/>
                <w:lang w:val="en-US" w:eastAsia="zh-CN" w:bidi="ar-SA"/>
              </w:rPr>
              <w:t>，标题、坐标轴、图例、标签和单位完整清晰</w:t>
            </w:r>
          </w:p>
          <w:p w14:paraId="63FFBBEB">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－能依据统计结果识别</w:t>
            </w:r>
            <w:r>
              <w:rPr>
                <w:rFonts w:hint="eastAsia" w:ascii="仿宋_GB2312" w:hAnsi="仿宋_GB2312" w:cs="仿宋_GB2312"/>
                <w:color w:val="auto"/>
                <w:kern w:val="2"/>
                <w:sz w:val="24"/>
                <w:szCs w:val="24"/>
                <w:highlight w:val="none"/>
                <w:lang w:val="en-US" w:eastAsia="zh-CN" w:bidi="ar-SA"/>
              </w:rPr>
              <w:t>类别</w:t>
            </w:r>
            <w:r>
              <w:rPr>
                <w:rFonts w:hint="eastAsia" w:ascii="仿宋_GB2312" w:hAnsi="仿宋_GB2312" w:cs="仿宋_GB2312"/>
                <w:color w:val="auto"/>
                <w:kern w:val="2"/>
                <w:sz w:val="24"/>
                <w:szCs w:val="24"/>
                <w:lang w:val="en-US" w:eastAsia="zh-CN" w:bidi="ar-SA"/>
              </w:rPr>
              <w:t>、高风险症状召回、知识库检索和满意度等问题</w:t>
            </w:r>
          </w:p>
          <w:p w14:paraId="0CFEC8A6">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－能形成有数据依据的结论和不少于2项可执行的优化建议</w:t>
            </w:r>
          </w:p>
        </w:tc>
        <w:tc>
          <w:tcPr>
            <w:tcW w:w="1083" w:type="dxa"/>
            <w:vMerge w:val="continue"/>
            <w:noWrap w:val="0"/>
            <w:vAlign w:val="center"/>
          </w:tcPr>
          <w:p w14:paraId="5F84ECC8">
            <w:pPr>
              <w:pStyle w:val="9"/>
              <w:spacing w:line="0" w:lineRule="atLeast"/>
              <w:jc w:val="center"/>
              <w:textAlignment w:val="center"/>
              <w:rPr>
                <w:rFonts w:hint="eastAsia" w:ascii="仿宋_GB2312" w:hAnsi="仿宋_GB2312" w:cs="仿宋_GB2312"/>
                <w:color w:val="auto"/>
                <w:sz w:val="24"/>
                <w:szCs w:val="24"/>
              </w:rPr>
            </w:pPr>
          </w:p>
        </w:tc>
      </w:tr>
      <w:tr w14:paraId="312A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1" w:hRule="atLeast"/>
          <w:jc w:val="center"/>
        </w:trPr>
        <w:tc>
          <w:tcPr>
            <w:tcW w:w="652" w:type="dxa"/>
            <w:vMerge w:val="restart"/>
            <w:noWrap w:val="0"/>
            <w:vAlign w:val="center"/>
          </w:tcPr>
          <w:p w14:paraId="42B213C2">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智能系统设计</w:t>
            </w:r>
          </w:p>
        </w:tc>
        <w:tc>
          <w:tcPr>
            <w:tcW w:w="994" w:type="dxa"/>
            <w:noWrap w:val="0"/>
            <w:vAlign w:val="center"/>
          </w:tcPr>
          <w:p w14:paraId="25EE1932">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智能系统需求分析</w:t>
            </w:r>
          </w:p>
        </w:tc>
        <w:tc>
          <w:tcPr>
            <w:tcW w:w="5587" w:type="dxa"/>
            <w:gridSpan w:val="2"/>
            <w:noWrap w:val="0"/>
            <w:vAlign w:val="center"/>
          </w:tcPr>
          <w:p w14:paraId="23ECD350">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－分析智慧博物馆智能语音导览系统的业务需求；</w:t>
            </w:r>
          </w:p>
          <w:p w14:paraId="16B0BF22">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－明确系统面向游客提供的主要功能，包括多语言讲解、个性化推荐、智能问答等；</w:t>
            </w:r>
          </w:p>
          <w:p w14:paraId="76217834">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－分析系统应用场景、用户需求及可能存在的问题。</w:t>
            </w:r>
          </w:p>
        </w:tc>
        <w:tc>
          <w:tcPr>
            <w:tcW w:w="1083" w:type="dxa"/>
            <w:vMerge w:val="restart"/>
            <w:noWrap w:val="0"/>
            <w:vAlign w:val="center"/>
          </w:tcPr>
          <w:p w14:paraId="34B7D4F7">
            <w:pPr>
              <w:pStyle w:val="9"/>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rPr>
              <w:t>30</w:t>
            </w:r>
          </w:p>
        </w:tc>
      </w:tr>
      <w:tr w14:paraId="4453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6" w:hRule="atLeast"/>
          <w:jc w:val="center"/>
        </w:trPr>
        <w:tc>
          <w:tcPr>
            <w:tcW w:w="652" w:type="dxa"/>
            <w:vMerge w:val="continue"/>
            <w:noWrap w:val="0"/>
            <w:vAlign w:val="center"/>
          </w:tcPr>
          <w:p w14:paraId="47DF811D">
            <w:pPr>
              <w:pStyle w:val="9"/>
              <w:spacing w:line="0" w:lineRule="atLeast"/>
              <w:jc w:val="center"/>
              <w:textAlignment w:val="center"/>
              <w:rPr>
                <w:rFonts w:hint="eastAsia" w:ascii="仿宋_GB2312" w:hAnsi="仿宋_GB2312" w:cs="仿宋_GB2312"/>
                <w:color w:val="auto"/>
                <w:sz w:val="24"/>
                <w:szCs w:val="24"/>
              </w:rPr>
            </w:pPr>
          </w:p>
        </w:tc>
        <w:tc>
          <w:tcPr>
            <w:tcW w:w="994" w:type="dxa"/>
            <w:noWrap w:val="0"/>
            <w:vAlign w:val="center"/>
          </w:tcPr>
          <w:p w14:paraId="442714E5">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人工智能技术方案设计</w:t>
            </w:r>
          </w:p>
        </w:tc>
        <w:tc>
          <w:tcPr>
            <w:tcW w:w="5587" w:type="dxa"/>
            <w:gridSpan w:val="2"/>
            <w:noWrap w:val="0"/>
            <w:vAlign w:val="center"/>
          </w:tcPr>
          <w:p w14:paraId="6B21E8F8">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－设计智能语音导览系统总体技术架构；</w:t>
            </w:r>
          </w:p>
          <w:p w14:paraId="6C34A5E5">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－说明大语言模型（LLM）、语音识别（ASR）、语音合成（TTS）、知识库等人工智能技术在系统中的作用；</w:t>
            </w:r>
          </w:p>
          <w:p w14:paraId="1515ADC7">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kern w:val="2"/>
                <w:sz w:val="24"/>
                <w:szCs w:val="24"/>
                <w:lang w:val="en-US" w:eastAsia="zh-CN" w:bidi="ar-SA"/>
              </w:rPr>
              <w:t>－设计用户数据、知识数据和模型服务之间的数据处理流程。</w:t>
            </w:r>
          </w:p>
        </w:tc>
        <w:tc>
          <w:tcPr>
            <w:tcW w:w="1083" w:type="dxa"/>
            <w:vMerge w:val="continue"/>
            <w:noWrap w:val="0"/>
            <w:vAlign w:val="center"/>
          </w:tcPr>
          <w:p w14:paraId="2A4FE977">
            <w:pPr>
              <w:pStyle w:val="9"/>
              <w:spacing w:line="0" w:lineRule="atLeast"/>
              <w:jc w:val="center"/>
              <w:textAlignment w:val="center"/>
              <w:rPr>
                <w:rFonts w:hint="eastAsia" w:ascii="仿宋_GB2312" w:hAnsi="仿宋_GB2312" w:cs="仿宋_GB2312"/>
                <w:color w:val="auto"/>
                <w:sz w:val="24"/>
                <w:szCs w:val="24"/>
              </w:rPr>
            </w:pPr>
          </w:p>
        </w:tc>
      </w:tr>
      <w:tr w14:paraId="5FD6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9" w:hRule="atLeast"/>
          <w:jc w:val="center"/>
        </w:trPr>
        <w:tc>
          <w:tcPr>
            <w:tcW w:w="652" w:type="dxa"/>
            <w:vMerge w:val="continue"/>
            <w:noWrap w:val="0"/>
            <w:vAlign w:val="center"/>
          </w:tcPr>
          <w:p w14:paraId="1BD0EAEA">
            <w:pPr>
              <w:pStyle w:val="9"/>
              <w:spacing w:line="0" w:lineRule="atLeast"/>
              <w:jc w:val="center"/>
              <w:textAlignment w:val="center"/>
              <w:rPr>
                <w:rFonts w:hint="eastAsia" w:ascii="仿宋_GB2312" w:hAnsi="仿宋_GB2312" w:cs="仿宋_GB2312"/>
                <w:color w:val="auto"/>
                <w:sz w:val="24"/>
                <w:szCs w:val="24"/>
              </w:rPr>
            </w:pPr>
          </w:p>
        </w:tc>
        <w:tc>
          <w:tcPr>
            <w:tcW w:w="994" w:type="dxa"/>
            <w:noWrap w:val="0"/>
            <w:vAlign w:val="center"/>
          </w:tcPr>
          <w:p w14:paraId="3E681D75">
            <w:pPr>
              <w:pStyle w:val="9"/>
              <w:spacing w:line="0" w:lineRule="atLeast"/>
              <w:jc w:val="center"/>
              <w:textAlignment w:val="center"/>
              <w:rPr>
                <w:rFonts w:hint="default" w:ascii="仿宋_GB2312" w:hAnsi="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智能交互与系统优化方案设计</w:t>
            </w:r>
          </w:p>
        </w:tc>
        <w:tc>
          <w:tcPr>
            <w:tcW w:w="5587" w:type="dxa"/>
            <w:gridSpan w:val="2"/>
            <w:noWrap w:val="0"/>
            <w:vAlign w:val="center"/>
          </w:tcPr>
          <w:p w14:paraId="2A1C3162">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－设计游客与智能导览系统的人机交互流程；</w:t>
            </w:r>
          </w:p>
          <w:p w14:paraId="26E2392F">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－分析游客浏览记录、停留时间、语音提问内容、用户评价等数据应用方式；</w:t>
            </w:r>
          </w:p>
          <w:p w14:paraId="262F4C79">
            <w:pPr>
              <w:pStyle w:val="9"/>
              <w:spacing w:line="0" w:lineRule="atLeast"/>
              <w:textAlignment w:val="center"/>
              <w:rPr>
                <w:rFonts w:hint="eastAsia"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－根据分析结果提出系统优化措施，提高用户体验。</w:t>
            </w:r>
          </w:p>
        </w:tc>
        <w:tc>
          <w:tcPr>
            <w:tcW w:w="1083" w:type="dxa"/>
            <w:vMerge w:val="continue"/>
            <w:noWrap w:val="0"/>
            <w:vAlign w:val="center"/>
          </w:tcPr>
          <w:p w14:paraId="1FD9F1E9">
            <w:pPr>
              <w:pStyle w:val="9"/>
              <w:spacing w:line="0" w:lineRule="atLeast"/>
              <w:jc w:val="center"/>
              <w:textAlignment w:val="center"/>
              <w:rPr>
                <w:rFonts w:hint="eastAsia" w:ascii="仿宋_GB2312" w:hAnsi="仿宋_GB2312" w:cs="仿宋_GB2312"/>
                <w:color w:val="auto"/>
                <w:sz w:val="24"/>
                <w:szCs w:val="24"/>
              </w:rPr>
            </w:pPr>
          </w:p>
        </w:tc>
      </w:tr>
      <w:tr w14:paraId="6BC0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233" w:type="dxa"/>
            <w:gridSpan w:val="4"/>
            <w:noWrap w:val="0"/>
            <w:vAlign w:val="center"/>
          </w:tcPr>
          <w:p w14:paraId="2B0D7568">
            <w:pPr>
              <w:pStyle w:val="9"/>
              <w:spacing w:line="0" w:lineRule="atLeast"/>
              <w:jc w:val="center"/>
              <w:textAlignment w:val="center"/>
              <w:rPr>
                <w:rFonts w:hint="eastAsia" w:ascii="仿宋_GB2312" w:hAnsi="仿宋_GB2312" w:cs="仿宋_GB2312"/>
                <w:b/>
                <w:bCs/>
                <w:color w:val="auto"/>
                <w:sz w:val="24"/>
                <w:szCs w:val="24"/>
              </w:rPr>
            </w:pPr>
            <w:r>
              <w:rPr>
                <w:rFonts w:hint="eastAsia" w:ascii="仿宋_GB2312" w:hAnsi="仿宋_GB2312" w:cs="仿宋_GB2312"/>
                <w:b/>
                <w:bCs/>
                <w:color w:val="auto"/>
                <w:sz w:val="24"/>
                <w:szCs w:val="24"/>
              </w:rPr>
              <w:t>合计</w:t>
            </w:r>
          </w:p>
        </w:tc>
        <w:tc>
          <w:tcPr>
            <w:tcW w:w="1083" w:type="dxa"/>
            <w:noWrap w:val="0"/>
            <w:vAlign w:val="center"/>
          </w:tcPr>
          <w:p w14:paraId="6A821C45">
            <w:pPr>
              <w:pStyle w:val="9"/>
              <w:spacing w:line="0" w:lineRule="atLeast"/>
              <w:jc w:val="center"/>
              <w:textAlignment w:val="center"/>
              <w:rPr>
                <w:rFonts w:hint="eastAsia" w:ascii="仿宋_GB2312" w:hAnsi="仿宋_GB2312" w:cs="仿宋_GB2312"/>
                <w:b/>
                <w:bCs/>
                <w:color w:val="auto"/>
                <w:sz w:val="24"/>
                <w:szCs w:val="24"/>
              </w:rPr>
            </w:pPr>
            <w:r>
              <w:rPr>
                <w:rFonts w:hint="eastAsia" w:ascii="仿宋_GB2312" w:hAnsi="仿宋_GB2312" w:cs="仿宋_GB2312"/>
                <w:b/>
                <w:bCs/>
                <w:color w:val="auto"/>
                <w:sz w:val="24"/>
                <w:szCs w:val="24"/>
              </w:rPr>
              <w:t>100</w:t>
            </w:r>
          </w:p>
        </w:tc>
      </w:tr>
    </w:tbl>
    <w:p w14:paraId="64A714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二、试题</w:t>
      </w:r>
      <w:r>
        <w:rPr>
          <w:rFonts w:hint="default" w:ascii="Times New Roman" w:hAnsi="Times New Roman" w:eastAsia="黑体" w:cs="Times New Roman"/>
          <w:bCs/>
          <w:color w:val="auto"/>
          <w:sz w:val="32"/>
          <w:szCs w:val="32"/>
          <w:highlight w:val="none"/>
        </w:rPr>
        <w:t>及</w:t>
      </w:r>
      <w:r>
        <w:rPr>
          <w:rFonts w:ascii="Times New Roman" w:hAnsi="Times New Roman" w:eastAsia="黑体" w:cs="Times New Roman"/>
          <w:bCs/>
          <w:color w:val="auto"/>
          <w:sz w:val="32"/>
          <w:szCs w:val="32"/>
          <w:highlight w:val="none"/>
        </w:rPr>
        <w:t>评判标准</w:t>
      </w:r>
    </w:p>
    <w:p w14:paraId="21CE58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（一）试题</w:t>
      </w:r>
    </w:p>
    <w:p w14:paraId="73151404">
      <w:pPr>
        <w:keepNext w:val="0"/>
        <w:keepLines w:val="0"/>
        <w:pageBreakBefore w:val="0"/>
        <w:widowControl/>
        <w:suppressLineNumbers w:val="0"/>
        <w:kinsoku/>
        <w:wordWrap w:val="0"/>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1.初赛采用半公开试题的命题方式进行。报名开始后执委会</w:t>
      </w:r>
      <w:r>
        <w:rPr>
          <w:rFonts w:hint="eastAsia" w:ascii="仿宋_GB2312" w:hAnsi="仿宋_GB2312" w:cs="仿宋_GB2312"/>
          <w:color w:val="auto"/>
          <w:highlight w:val="none"/>
        </w:rPr>
        <w:t>通过群通知的方式统一</w:t>
      </w:r>
      <w:r>
        <w:rPr>
          <w:rFonts w:hint="eastAsia" w:ascii="仿宋_GB2312" w:hAnsi="仿宋_GB2312" w:eastAsia="仿宋_GB2312" w:cs="仿宋_GB2312"/>
          <w:color w:val="auto"/>
          <w:highlight w:val="none"/>
          <w:lang w:val="en-US" w:eastAsia="zh-CN"/>
        </w:rPr>
        <w:t>公布500道理论题库，供参赛自主学习使用。</w:t>
      </w:r>
    </w:p>
    <w:p w14:paraId="0F66A980">
      <w:pPr>
        <w:keepNext w:val="0"/>
        <w:keepLines w:val="0"/>
        <w:pageBreakBefore w:val="0"/>
        <w:widowControl/>
        <w:suppressLineNumbers w:val="0"/>
        <w:kinsoku/>
        <w:wordWrap w:val="0"/>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val="en-US" w:eastAsia="zh-CN"/>
        </w:rPr>
        <w:t>决赛采用半公开试题的方式，选手按赛场提供的实操任务书以现场实际操作的方式完成</w:t>
      </w:r>
      <w:r>
        <w:rPr>
          <w:rFonts w:hint="default" w:ascii="仿宋_GB2312" w:hAnsi="仿宋_GB2312" w:eastAsia="仿宋_GB2312" w:cs="仿宋_GB2312"/>
          <w:color w:val="auto"/>
          <w:highlight w:val="none"/>
          <w:lang w:val="en-US" w:eastAsia="zh-CN"/>
        </w:rPr>
        <w:t>模块A“数据采集与标注”、模块B“数据分析”、模块C“智能系统</w:t>
      </w:r>
      <w:r>
        <w:rPr>
          <w:rFonts w:hint="eastAsia" w:ascii="仿宋_GB2312" w:hAnsi="仿宋_GB2312" w:eastAsia="仿宋_GB2312" w:cs="仿宋_GB2312"/>
          <w:color w:val="auto"/>
          <w:highlight w:val="none"/>
          <w:lang w:val="en-US" w:eastAsia="zh-CN"/>
        </w:rPr>
        <w:t>设计</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三个模块实操项目。要求选手遵守国家法律法规和行业规范，具有良好的职业道德和素养，爱岗敬业，恪守行业规范，掌握</w:t>
      </w:r>
      <w:r>
        <w:rPr>
          <w:rFonts w:hint="default" w:ascii="仿宋_GB2312" w:hAnsi="仿宋_GB2312" w:eastAsia="仿宋_GB2312" w:cs="仿宋_GB2312"/>
          <w:color w:val="auto"/>
          <w:highlight w:val="none"/>
          <w:lang w:val="en-US" w:eastAsia="zh-CN"/>
        </w:rPr>
        <w:t>在真实业务场景中的数据处理、工具应用、质量控制、系统构建、测试优化和规范化交付能力，并综合评价其职业素养、数据安全意识、风险识别能力及问题解决能力。</w:t>
      </w:r>
    </w:p>
    <w:p w14:paraId="69599B77">
      <w:pPr>
        <w:pStyle w:val="2"/>
        <w:rPr>
          <w:rFonts w:hint="default" w:ascii="仿宋_GB2312" w:hAnsi="仿宋_GB2312" w:cs="仿宋_GB2312"/>
          <w:color w:val="auto"/>
          <w:highlight w:val="none"/>
        </w:rPr>
      </w:pPr>
      <w:r>
        <w:rPr>
          <w:rFonts w:hint="default" w:ascii="仿宋_GB2312" w:hAnsi="仿宋_GB2312" w:cs="仿宋_GB2312"/>
          <w:color w:val="auto"/>
          <w:highlight w:val="none"/>
        </w:rPr>
        <w:t>样题在初赛结束后的2天内，由执委会通过群通知的方式统一提供给进入决赛的选手。决</w:t>
      </w:r>
      <w:bookmarkStart w:id="0" w:name="_GoBack"/>
      <w:bookmarkEnd w:id="0"/>
      <w:r>
        <w:rPr>
          <w:rFonts w:hint="default" w:ascii="仿宋_GB2312" w:hAnsi="仿宋_GB2312" w:cs="仿宋_GB2312"/>
          <w:color w:val="auto"/>
          <w:highlight w:val="none"/>
        </w:rPr>
        <w:t>赛正式赛题，赛前裁判长组织专家对样题做不超过30%的修改。</w:t>
      </w:r>
    </w:p>
    <w:p w14:paraId="47B1A2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（二）比赛时间及试题具体内容</w:t>
      </w:r>
    </w:p>
    <w:p w14:paraId="5CA70FFE">
      <w:pPr>
        <w:keepNext w:val="0"/>
        <w:keepLines w:val="0"/>
        <w:pageBreakBefore w:val="0"/>
        <w:widowControl/>
        <w:suppressLineNumbers w:val="0"/>
        <w:kinsoku/>
        <w:wordWrap w:val="0"/>
        <w:overflowPunct/>
        <w:topLinePunct w:val="0"/>
        <w:autoSpaceDE/>
        <w:autoSpaceDN/>
        <w:bidi w:val="0"/>
        <w:spacing w:line="580" w:lineRule="exact"/>
        <w:ind w:firstLine="643" w:firstLineChars="200"/>
        <w:jc w:val="left"/>
        <w:textAlignment w:val="auto"/>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lang w:eastAsia="zh-CN"/>
        </w:rPr>
        <w:t>比赛时间安排</w:t>
      </w:r>
    </w:p>
    <w:tbl>
      <w:tblPr>
        <w:tblStyle w:val="15"/>
        <w:tblW w:w="48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6"/>
        <w:gridCol w:w="1390"/>
        <w:gridCol w:w="3429"/>
        <w:gridCol w:w="1069"/>
      </w:tblGrid>
      <w:tr w14:paraId="1D0E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0" w:type="pct"/>
            <w:noWrap w:val="0"/>
            <w:vAlign w:val="center"/>
          </w:tcPr>
          <w:p w14:paraId="4EEE3347">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赛程</w:t>
            </w:r>
          </w:p>
        </w:tc>
        <w:tc>
          <w:tcPr>
            <w:tcW w:w="845" w:type="pct"/>
            <w:noWrap w:val="0"/>
            <w:vAlign w:val="center"/>
          </w:tcPr>
          <w:p w14:paraId="2B42463A">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方式</w:t>
            </w:r>
          </w:p>
        </w:tc>
        <w:tc>
          <w:tcPr>
            <w:tcW w:w="2734" w:type="pct"/>
            <w:gridSpan w:val="2"/>
            <w:noWrap w:val="0"/>
            <w:vAlign w:val="center"/>
          </w:tcPr>
          <w:p w14:paraId="6E546BFE">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时间（分钟）</w:t>
            </w:r>
          </w:p>
        </w:tc>
      </w:tr>
      <w:tr w14:paraId="4ED6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0" w:type="pct"/>
            <w:noWrap w:val="0"/>
            <w:vAlign w:val="center"/>
          </w:tcPr>
          <w:p w14:paraId="51EF7723">
            <w:pPr>
              <w:spacing w:line="0" w:lineRule="atLeast"/>
              <w:jc w:val="center"/>
              <w:rPr>
                <w:rFonts w:hint="eastAsia" w:ascii="仿宋_GB2312" w:hAnsi="仿宋_GB2312" w:cs="仿宋_GB2312"/>
                <w:b/>
                <w:bCs/>
                <w:sz w:val="24"/>
                <w:szCs w:val="24"/>
                <w:lang w:val="en-US" w:eastAsia="zh-CN"/>
              </w:rPr>
            </w:pPr>
            <w:r>
              <w:rPr>
                <w:rFonts w:hint="default" w:ascii="仿宋_GB2312" w:hAnsi="仿宋_GB2312" w:cs="仿宋_GB2312"/>
                <w:b/>
                <w:bCs/>
                <w:sz w:val="24"/>
                <w:szCs w:val="24"/>
                <w:lang w:val="en-US" w:eastAsia="zh-CN"/>
              </w:rPr>
              <w:t>初赛</w:t>
            </w:r>
          </w:p>
          <w:p w14:paraId="3B495DFA">
            <w:pPr>
              <w:spacing w:line="0" w:lineRule="atLeast"/>
              <w:jc w:val="center"/>
              <w:rPr>
                <w:rFonts w:hint="default"/>
                <w:sz w:val="24"/>
                <w:szCs w:val="24"/>
                <w:lang w:val="en" w:eastAsia="zh-CN"/>
              </w:rPr>
            </w:pPr>
            <w:r>
              <w:rPr>
                <w:rFonts w:hint="eastAsia" w:ascii="仿宋_GB2312" w:hAnsi="仿宋_GB2312" w:cs="仿宋_GB2312"/>
                <w:sz w:val="24"/>
                <w:szCs w:val="24"/>
                <w:lang w:val="en-US" w:eastAsia="zh-CN"/>
              </w:rPr>
              <w:t>（理论知识）</w:t>
            </w:r>
          </w:p>
        </w:tc>
        <w:tc>
          <w:tcPr>
            <w:tcW w:w="845" w:type="pct"/>
            <w:noWrap w:val="0"/>
            <w:vAlign w:val="center"/>
          </w:tcPr>
          <w:p w14:paraId="6636483F">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上机考核</w:t>
            </w:r>
          </w:p>
        </w:tc>
        <w:tc>
          <w:tcPr>
            <w:tcW w:w="2734" w:type="pct"/>
            <w:gridSpan w:val="2"/>
            <w:noWrap w:val="0"/>
            <w:vAlign w:val="center"/>
          </w:tcPr>
          <w:p w14:paraId="196EDC2A">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9</w:t>
            </w:r>
            <w:r>
              <w:rPr>
                <w:rFonts w:hint="eastAsia" w:ascii="仿宋_GB2312" w:hAnsi="仿宋_GB2312" w:eastAsia="仿宋_GB2312" w:cs="仿宋_GB2312"/>
                <w:kern w:val="2"/>
                <w:sz w:val="24"/>
                <w:szCs w:val="24"/>
                <w:lang w:val="en-US" w:eastAsia="zh-CN" w:bidi="ar-SA"/>
              </w:rPr>
              <w:t>0</w:t>
            </w:r>
          </w:p>
        </w:tc>
      </w:tr>
      <w:tr w14:paraId="67EC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0" w:type="pct"/>
            <w:vMerge w:val="restart"/>
            <w:noWrap w:val="0"/>
            <w:vAlign w:val="center"/>
          </w:tcPr>
          <w:p w14:paraId="691F84A4">
            <w:pPr>
              <w:pStyle w:val="9"/>
              <w:wordWrap w:val="0"/>
              <w:spacing w:line="0" w:lineRule="atLeast"/>
              <w:jc w:val="center"/>
              <w:rPr>
                <w:rFonts w:hint="default" w:ascii="仿宋_GB2312" w:hAnsi="仿宋_GB2312" w:cs="仿宋_GB2312"/>
                <w:b/>
                <w:bCs/>
                <w:kern w:val="2"/>
                <w:sz w:val="24"/>
                <w:szCs w:val="24"/>
                <w:highlight w:val="none"/>
                <w:lang w:val="en-US" w:eastAsia="zh-CN" w:bidi="ar-SA"/>
              </w:rPr>
            </w:pPr>
            <w:r>
              <w:rPr>
                <w:rFonts w:hint="default" w:ascii="仿宋_GB2312" w:hAnsi="仿宋_GB2312" w:cs="仿宋_GB2312"/>
                <w:b/>
                <w:bCs/>
                <w:sz w:val="24"/>
                <w:szCs w:val="24"/>
                <w:highlight w:val="none"/>
                <w:lang w:val="en-US" w:eastAsia="zh-CN"/>
              </w:rPr>
              <w:t>决赛</w:t>
            </w:r>
          </w:p>
          <w:p w14:paraId="145E68C7">
            <w:pPr>
              <w:pStyle w:val="9"/>
              <w:wordWrap w:val="0"/>
              <w:spacing w:line="0" w:lineRule="atLeast"/>
              <w:jc w:val="center"/>
              <w:rPr>
                <w:rFonts w:hint="eastAsia"/>
                <w:sz w:val="24"/>
                <w:szCs w:val="24"/>
                <w:highlight w:val="none"/>
                <w:lang w:val="en-US" w:eastAsia="zh-CN"/>
              </w:rPr>
            </w:pPr>
            <w:r>
              <w:rPr>
                <w:rFonts w:hint="eastAsia" w:ascii="仿宋_GB2312" w:hAnsi="仿宋_GB2312" w:cs="仿宋_GB2312"/>
                <w:kern w:val="2"/>
                <w:sz w:val="24"/>
                <w:szCs w:val="24"/>
                <w:highlight w:val="none"/>
                <w:lang w:val="en-US" w:eastAsia="zh-CN" w:bidi="ar-SA"/>
              </w:rPr>
              <w:t>（</w:t>
            </w:r>
            <w:r>
              <w:rPr>
                <w:rFonts w:hint="eastAsia" w:ascii="仿宋_GB2312" w:hAnsi="仿宋_GB2312" w:eastAsia="仿宋_GB2312" w:cs="仿宋_GB2312"/>
                <w:kern w:val="2"/>
                <w:sz w:val="24"/>
                <w:szCs w:val="24"/>
                <w:highlight w:val="none"/>
                <w:lang w:val="en-US" w:eastAsia="zh-CN" w:bidi="ar-SA"/>
              </w:rPr>
              <w:t>实际操作</w:t>
            </w:r>
            <w:r>
              <w:rPr>
                <w:rFonts w:hint="eastAsia" w:ascii="仿宋_GB2312" w:hAnsi="仿宋_GB2312" w:cs="仿宋_GB2312"/>
                <w:kern w:val="2"/>
                <w:sz w:val="24"/>
                <w:szCs w:val="24"/>
                <w:highlight w:val="none"/>
                <w:lang w:val="en-US" w:eastAsia="zh-CN" w:bidi="ar-SA"/>
              </w:rPr>
              <w:t>）</w:t>
            </w:r>
          </w:p>
        </w:tc>
        <w:tc>
          <w:tcPr>
            <w:tcW w:w="845" w:type="pct"/>
            <w:vMerge w:val="restart"/>
            <w:noWrap w:val="0"/>
            <w:vAlign w:val="center"/>
          </w:tcPr>
          <w:p w14:paraId="5135C39A">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现场实操</w:t>
            </w:r>
          </w:p>
        </w:tc>
        <w:tc>
          <w:tcPr>
            <w:tcW w:w="2084" w:type="pct"/>
            <w:noWrap w:val="0"/>
            <w:vAlign w:val="center"/>
          </w:tcPr>
          <w:p w14:paraId="2DD6EA14">
            <w:pPr>
              <w:pStyle w:val="9"/>
              <w:keepNext w:val="0"/>
              <w:keepLines w:val="0"/>
              <w:pageBreakBefore w:val="0"/>
              <w:widowControl w:val="0"/>
              <w:kinsoku/>
              <w:wordWrap w:val="0"/>
              <w:overflowPunct/>
              <w:topLinePunct w:val="0"/>
              <w:autoSpaceDE/>
              <w:autoSpaceDN/>
              <w:bidi w:val="0"/>
              <w:adjustRightInd/>
              <w:snapToGrid/>
              <w:spacing w:line="0" w:lineRule="atLeast"/>
              <w:jc w:val="left"/>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 w:eastAsia="zh-CN" w:bidi="ar-SA"/>
              </w:rPr>
              <w:t>模块A：</w:t>
            </w:r>
            <w:r>
              <w:rPr>
                <w:rFonts w:hint="eastAsia" w:ascii="仿宋_GB2312" w:hAnsi="仿宋_GB2312" w:cs="仿宋_GB2312"/>
                <w:kern w:val="2"/>
                <w:sz w:val="24"/>
                <w:szCs w:val="24"/>
                <w:highlight w:val="none"/>
                <w:lang w:val="en-US" w:eastAsia="zh-CN" w:bidi="ar-SA"/>
              </w:rPr>
              <w:t>数据采集与标注</w:t>
            </w:r>
          </w:p>
        </w:tc>
        <w:tc>
          <w:tcPr>
            <w:tcW w:w="649" w:type="pct"/>
            <w:vMerge w:val="restart"/>
            <w:noWrap w:val="0"/>
            <w:vAlign w:val="center"/>
          </w:tcPr>
          <w:p w14:paraId="323A4515">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cs="仿宋_GB2312"/>
                <w:kern w:val="2"/>
                <w:sz w:val="24"/>
                <w:szCs w:val="24"/>
                <w:highlight w:val="none"/>
                <w:lang w:val="en-US" w:eastAsia="zh-CN" w:bidi="ar-SA"/>
              </w:rPr>
              <w:t>180</w:t>
            </w:r>
          </w:p>
        </w:tc>
      </w:tr>
      <w:tr w14:paraId="7FB1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0" w:type="pct"/>
            <w:vMerge w:val="continue"/>
            <w:noWrap w:val="0"/>
            <w:vAlign w:val="center"/>
          </w:tcPr>
          <w:p w14:paraId="3F28197C">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845" w:type="pct"/>
            <w:vMerge w:val="continue"/>
            <w:noWrap w:val="0"/>
            <w:vAlign w:val="center"/>
          </w:tcPr>
          <w:p w14:paraId="345404FD">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2084" w:type="pct"/>
            <w:noWrap w:val="0"/>
            <w:vAlign w:val="center"/>
          </w:tcPr>
          <w:p w14:paraId="3F7F4C09">
            <w:pPr>
              <w:pStyle w:val="9"/>
              <w:keepNext w:val="0"/>
              <w:keepLines w:val="0"/>
              <w:pageBreakBefore w:val="0"/>
              <w:widowControl w:val="0"/>
              <w:kinsoku/>
              <w:wordWrap w:val="0"/>
              <w:overflowPunct/>
              <w:topLinePunct w:val="0"/>
              <w:autoSpaceDE/>
              <w:autoSpaceDN/>
              <w:bidi w:val="0"/>
              <w:adjustRightInd/>
              <w:snapToGrid/>
              <w:spacing w:line="0" w:lineRule="atLeast"/>
              <w:jc w:val="left"/>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 w:eastAsia="zh-CN" w:bidi="ar-SA"/>
              </w:rPr>
              <w:t>模块B：</w:t>
            </w:r>
            <w:r>
              <w:rPr>
                <w:rFonts w:hint="eastAsia" w:ascii="仿宋_GB2312" w:hAnsi="仿宋_GB2312" w:cs="仿宋_GB2312"/>
                <w:kern w:val="2"/>
                <w:sz w:val="24"/>
                <w:szCs w:val="24"/>
                <w:highlight w:val="none"/>
                <w:lang w:val="en-US" w:eastAsia="zh-CN" w:bidi="ar-SA"/>
              </w:rPr>
              <w:t>数据分析</w:t>
            </w:r>
          </w:p>
        </w:tc>
        <w:tc>
          <w:tcPr>
            <w:tcW w:w="649" w:type="pct"/>
            <w:vMerge w:val="continue"/>
            <w:noWrap w:val="0"/>
            <w:vAlign w:val="center"/>
          </w:tcPr>
          <w:p w14:paraId="47A21D7A">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highlight w:val="none"/>
                <w:lang w:val="en-US" w:eastAsia="zh-CN" w:bidi="ar-SA"/>
              </w:rPr>
            </w:pPr>
          </w:p>
        </w:tc>
      </w:tr>
      <w:tr w14:paraId="3B7B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0" w:type="pct"/>
            <w:vMerge w:val="continue"/>
            <w:noWrap w:val="0"/>
            <w:vAlign w:val="center"/>
          </w:tcPr>
          <w:p w14:paraId="28CC0C37">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845" w:type="pct"/>
            <w:vMerge w:val="continue"/>
            <w:noWrap w:val="0"/>
            <w:vAlign w:val="center"/>
          </w:tcPr>
          <w:p w14:paraId="5DCD87B3">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2084" w:type="pct"/>
            <w:noWrap w:val="0"/>
            <w:vAlign w:val="center"/>
          </w:tcPr>
          <w:p w14:paraId="5A19AAD4">
            <w:pPr>
              <w:pStyle w:val="9"/>
              <w:keepNext w:val="0"/>
              <w:keepLines w:val="0"/>
              <w:pageBreakBefore w:val="0"/>
              <w:widowControl w:val="0"/>
              <w:kinsoku/>
              <w:wordWrap w:val="0"/>
              <w:overflowPunct/>
              <w:topLinePunct w:val="0"/>
              <w:autoSpaceDE/>
              <w:autoSpaceDN/>
              <w:bidi w:val="0"/>
              <w:adjustRightInd/>
              <w:snapToGrid/>
              <w:spacing w:line="0" w:lineRule="atLeast"/>
              <w:jc w:val="left"/>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 w:eastAsia="zh-CN" w:bidi="ar-SA"/>
              </w:rPr>
              <w:t>模块</w:t>
            </w:r>
            <w:r>
              <w:rPr>
                <w:rFonts w:hint="eastAsia" w:ascii="仿宋_GB2312" w:hAnsi="仿宋_GB2312" w:eastAsia="仿宋_GB2312" w:cs="仿宋_GB2312"/>
                <w:kern w:val="2"/>
                <w:sz w:val="24"/>
                <w:szCs w:val="24"/>
                <w:highlight w:val="none"/>
                <w:lang w:val="en-US" w:eastAsia="zh-CN" w:bidi="ar-SA"/>
              </w:rPr>
              <w:t>C：</w:t>
            </w:r>
            <w:r>
              <w:rPr>
                <w:rFonts w:hint="eastAsia" w:ascii="仿宋_GB2312" w:hAnsi="仿宋_GB2312" w:cs="仿宋_GB2312"/>
                <w:kern w:val="2"/>
                <w:sz w:val="24"/>
                <w:szCs w:val="24"/>
                <w:highlight w:val="none"/>
                <w:lang w:val="en-US" w:eastAsia="zh-CN" w:bidi="ar-SA"/>
              </w:rPr>
              <w:t>智能系统设计</w:t>
            </w:r>
          </w:p>
        </w:tc>
        <w:tc>
          <w:tcPr>
            <w:tcW w:w="649" w:type="pct"/>
            <w:vMerge w:val="continue"/>
            <w:noWrap w:val="0"/>
            <w:vAlign w:val="center"/>
          </w:tcPr>
          <w:p w14:paraId="5A7C25EC">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highlight w:val="none"/>
                <w:lang w:val="en-US" w:eastAsia="zh-CN" w:bidi="ar-SA"/>
              </w:rPr>
            </w:pPr>
          </w:p>
        </w:tc>
      </w:tr>
    </w:tbl>
    <w:p w14:paraId="5A506E7D">
      <w:pPr>
        <w:keepNext w:val="0"/>
        <w:keepLines w:val="0"/>
        <w:pageBreakBefore w:val="0"/>
        <w:widowControl/>
        <w:suppressLineNumbers w:val="0"/>
        <w:kinsoku/>
        <w:wordWrap w:val="0"/>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lang w:eastAsia="zh-CN"/>
        </w:rPr>
        <w:t>2.初赛试题。</w:t>
      </w:r>
      <w:r>
        <w:rPr>
          <w:rFonts w:hint="default" w:ascii="Times New Roman" w:hAnsi="Times New Roman" w:eastAsia="仿宋_GB2312" w:cs="Times New Roman"/>
          <w:b w:val="0"/>
          <w:bCs w:val="0"/>
          <w:color w:val="auto"/>
          <w:sz w:val="32"/>
          <w:szCs w:val="32"/>
          <w:highlight w:val="none"/>
        </w:rPr>
        <w:t>采用计算机</w:t>
      </w:r>
      <w:r>
        <w:rPr>
          <w:rFonts w:hint="eastAsia" w:cs="Times New Roman"/>
          <w:b w:val="0"/>
          <w:bCs w:val="0"/>
          <w:color w:val="auto"/>
          <w:sz w:val="32"/>
          <w:szCs w:val="32"/>
          <w:highlight w:val="none"/>
          <w:lang w:val="en-US" w:eastAsia="zh-CN"/>
        </w:rPr>
        <w:t>竞赛系统</w:t>
      </w:r>
      <w:r>
        <w:rPr>
          <w:rFonts w:hint="eastAsia" w:ascii="仿宋_GB2312" w:hAnsi="仿宋_GB2312" w:eastAsia="仿宋_GB2312" w:cs="仿宋_GB2312"/>
          <w:highlight w:val="none"/>
          <w:lang w:eastAsia="zh-CN"/>
        </w:rPr>
        <w:t>从公布的题库中随机抽取试卷题量的70%和命题专家现场编制的30%组成正式赛题。</w:t>
      </w:r>
      <w:r>
        <w:rPr>
          <w:rFonts w:hint="eastAsia" w:cs="Times New Roman"/>
          <w:b w:val="0"/>
          <w:bCs w:val="0"/>
          <w:color w:val="auto"/>
          <w:sz w:val="32"/>
          <w:szCs w:val="32"/>
          <w:highlight w:val="none"/>
          <w:lang w:val="en-US" w:eastAsia="zh-CN"/>
        </w:rPr>
        <w:t>主要考核</w:t>
      </w:r>
      <w:r>
        <w:rPr>
          <w:rFonts w:hint="eastAsia" w:ascii="仿宋_GB2312" w:hAnsi="仿宋_GB2312" w:eastAsia="仿宋_GB2312" w:cs="仿宋_GB2312"/>
          <w:color w:val="auto"/>
          <w:sz w:val="32"/>
          <w:szCs w:val="32"/>
          <w:highlight w:val="none"/>
          <w:lang w:val="en-US" w:eastAsia="zh-CN"/>
        </w:rPr>
        <w:t>职业道德</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基础知识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cs="仿宋_GB2312"/>
          <w:b w:val="0"/>
          <w:bCs w:val="0"/>
          <w:color w:val="auto"/>
          <w:sz w:val="32"/>
          <w:szCs w:val="32"/>
          <w:highlight w:val="none"/>
          <w:lang w:val="en-US" w:eastAsia="zh-CN"/>
        </w:rPr>
        <w:t>数据采集和处理、数据标注、智能系统运维</w:t>
      </w:r>
      <w:r>
        <w:rPr>
          <w:rFonts w:hint="eastAsia" w:cs="Times New Roman"/>
          <w:b w:val="0"/>
          <w:bCs w:val="0"/>
          <w:color w:val="auto"/>
          <w:sz w:val="32"/>
          <w:szCs w:val="32"/>
          <w:highlight w:val="none"/>
          <w:lang w:val="en-US" w:eastAsia="zh-CN"/>
        </w:rPr>
        <w:t>的理论知识，</w:t>
      </w:r>
      <w:r>
        <w:rPr>
          <w:rFonts w:hint="eastAsia" w:ascii="仿宋_GB2312" w:hAnsi="仿宋_GB2312" w:eastAsia="仿宋_GB2312" w:cs="仿宋_GB2312"/>
          <w:highlight w:val="none"/>
          <w:lang w:eastAsia="zh-CN"/>
        </w:rPr>
        <w:t>题型为单选题、多选题、判断题，满分为100分。其中，单选题</w:t>
      </w:r>
      <w:r>
        <w:rPr>
          <w:rFonts w:hint="eastAsia" w:ascii="仿宋_GB2312" w:hAnsi="仿宋_GB2312" w:cs="仿宋_GB2312"/>
          <w:highlight w:val="none"/>
          <w:lang w:val="en-US" w:eastAsia="zh-CN"/>
        </w:rPr>
        <w:t>70</w:t>
      </w:r>
      <w:r>
        <w:rPr>
          <w:rFonts w:hint="eastAsia" w:ascii="仿宋_GB2312" w:hAnsi="仿宋_GB2312" w:eastAsia="仿宋_GB2312" w:cs="仿宋_GB2312"/>
          <w:highlight w:val="none"/>
          <w:lang w:eastAsia="zh-CN"/>
        </w:rPr>
        <w:t>题，每题</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lang w:eastAsia="zh-CN"/>
        </w:rPr>
        <w:t>分；多选题</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lang w:eastAsia="zh-CN"/>
        </w:rPr>
        <w:t>题，每题</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lang w:eastAsia="zh-CN"/>
        </w:rPr>
        <w:t>分；判断题</w:t>
      </w:r>
      <w:r>
        <w:rPr>
          <w:rFonts w:hint="eastAsia" w:ascii="仿宋_GB2312" w:hAnsi="仿宋_GB2312" w:eastAsia="仿宋_GB2312" w:cs="仿宋_GB2312"/>
          <w:highlight w:val="none"/>
          <w:lang w:val="en-US" w:eastAsia="zh-CN"/>
        </w:rPr>
        <w:t>20</w:t>
      </w:r>
      <w:r>
        <w:rPr>
          <w:rFonts w:hint="eastAsia" w:ascii="仿宋_GB2312" w:hAnsi="仿宋_GB2312" w:eastAsia="仿宋_GB2312" w:cs="仿宋_GB2312"/>
          <w:highlight w:val="none"/>
          <w:lang w:eastAsia="zh-CN"/>
        </w:rPr>
        <w:t>题，每题</w:t>
      </w:r>
      <w:r>
        <w:rPr>
          <w:rFonts w:hint="eastAsia" w:ascii="仿宋_GB2312" w:hAnsi="仿宋_GB2312" w:cs="仿宋_GB2312"/>
          <w:highlight w:val="none"/>
          <w:lang w:val="en-US" w:eastAsia="zh-CN"/>
        </w:rPr>
        <w:t>0.5</w:t>
      </w:r>
      <w:r>
        <w:rPr>
          <w:rFonts w:hint="eastAsia" w:ascii="仿宋_GB2312" w:hAnsi="仿宋_GB2312" w:eastAsia="仿宋_GB2312" w:cs="仿宋_GB2312"/>
          <w:highlight w:val="none"/>
          <w:lang w:eastAsia="zh-CN"/>
        </w:rPr>
        <w:t>分。</w:t>
      </w:r>
    </w:p>
    <w:p w14:paraId="4B5BC71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.决赛试题。</w:t>
      </w:r>
      <w:r>
        <w:rPr>
          <w:rFonts w:hint="eastAsia" w:ascii="Times New Roman" w:hAnsi="Times New Roman" w:eastAsia="仿宋_GB2312" w:cs="Times New Roman"/>
          <w:b w:val="0"/>
          <w:bCs w:val="0"/>
          <w:color w:val="auto"/>
          <w:sz w:val="32"/>
          <w:szCs w:val="32"/>
          <w:highlight w:val="none"/>
        </w:rPr>
        <w:t>选手按赛场提供的实操任务书以现场实际操作的方式完成</w:t>
      </w:r>
      <w:r>
        <w:rPr>
          <w:rFonts w:hint="eastAsia" w:ascii="Times New Roman" w:hAnsi="Times New Roman" w:eastAsia="仿宋_GB2312" w:cs="Times New Roman"/>
          <w:b w:val="0"/>
          <w:bCs w:val="0"/>
          <w:color w:val="auto"/>
          <w:sz w:val="32"/>
          <w:szCs w:val="32"/>
          <w:highlight w:val="none"/>
          <w:lang w:val="en-US" w:eastAsia="zh-CN"/>
        </w:rPr>
        <w:t>数据采集与标注</w:t>
      </w:r>
      <w:r>
        <w:rPr>
          <w:rFonts w:hint="eastAsia"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数据分析</w:t>
      </w:r>
      <w:r>
        <w:rPr>
          <w:rFonts w:hint="eastAsia"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智能系统设计</w:t>
      </w:r>
      <w:r>
        <w:rPr>
          <w:rFonts w:hint="eastAsia" w:ascii="Times New Roman" w:hAnsi="Times New Roman" w:eastAsia="仿宋_GB2312" w:cs="Times New Roman"/>
          <w:b w:val="0"/>
          <w:bCs w:val="0"/>
          <w:color w:val="auto"/>
          <w:sz w:val="32"/>
          <w:szCs w:val="32"/>
          <w:highlight w:val="none"/>
          <w:lang w:eastAsia="zh-CN"/>
        </w:rPr>
        <w:t>三个模块。</w:t>
      </w:r>
    </w:p>
    <w:p w14:paraId="4B73046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color w:val="auto"/>
          <w:kern w:val="2"/>
          <w:sz w:val="32"/>
          <w:szCs w:val="24"/>
          <w:highlight w:val="none"/>
          <w:lang w:val="en-US" w:eastAsia="zh-CN" w:bidi="ar-SA"/>
        </w:rPr>
      </w:pPr>
      <w:r>
        <w:rPr>
          <w:rFonts w:hint="eastAsia" w:ascii="仿宋_GB2312" w:hAnsi="仿宋_GB2312" w:eastAsia="仿宋_GB2312" w:cs="仿宋_GB2312"/>
          <w:b/>
          <w:bCs/>
          <w:kern w:val="2"/>
          <w:sz w:val="32"/>
          <w:szCs w:val="24"/>
          <w:highlight w:val="none"/>
          <w:lang w:val="en-US" w:eastAsia="zh-CN" w:bidi="ar-SA"/>
        </w:rPr>
        <w:t>模块A：</w:t>
      </w:r>
      <w:r>
        <w:rPr>
          <w:rFonts w:hint="eastAsia" w:ascii="仿宋_GB2312" w:hAnsi="仿宋_GB2312" w:cs="仿宋_GB2312"/>
          <w:b/>
          <w:bCs/>
          <w:kern w:val="2"/>
          <w:sz w:val="32"/>
          <w:szCs w:val="24"/>
          <w:highlight w:val="none"/>
          <w:lang w:val="en-US" w:eastAsia="zh-CN" w:bidi="ar-SA"/>
        </w:rPr>
        <w:t>数据采集与标注</w:t>
      </w:r>
    </w:p>
    <w:p w14:paraId="0374F3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选手需依据真实场景完成从数据采集到标注的流程任务。首先利用Python与OpenCV采集并处理目标图像数据，基于人工智能开发平台完成数据标注任务。该模块主要考核选手对数据采集、标注工具使用、数据质量控制的综合能力。参赛选手需要掌握以下但不限于以下技能：</w:t>
      </w:r>
    </w:p>
    <w:p w14:paraId="43B850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（1）根据任务需求制定数据采集方案并采集目标数据；</w:t>
      </w:r>
    </w:p>
    <w:p w14:paraId="7C0000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（2）利用OpenCV开启摄像头进行实时采集；</w:t>
      </w:r>
    </w:p>
    <w:p w14:paraId="57500E5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（3）利用OpenCV逐帧读取图像数据；</w:t>
      </w:r>
    </w:p>
    <w:p w14:paraId="2F7664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（4）利用OpenCV读取图像或视频的总帧数；</w:t>
      </w:r>
    </w:p>
    <w:p w14:paraId="7113FB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（5）利用OpenCV对图像进行编辑与按指定路径、格式和命名规则保存采集图像；</w:t>
      </w:r>
    </w:p>
    <w:p w14:paraId="4394872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（6）根据任务类型选择合适的标注工具；</w:t>
      </w:r>
    </w:p>
    <w:p w14:paraId="3143FE7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（7）导入待标注数据并完成标注任务；</w:t>
      </w:r>
    </w:p>
    <w:p w14:paraId="0A9D76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（8）配置标注属性，确保标注准确性与一致性；</w:t>
      </w:r>
    </w:p>
    <w:p w14:paraId="75B929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（9）完成标注数据的校验与发布；</w:t>
      </w:r>
    </w:p>
    <w:p w14:paraId="362712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（10）保存标注结果并导出到目标文件。</w:t>
      </w:r>
    </w:p>
    <w:p w14:paraId="6A10819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kern w:val="2"/>
          <w:sz w:val="32"/>
          <w:szCs w:val="24"/>
          <w:highlight w:val="none"/>
          <w:lang w:val="en-US" w:eastAsia="zh-CN" w:bidi="ar-SA"/>
        </w:rPr>
      </w:pPr>
      <w:r>
        <w:rPr>
          <w:rFonts w:hint="eastAsia" w:ascii="仿宋_GB2312" w:hAnsi="仿宋_GB2312" w:eastAsia="仿宋_GB2312" w:cs="仿宋_GB2312"/>
          <w:b/>
          <w:bCs/>
          <w:kern w:val="2"/>
          <w:sz w:val="32"/>
          <w:szCs w:val="24"/>
          <w:highlight w:val="none"/>
          <w:lang w:val="en-US" w:eastAsia="zh-CN" w:bidi="ar-SA"/>
        </w:rPr>
        <w:t>模块B：数据分析</w:t>
      </w:r>
    </w:p>
    <w:p w14:paraId="2CD4E4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智能医疗咨询系统试运行后，形成了用户咨询数据、标注数据、知识库检索记录和用户反馈等业务数据。针对咨询类别识别错误、高风险症状遗漏、知识库检索不准确及用户满意度下降等问题，选手需使用Python等工具完成数据读取、质量检查、清洗整理、拆解统计、可视化和问题诊断，形成可追溯的分析结果，为模块C的知识库维护、工作流调整和系统优化提供依据。参赛选手需要掌握以下但不限于以下技能：</w:t>
      </w:r>
    </w:p>
    <w:p w14:paraId="7DB71B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（1）数据读取与质量检查：</w:t>
      </w:r>
    </w:p>
    <w:p w14:paraId="46A297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检查数据文件是否能够正常读取，核对字段名称、数据类型和编码；识别并删除重复记录，保留必要的原始索引或唯一标识；识别并处理缺失值、异常值和不合理取值等；统一咨询类别、风险等级和日期格式等；按指定目录、格式和命名规则保存清洗后的数据，确保原始数据可追溯。</w:t>
      </w:r>
    </w:p>
    <w:p w14:paraId="1F54B2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（2）数据统计</w:t>
      </w:r>
    </w:p>
    <w:p w14:paraId="724D93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统计咨询数据总量；按日或按周统计咨询数量，分析时间变化趋势；统计不同咨询类别、风险等级、检索结果和满意度等指标的数量及占比；使用Python分组聚合完成统计，并将结果保存到命名清晰的不同工作表中。</w:t>
      </w:r>
    </w:p>
    <w:p w14:paraId="6CF366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（3）数据可视化</w:t>
      </w:r>
    </w:p>
    <w:p w14:paraId="30256C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根据分析目标选择柱状图、饼图或环形图等展示类别和风险分布；风险等级分布图；每日咨询数量变化折线图；图表数据应与统计结果一致，并设置清晰的标题、坐标轴、图例、数据标签等。</w:t>
      </w:r>
    </w:p>
    <w:p w14:paraId="3FF5633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kern w:val="2"/>
          <w:sz w:val="32"/>
          <w:szCs w:val="24"/>
          <w:highlight w:val="none"/>
          <w:lang w:val="en-US" w:eastAsia="zh-CN" w:bidi="ar-SA"/>
        </w:rPr>
      </w:pPr>
      <w:r>
        <w:rPr>
          <w:rFonts w:hint="eastAsia" w:ascii="仿宋_GB2312" w:hAnsi="仿宋_GB2312" w:eastAsia="仿宋_GB2312" w:cs="仿宋_GB2312"/>
          <w:b/>
          <w:bCs/>
          <w:kern w:val="2"/>
          <w:sz w:val="32"/>
          <w:szCs w:val="24"/>
          <w:highlight w:val="none"/>
          <w:lang w:val="en-US" w:eastAsia="zh-CN" w:bidi="ar-SA"/>
        </w:rPr>
        <w:t>模块C：智能系统设计</w:t>
      </w:r>
    </w:p>
    <w:p w14:paraId="512BB6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某智慧博物馆正在建设智能语音导览系统，系统基于大语言模型（LLM）、语音识别、语音合成、知识库等人工智能技术，为游客提供个性化、多语言、实时交互的展览讲解服务。系统主要实现以下目标：</w:t>
      </w:r>
    </w:p>
    <w:p w14:paraId="6AD541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（1）多语言智能讲解：针对不同国家和地区游客，提供不同语言的展品介绍和语音播报服务。</w:t>
      </w:r>
    </w:p>
    <w:p w14:paraId="2E3044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（2）个性化内容推荐：根据游客兴趣偏好、浏览记录、历史访问情况，为游客推荐相关展品和参观路线。</w:t>
      </w:r>
    </w:p>
    <w:p w14:paraId="3F217A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 xml:space="preserve">（3）智能交互问答：游客可通过语音方式提出问题，系统能够理解用户意图，并结合展品知识信息生成对应回答。 </w:t>
      </w:r>
    </w:p>
    <w:p w14:paraId="34D0083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（4）数据分析与系统优化：系统采集游客浏览展品记录、停留时间、语音提问内容、用户评价等数据，为后续系统优化提供依据。</w:t>
      </w:r>
    </w:p>
    <w:p w14:paraId="1A4BF1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参赛选手需根据智慧博物馆业务需求，完成智能语音导览系统的方案设计与分析。参赛选手需要掌握以下但不限于以下技能：</w:t>
      </w:r>
    </w:p>
    <w:p w14:paraId="21A005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（1）智能应用需求分析能力</w:t>
      </w:r>
    </w:p>
    <w:p w14:paraId="189737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能够根据智慧博物馆业务需求，分析智能语音导览系统的应用目标和用户需求；能够明确系统功能模块，包括语音交互、智能问答、个性化推荐、多语言服务等；能够分析系统应用过程中可能存在的问题和优化方向。</w:t>
      </w:r>
    </w:p>
    <w:p w14:paraId="6A41599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（2）人工智能技术方案设计能力</w:t>
      </w:r>
    </w:p>
    <w:p w14:paraId="000A24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 xml:space="preserve">能够根据业务需求选择合适的人工智能技术；能够说明大语言模型（LLM）、语音识别（ASR）、语音合成（TTS）、知识库等技术在系统中的作用；能够设计智能导览系统总体技术架构和数据处理流程。 </w:t>
      </w:r>
    </w:p>
    <w:p w14:paraId="49F495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（3）智能交互流程设计能力</w:t>
      </w:r>
    </w:p>
    <w:p w14:paraId="5DF73F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 xml:space="preserve">能够设计游客与智能导览系统的人机交互流程；能够描述游客语音输入、语音识别、语义理解、知识查询、答案生成和语音播报等环节；能够分析多轮交互过程中上下文理解和用户体验优化方法。 </w:t>
      </w:r>
    </w:p>
    <w:p w14:paraId="2233FF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（4）用户数据分析与系统优化能力</w:t>
      </w:r>
    </w:p>
    <w:p w14:paraId="6C02F8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lang w:val="en-US" w:eastAsia="zh-CN"/>
        </w:rPr>
      </w:pPr>
      <w:r>
        <w:rPr>
          <w:rFonts w:hint="eastAsia" w:ascii="仿宋_GB2312" w:hAnsi="仿宋_GB2312" w:cs="仿宋_GB2312"/>
          <w:kern w:val="2"/>
          <w:sz w:val="32"/>
          <w:szCs w:val="24"/>
          <w:highlight w:val="none"/>
          <w:lang w:val="en-US" w:eastAsia="zh-CN" w:bidi="ar-SA"/>
        </w:rPr>
        <w:t>能够针对游客浏览记录、停留时间、提问内容、满意度评价等数据设计分析方案；能够利用统计分析或机器学习方法发现游客行为规律；能够提出知识内容优化、推荐策略优化和交互体验优化方案。</w:t>
      </w:r>
    </w:p>
    <w:p w14:paraId="37F690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（三）评判标准</w:t>
      </w:r>
    </w:p>
    <w:p w14:paraId="4EFC6AC3">
      <w:pPr>
        <w:keepNext w:val="0"/>
        <w:keepLines w:val="0"/>
        <w:pageBreakBefore w:val="0"/>
        <w:widowControl/>
        <w:suppressLineNumbers w:val="0"/>
        <w:kinsoku/>
        <w:wordWrap w:val="0"/>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highlight w:val="none"/>
          <w:lang w:eastAsia="zh-CN"/>
        </w:rPr>
      </w:pPr>
      <w:r>
        <w:rPr>
          <w:rFonts w:hint="eastAsia" w:ascii="仿宋_GB2312" w:hAnsi="仿宋_GB2312" w:cs="仿宋_GB2312"/>
          <w:b/>
          <w:bCs/>
          <w:highlight w:val="none"/>
          <w:lang w:val="en-US" w:eastAsia="zh-CN"/>
        </w:rPr>
        <w:t>1.</w:t>
      </w:r>
      <w:r>
        <w:rPr>
          <w:rFonts w:hint="eastAsia" w:ascii="仿宋_GB2312" w:hAnsi="仿宋_GB2312" w:eastAsia="仿宋_GB2312" w:cs="仿宋_GB2312"/>
          <w:b/>
          <w:bCs/>
          <w:highlight w:val="none"/>
          <w:lang w:eastAsia="zh-CN"/>
        </w:rPr>
        <w:t>分数权重</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589"/>
        <w:gridCol w:w="1043"/>
        <w:gridCol w:w="1046"/>
        <w:gridCol w:w="1798"/>
      </w:tblGrid>
      <w:tr w14:paraId="1E1C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12" w:type="pct"/>
            <w:noWrap w:val="0"/>
            <w:vAlign w:val="center"/>
          </w:tcPr>
          <w:p w14:paraId="427A64DC">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cs="仿宋_GB2312"/>
                <w:b/>
                <w:bCs/>
                <w:kern w:val="2"/>
                <w:sz w:val="24"/>
                <w:szCs w:val="24"/>
                <w:lang w:val="en-US" w:eastAsia="zh-CN" w:bidi="ar-SA"/>
              </w:rPr>
              <w:t>赛程</w:t>
            </w:r>
          </w:p>
        </w:tc>
        <w:tc>
          <w:tcPr>
            <w:tcW w:w="2106" w:type="pct"/>
            <w:noWrap w:val="0"/>
            <w:vAlign w:val="center"/>
          </w:tcPr>
          <w:p w14:paraId="11F0FCD2">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考核</w:t>
            </w:r>
            <w:r>
              <w:rPr>
                <w:rFonts w:hint="eastAsia" w:ascii="仿宋_GB2312" w:hAnsi="仿宋_GB2312" w:cs="仿宋_GB2312"/>
                <w:b/>
                <w:bCs/>
                <w:kern w:val="2"/>
                <w:sz w:val="24"/>
                <w:szCs w:val="24"/>
                <w:lang w:val="en-US" w:eastAsia="zh-CN" w:bidi="ar-SA"/>
              </w:rPr>
              <w:t>内容</w:t>
            </w:r>
          </w:p>
        </w:tc>
        <w:tc>
          <w:tcPr>
            <w:tcW w:w="612" w:type="pct"/>
            <w:noWrap w:val="0"/>
            <w:vAlign w:val="center"/>
          </w:tcPr>
          <w:p w14:paraId="43B0E0D7">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cs="仿宋_GB2312"/>
                <w:b/>
                <w:bCs/>
                <w:kern w:val="2"/>
                <w:sz w:val="24"/>
                <w:szCs w:val="24"/>
                <w:lang w:val="en-US" w:eastAsia="zh-CN" w:bidi="ar-SA"/>
              </w:rPr>
              <w:t>配分</w:t>
            </w:r>
          </w:p>
        </w:tc>
        <w:tc>
          <w:tcPr>
            <w:tcW w:w="613" w:type="pct"/>
            <w:noWrap w:val="0"/>
            <w:vAlign w:val="center"/>
          </w:tcPr>
          <w:p w14:paraId="553E0500">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权重</w:t>
            </w:r>
          </w:p>
        </w:tc>
        <w:tc>
          <w:tcPr>
            <w:tcW w:w="1055" w:type="pct"/>
            <w:noWrap w:val="0"/>
            <w:vAlign w:val="center"/>
          </w:tcPr>
          <w:p w14:paraId="10473865">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cs="仿宋_GB2312"/>
                <w:b/>
                <w:bCs/>
                <w:kern w:val="2"/>
                <w:sz w:val="24"/>
                <w:szCs w:val="24"/>
                <w:lang w:val="en-US" w:eastAsia="zh-CN" w:bidi="ar-SA"/>
              </w:rPr>
            </w:pPr>
            <w:r>
              <w:rPr>
                <w:rFonts w:hint="eastAsia" w:ascii="仿宋_GB2312" w:hAnsi="仿宋_GB2312" w:cs="仿宋_GB2312"/>
                <w:b/>
                <w:bCs/>
                <w:kern w:val="2"/>
                <w:sz w:val="24"/>
                <w:szCs w:val="24"/>
                <w:lang w:val="en-US" w:eastAsia="zh-CN" w:bidi="ar-SA"/>
              </w:rPr>
              <w:t>综合排名</w:t>
            </w:r>
          </w:p>
          <w:p w14:paraId="7194C2EF">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cs="仿宋_GB2312"/>
                <w:b/>
                <w:bCs/>
                <w:kern w:val="2"/>
                <w:sz w:val="24"/>
                <w:szCs w:val="24"/>
                <w:lang w:val="en-US" w:eastAsia="zh-CN" w:bidi="ar-SA"/>
              </w:rPr>
              <w:t>配比</w:t>
            </w:r>
          </w:p>
        </w:tc>
      </w:tr>
      <w:tr w14:paraId="291E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12" w:type="pct"/>
            <w:noWrap w:val="0"/>
            <w:vAlign w:val="center"/>
          </w:tcPr>
          <w:p w14:paraId="1F2C72D1">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初赛</w:t>
            </w:r>
          </w:p>
        </w:tc>
        <w:tc>
          <w:tcPr>
            <w:tcW w:w="2106" w:type="pct"/>
            <w:noWrap w:val="0"/>
            <w:vAlign w:val="center"/>
          </w:tcPr>
          <w:p w14:paraId="633C51A8">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理论</w:t>
            </w:r>
          </w:p>
        </w:tc>
        <w:tc>
          <w:tcPr>
            <w:tcW w:w="612" w:type="pct"/>
            <w:noWrap w:val="0"/>
            <w:vAlign w:val="center"/>
          </w:tcPr>
          <w:p w14:paraId="2525F252">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100</w:t>
            </w:r>
          </w:p>
        </w:tc>
        <w:tc>
          <w:tcPr>
            <w:tcW w:w="613" w:type="pct"/>
            <w:noWrap w:val="0"/>
            <w:vAlign w:val="center"/>
          </w:tcPr>
          <w:p w14:paraId="5BA9E3C0">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100%</w:t>
            </w:r>
          </w:p>
        </w:tc>
        <w:tc>
          <w:tcPr>
            <w:tcW w:w="1055" w:type="pct"/>
            <w:noWrap w:val="0"/>
            <w:vAlign w:val="center"/>
          </w:tcPr>
          <w:p w14:paraId="2364E42F">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30%</w:t>
            </w:r>
          </w:p>
        </w:tc>
      </w:tr>
      <w:tr w14:paraId="4EBF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12" w:type="pct"/>
            <w:vMerge w:val="restart"/>
            <w:noWrap w:val="0"/>
            <w:vAlign w:val="center"/>
          </w:tcPr>
          <w:p w14:paraId="13D15785">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决赛</w:t>
            </w:r>
          </w:p>
        </w:tc>
        <w:tc>
          <w:tcPr>
            <w:tcW w:w="2106" w:type="pct"/>
            <w:noWrap w:val="0"/>
            <w:vAlign w:val="center"/>
          </w:tcPr>
          <w:p w14:paraId="3D1E086E">
            <w:pPr>
              <w:pStyle w:val="9"/>
              <w:keepNext w:val="0"/>
              <w:keepLines w:val="0"/>
              <w:pageBreakBefore w:val="0"/>
              <w:widowControl w:val="0"/>
              <w:kinsoku/>
              <w:wordWrap w:val="0"/>
              <w:overflowPunct/>
              <w:topLinePunct w:val="0"/>
              <w:autoSpaceDE/>
              <w:autoSpaceDN/>
              <w:bidi w:val="0"/>
              <w:adjustRightInd/>
              <w:snapToGrid/>
              <w:spacing w:line="0" w:lineRule="atLeast"/>
              <w:jc w:val="left"/>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模块A：数据采集与标注</w:t>
            </w:r>
          </w:p>
        </w:tc>
        <w:tc>
          <w:tcPr>
            <w:tcW w:w="612" w:type="pct"/>
            <w:noWrap w:val="0"/>
            <w:vAlign w:val="center"/>
          </w:tcPr>
          <w:p w14:paraId="2B4EBFC5">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40</w:t>
            </w:r>
          </w:p>
        </w:tc>
        <w:tc>
          <w:tcPr>
            <w:tcW w:w="613" w:type="pct"/>
            <w:vMerge w:val="restart"/>
            <w:noWrap w:val="0"/>
            <w:vAlign w:val="center"/>
          </w:tcPr>
          <w:p w14:paraId="4340789E">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lang w:val="en-US" w:eastAsia="zh-CN" w:bidi="ar-SA"/>
              </w:rPr>
              <w:t>100%</w:t>
            </w:r>
          </w:p>
        </w:tc>
        <w:tc>
          <w:tcPr>
            <w:tcW w:w="1055" w:type="pct"/>
            <w:vMerge w:val="restart"/>
            <w:noWrap w:val="0"/>
            <w:vAlign w:val="center"/>
          </w:tcPr>
          <w:p w14:paraId="79368F5D">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70%</w:t>
            </w:r>
          </w:p>
        </w:tc>
      </w:tr>
      <w:tr w14:paraId="54AC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12" w:type="pct"/>
            <w:vMerge w:val="continue"/>
            <w:noWrap w:val="0"/>
            <w:vAlign w:val="center"/>
          </w:tcPr>
          <w:p w14:paraId="3C340BAF">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2106" w:type="pct"/>
            <w:noWrap w:val="0"/>
            <w:vAlign w:val="center"/>
          </w:tcPr>
          <w:p w14:paraId="18EBAD16">
            <w:pPr>
              <w:pStyle w:val="9"/>
              <w:keepNext w:val="0"/>
              <w:keepLines w:val="0"/>
              <w:pageBreakBefore w:val="0"/>
              <w:widowControl w:val="0"/>
              <w:kinsoku/>
              <w:wordWrap w:val="0"/>
              <w:overflowPunct/>
              <w:topLinePunct w:val="0"/>
              <w:autoSpaceDE/>
              <w:autoSpaceDN/>
              <w:bidi w:val="0"/>
              <w:adjustRightInd/>
              <w:snapToGrid/>
              <w:spacing w:line="0" w:lineRule="atLeast"/>
              <w:jc w:val="left"/>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模块B：数据分析</w:t>
            </w:r>
          </w:p>
        </w:tc>
        <w:tc>
          <w:tcPr>
            <w:tcW w:w="612" w:type="pct"/>
            <w:noWrap w:val="0"/>
            <w:vAlign w:val="center"/>
          </w:tcPr>
          <w:p w14:paraId="70E30671">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30</w:t>
            </w:r>
          </w:p>
        </w:tc>
        <w:tc>
          <w:tcPr>
            <w:tcW w:w="613" w:type="pct"/>
            <w:vMerge w:val="continue"/>
            <w:noWrap w:val="0"/>
            <w:vAlign w:val="center"/>
          </w:tcPr>
          <w:p w14:paraId="293A4A36">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en-US" w:eastAsia="zh-CN" w:bidi="ar-SA"/>
              </w:rPr>
            </w:pPr>
          </w:p>
        </w:tc>
        <w:tc>
          <w:tcPr>
            <w:tcW w:w="1055" w:type="pct"/>
            <w:vMerge w:val="continue"/>
            <w:noWrap w:val="0"/>
            <w:vAlign w:val="center"/>
          </w:tcPr>
          <w:p w14:paraId="765E6BC1">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en-US" w:eastAsia="zh-CN" w:bidi="ar-SA"/>
              </w:rPr>
            </w:pPr>
          </w:p>
        </w:tc>
      </w:tr>
      <w:tr w14:paraId="2146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2" w:type="pct"/>
            <w:vMerge w:val="continue"/>
            <w:noWrap w:val="0"/>
            <w:vAlign w:val="center"/>
          </w:tcPr>
          <w:p w14:paraId="1321792D">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2106" w:type="pct"/>
            <w:noWrap w:val="0"/>
            <w:vAlign w:val="center"/>
          </w:tcPr>
          <w:p w14:paraId="06AC34E6">
            <w:pPr>
              <w:pStyle w:val="9"/>
              <w:keepNext w:val="0"/>
              <w:keepLines w:val="0"/>
              <w:pageBreakBefore w:val="0"/>
              <w:widowControl w:val="0"/>
              <w:kinsoku/>
              <w:wordWrap w:val="0"/>
              <w:overflowPunct/>
              <w:topLinePunct w:val="0"/>
              <w:autoSpaceDE/>
              <w:autoSpaceDN/>
              <w:bidi w:val="0"/>
              <w:adjustRightInd/>
              <w:snapToGrid/>
              <w:spacing w:line="0" w:lineRule="atLeast"/>
              <w:jc w:val="left"/>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模块C：智能系统设计</w:t>
            </w:r>
          </w:p>
        </w:tc>
        <w:tc>
          <w:tcPr>
            <w:tcW w:w="612" w:type="pct"/>
            <w:noWrap w:val="0"/>
            <w:vAlign w:val="center"/>
          </w:tcPr>
          <w:p w14:paraId="7FC0E734">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30</w:t>
            </w:r>
          </w:p>
        </w:tc>
        <w:tc>
          <w:tcPr>
            <w:tcW w:w="613" w:type="pct"/>
            <w:vMerge w:val="continue"/>
            <w:noWrap w:val="0"/>
            <w:vAlign w:val="center"/>
          </w:tcPr>
          <w:p w14:paraId="45217319">
            <w:pPr>
              <w:pStyle w:val="9"/>
              <w:keepNext w:val="0"/>
              <w:keepLines w:val="0"/>
              <w:pageBreakBefore w:val="0"/>
              <w:widowControl w:val="0"/>
              <w:kinsoku/>
              <w:wordWrap w:val="0"/>
              <w:overflowPunct/>
              <w:topLinePunct w:val="0"/>
              <w:autoSpaceDE/>
              <w:autoSpaceDN/>
              <w:bidi w:val="0"/>
              <w:adjustRightInd/>
              <w:snapToGrid/>
              <w:spacing w:line="0" w:lineRule="atLeast"/>
              <w:jc w:val="both"/>
              <w:textAlignment w:val="auto"/>
              <w:rPr>
                <w:rFonts w:hint="eastAsia" w:ascii="仿宋_GB2312" w:hAnsi="仿宋_GB2312" w:eastAsia="仿宋_GB2312" w:cs="仿宋_GB2312"/>
                <w:kern w:val="2"/>
                <w:sz w:val="24"/>
                <w:szCs w:val="24"/>
                <w:highlight w:val="none"/>
                <w:lang w:val="en-US" w:eastAsia="zh-CN" w:bidi="ar-SA"/>
              </w:rPr>
            </w:pPr>
          </w:p>
        </w:tc>
        <w:tc>
          <w:tcPr>
            <w:tcW w:w="1055" w:type="pct"/>
            <w:vMerge w:val="continue"/>
            <w:noWrap w:val="0"/>
            <w:vAlign w:val="center"/>
          </w:tcPr>
          <w:p w14:paraId="17F8FA29">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r>
      <w:tr w14:paraId="4DD0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944" w:type="pct"/>
            <w:gridSpan w:val="4"/>
            <w:noWrap w:val="0"/>
            <w:vAlign w:val="center"/>
          </w:tcPr>
          <w:p w14:paraId="5400B0CD">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总计</w:t>
            </w:r>
          </w:p>
        </w:tc>
        <w:tc>
          <w:tcPr>
            <w:tcW w:w="1055" w:type="pct"/>
            <w:noWrap w:val="0"/>
            <w:vAlign w:val="center"/>
          </w:tcPr>
          <w:p w14:paraId="475BEB06">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r>
    </w:tbl>
    <w:p w14:paraId="6555DC82">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kern w:val="2"/>
          <w:sz w:val="32"/>
          <w:szCs w:val="24"/>
          <w:lang w:val="en-US" w:eastAsia="zh-CN" w:bidi="ar-SA"/>
        </w:rPr>
        <w:t>2.</w:t>
      </w:r>
      <w:r>
        <w:rPr>
          <w:rFonts w:hint="eastAsia" w:ascii="仿宋_GB2312" w:hAnsi="仿宋_GB2312" w:eastAsia="仿宋_GB2312" w:cs="仿宋_GB2312"/>
          <w:b/>
          <w:bCs/>
          <w:highlight w:val="none"/>
          <w:lang w:eastAsia="zh-CN"/>
        </w:rPr>
        <w:t>评判标准</w:t>
      </w:r>
    </w:p>
    <w:p w14:paraId="1484901A">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0" w:firstLineChars="200"/>
        <w:jc w:val="left"/>
        <w:textAlignment w:val="auto"/>
        <w:rPr>
          <w:rFonts w:hint="eastAsia" w:ascii="仿宋_GB2312" w:hAnsi="仿宋_GB2312" w:cs="仿宋_GB2312"/>
          <w:kern w:val="2"/>
          <w:sz w:val="32"/>
          <w:szCs w:val="24"/>
          <w:lang w:val="en-US" w:eastAsia="zh-CN" w:bidi="ar-SA"/>
        </w:rPr>
      </w:pPr>
      <w:r>
        <w:rPr>
          <w:rFonts w:hint="eastAsia" w:ascii="仿宋_GB2312" w:hAnsi="仿宋_GB2312" w:cs="仿宋_GB2312"/>
          <w:kern w:val="2"/>
          <w:sz w:val="32"/>
          <w:szCs w:val="24"/>
          <w:lang w:val="en-US" w:eastAsia="zh-CN" w:bidi="ar-SA"/>
        </w:rPr>
        <w:t>（1）初赛由计算机竞赛系统按单选题每题1分，多选题每题2分，判断题每题0.5分自动判分，各题型错选、多选或少选均不得分。</w:t>
      </w:r>
    </w:p>
    <w:p w14:paraId="69DDA911">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0" w:firstLineChars="200"/>
        <w:jc w:val="left"/>
        <w:textAlignment w:val="auto"/>
        <w:rPr>
          <w:rFonts w:hint="eastAsia" w:ascii="仿宋_GB2312" w:hAnsi="仿宋_GB2312" w:cs="仿宋_GB2312"/>
          <w:kern w:val="2"/>
          <w:sz w:val="32"/>
          <w:szCs w:val="24"/>
          <w:lang w:val="en-US" w:eastAsia="zh-CN" w:bidi="ar-SA"/>
        </w:rPr>
      </w:pPr>
      <w:r>
        <w:rPr>
          <w:rFonts w:hint="eastAsia" w:ascii="仿宋_GB2312" w:hAnsi="仿宋_GB2312" w:cs="仿宋_GB2312"/>
          <w:kern w:val="2"/>
          <w:sz w:val="32"/>
          <w:szCs w:val="24"/>
          <w:lang w:val="en-US" w:eastAsia="zh-CN" w:bidi="ar-SA"/>
        </w:rPr>
        <w:t>（2）决赛由裁判根据现场评分表评分，评分标准配分细则以现场评分表为准，评分标准如下：</w:t>
      </w:r>
    </w:p>
    <w:p w14:paraId="3949E083">
      <w:pPr>
        <w:keepNext w:val="0"/>
        <w:keepLines w:val="0"/>
        <w:pageBreakBefore w:val="0"/>
        <w:widowControl/>
        <w:suppressLineNumbers w:val="0"/>
        <w:kinsoku/>
        <w:wordWrap w:val="0"/>
        <w:overflowPunct/>
        <w:topLinePunct w:val="0"/>
        <w:autoSpaceDE/>
        <w:autoSpaceDN/>
        <w:bidi w:val="0"/>
        <w:adjustRightInd/>
        <w:snapToGrid/>
        <w:spacing w:line="580" w:lineRule="exact"/>
        <w:jc w:val="center"/>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模块A</w:t>
      </w:r>
      <w:r>
        <w:rPr>
          <w:rFonts w:hint="eastAsia" w:ascii="仿宋_GB2312" w:hAnsi="仿宋_GB2312" w:eastAsia="仿宋_GB2312" w:cs="仿宋_GB2312"/>
          <w:highlight w:val="none"/>
          <w:lang w:val="zh-CN" w:eastAsia="zh-CN"/>
        </w:rPr>
        <w:t>评分标准</w:t>
      </w:r>
    </w:p>
    <w:tbl>
      <w:tblPr>
        <w:tblStyle w:val="14"/>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71"/>
        <w:gridCol w:w="1364"/>
        <w:gridCol w:w="3355"/>
        <w:gridCol w:w="774"/>
        <w:gridCol w:w="2158"/>
      </w:tblGrid>
      <w:tr w14:paraId="7935E0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4647AB4A">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bCs/>
                <w:color w:val="auto"/>
                <w:kern w:val="2"/>
                <w:sz w:val="24"/>
                <w:szCs w:val="24"/>
                <w:lang w:val="en-US" w:eastAsia="zh-CN" w:bidi="ar-SA"/>
              </w:rPr>
            </w:pPr>
            <w:r>
              <w:rPr>
                <w:rFonts w:hint="eastAsia" w:ascii="仿宋_GB2312" w:hAnsi="仿宋_GB2312" w:cs="仿宋_GB2312"/>
                <w:b/>
                <w:bCs/>
                <w:color w:val="auto"/>
                <w:kern w:val="2"/>
                <w:sz w:val="24"/>
                <w:szCs w:val="24"/>
                <w:lang w:val="en-US" w:eastAsia="zh-CN" w:bidi="ar-SA"/>
              </w:rPr>
              <w:t>序号</w:t>
            </w:r>
          </w:p>
        </w:tc>
        <w:tc>
          <w:tcPr>
            <w:tcW w:w="800" w:type="pct"/>
            <w:tcBorders>
              <w:tl2br w:val="nil"/>
              <w:tr2bl w:val="nil"/>
            </w:tcBorders>
            <w:noWrap w:val="0"/>
            <w:vAlign w:val="center"/>
          </w:tcPr>
          <w:p w14:paraId="64AE17B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考核内容</w:t>
            </w:r>
          </w:p>
        </w:tc>
        <w:tc>
          <w:tcPr>
            <w:tcW w:w="1967" w:type="pct"/>
            <w:tcBorders>
              <w:tl2br w:val="nil"/>
              <w:tr2bl w:val="nil"/>
            </w:tcBorders>
            <w:noWrap w:val="0"/>
            <w:vAlign w:val="center"/>
          </w:tcPr>
          <w:p w14:paraId="05E47F0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考核要点</w:t>
            </w:r>
          </w:p>
        </w:tc>
        <w:tc>
          <w:tcPr>
            <w:tcW w:w="454" w:type="pct"/>
            <w:tcBorders>
              <w:tl2br w:val="nil"/>
              <w:tr2bl w:val="nil"/>
            </w:tcBorders>
            <w:noWrap w:val="0"/>
            <w:vAlign w:val="center"/>
          </w:tcPr>
          <w:p w14:paraId="6EFF265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配分</w:t>
            </w:r>
          </w:p>
        </w:tc>
        <w:tc>
          <w:tcPr>
            <w:tcW w:w="1266" w:type="pct"/>
            <w:tcBorders>
              <w:tl2br w:val="nil"/>
              <w:tr2bl w:val="nil"/>
            </w:tcBorders>
            <w:noWrap w:val="0"/>
            <w:vAlign w:val="center"/>
          </w:tcPr>
          <w:p w14:paraId="3B4DBF2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评分标准</w:t>
            </w:r>
          </w:p>
        </w:tc>
      </w:tr>
      <w:tr w14:paraId="7E03EB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6CDFE93F">
            <w:pPr>
              <w:pStyle w:val="2"/>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w:t>
            </w:r>
          </w:p>
        </w:tc>
        <w:tc>
          <w:tcPr>
            <w:tcW w:w="800" w:type="pct"/>
            <w:tcBorders>
              <w:tl2br w:val="nil"/>
              <w:tr2bl w:val="nil"/>
            </w:tcBorders>
            <w:noWrap w:val="0"/>
            <w:vAlign w:val="center"/>
          </w:tcPr>
          <w:p w14:paraId="4D7BEA8B">
            <w:pPr>
              <w:pStyle w:val="2"/>
              <w:keepNext w:val="0"/>
              <w:keepLines w:val="0"/>
              <w:pageBreakBefore w:val="0"/>
              <w:kinsoku/>
              <w:wordWrap w:val="0"/>
              <w:overflowPunct/>
              <w:topLinePunct w:val="0"/>
              <w:autoSpaceDE/>
              <w:autoSpaceDN/>
              <w:bidi w:val="0"/>
              <w:adjustRightIn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数据</w:t>
            </w:r>
          </w:p>
          <w:p w14:paraId="6919AF7D">
            <w:pPr>
              <w:pStyle w:val="2"/>
              <w:keepNext w:val="0"/>
              <w:keepLines w:val="0"/>
              <w:pageBreakBefore w:val="0"/>
              <w:kinsoku/>
              <w:wordWrap w:val="0"/>
              <w:overflowPunct/>
              <w:topLinePunct w:val="0"/>
              <w:autoSpaceDE/>
              <w:autoSpaceDN/>
              <w:bidi w:val="0"/>
              <w:adjustRightIn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采集与处理</w:t>
            </w:r>
          </w:p>
        </w:tc>
        <w:tc>
          <w:tcPr>
            <w:tcW w:w="1967" w:type="pct"/>
            <w:tcBorders>
              <w:tl2br w:val="nil"/>
              <w:tr2bl w:val="nil"/>
            </w:tcBorders>
            <w:noWrap w:val="0"/>
            <w:vAlign w:val="center"/>
          </w:tcPr>
          <w:p w14:paraId="4E1D4553">
            <w:pPr>
              <w:keepNext w:val="0"/>
              <w:keepLines w:val="0"/>
              <w:pageBreakBefore w:val="0"/>
              <w:kinsoku/>
              <w:wordWrap w:val="0"/>
              <w:overflowPunct/>
              <w:topLinePunct w:val="0"/>
              <w:autoSpaceDE/>
              <w:autoSpaceDN/>
              <w:bidi w:val="0"/>
              <w:adjustRightInd/>
              <w:spacing w:beforeAutospacing="0" w:afterAutospacing="0" w:line="0" w:lineRule="atLeast"/>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1.能利用OpenCV正确开启摄像头并获取视频流</w:t>
            </w:r>
          </w:p>
          <w:p w14:paraId="33C3FC85">
            <w:pPr>
              <w:keepNext w:val="0"/>
              <w:keepLines w:val="0"/>
              <w:pageBreakBefore w:val="0"/>
              <w:kinsoku/>
              <w:wordWrap w:val="0"/>
              <w:overflowPunct/>
              <w:topLinePunct w:val="0"/>
              <w:autoSpaceDE/>
              <w:autoSpaceDN/>
              <w:bidi w:val="0"/>
              <w:adjustRightInd/>
              <w:spacing w:beforeAutospacing="0" w:afterAutospacing="0" w:line="0" w:lineRule="atLeast"/>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2.能逐帧读取图像并获取总帧数</w:t>
            </w:r>
          </w:p>
          <w:p w14:paraId="67B036C1">
            <w:pPr>
              <w:pStyle w:val="1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3.能按需保存图像至指定路径，命名规范</w:t>
            </w:r>
          </w:p>
          <w:p w14:paraId="7863D0C9">
            <w:pPr>
              <w:pStyle w:val="1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4.能对图像进行编辑处理</w:t>
            </w:r>
          </w:p>
          <w:p w14:paraId="4FE0C353">
            <w:pPr>
              <w:keepNext w:val="0"/>
              <w:keepLines w:val="0"/>
              <w:pageBreakBefore w:val="0"/>
              <w:kinsoku/>
              <w:wordWrap w:val="0"/>
              <w:overflowPunct/>
              <w:topLinePunct w:val="0"/>
              <w:autoSpaceDE/>
              <w:autoSpaceDN/>
              <w:bidi w:val="0"/>
              <w:adjustRightInd/>
              <w:spacing w:beforeAutospacing="0" w:afterAutospacing="0" w:line="0" w:lineRule="atLeast"/>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highlight w:val="none"/>
                <w:lang w:val="en-US" w:eastAsia="zh-CN" w:bidi="ar-SA"/>
              </w:rPr>
              <w:t>5.程序逻辑清晰，Python语法结构运用得当</w:t>
            </w:r>
          </w:p>
        </w:tc>
        <w:tc>
          <w:tcPr>
            <w:tcW w:w="454" w:type="pct"/>
            <w:tcBorders>
              <w:tl2br w:val="nil"/>
              <w:tr2bl w:val="nil"/>
            </w:tcBorders>
            <w:noWrap w:val="0"/>
            <w:vAlign w:val="center"/>
          </w:tcPr>
          <w:p w14:paraId="08CB048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highlight w:val="none"/>
                <w:lang w:val="en-US" w:eastAsia="zh-CN" w:bidi="ar-SA"/>
              </w:rPr>
              <w:t>20</w:t>
            </w:r>
          </w:p>
        </w:tc>
        <w:tc>
          <w:tcPr>
            <w:tcW w:w="1266" w:type="pct"/>
            <w:tcBorders>
              <w:tl2br w:val="nil"/>
              <w:tr2bl w:val="nil"/>
            </w:tcBorders>
            <w:noWrap w:val="0"/>
            <w:vAlign w:val="center"/>
          </w:tcPr>
          <w:p w14:paraId="0E88C18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highlight w:val="none"/>
                <w:lang w:val="en-US" w:eastAsia="zh-CN" w:bidi="ar-SA"/>
              </w:rPr>
              <w:t>摄像头采集功能正常5分；逐帧读取与总帧数获取</w:t>
            </w:r>
            <w:r>
              <w:rPr>
                <w:rFonts w:hint="eastAsia" w:ascii="仿宋_GB2312" w:hAnsi="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en-US" w:eastAsia="zh-CN" w:bidi="ar-SA"/>
              </w:rPr>
              <w:t>分；按指定方法保存图像且规范5分。</w:t>
            </w:r>
          </w:p>
        </w:tc>
      </w:tr>
      <w:tr w14:paraId="062CC3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31BB69AC">
            <w:pPr>
              <w:pStyle w:val="2"/>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2</w:t>
            </w:r>
          </w:p>
        </w:tc>
        <w:tc>
          <w:tcPr>
            <w:tcW w:w="800" w:type="pct"/>
            <w:tcBorders>
              <w:tl2br w:val="nil"/>
              <w:tr2bl w:val="nil"/>
            </w:tcBorders>
            <w:noWrap w:val="0"/>
            <w:vAlign w:val="center"/>
          </w:tcPr>
          <w:p w14:paraId="61C08C2A">
            <w:pPr>
              <w:pStyle w:val="2"/>
              <w:keepNext w:val="0"/>
              <w:keepLines w:val="0"/>
              <w:pageBreakBefore w:val="0"/>
              <w:kinsoku/>
              <w:wordWrap w:val="0"/>
              <w:overflowPunct/>
              <w:topLinePunct w:val="0"/>
              <w:autoSpaceDE/>
              <w:autoSpaceDN/>
              <w:bidi w:val="0"/>
              <w:adjustRightIn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数据标注</w:t>
            </w:r>
          </w:p>
          <w:p w14:paraId="6836A6F1">
            <w:pPr>
              <w:pStyle w:val="2"/>
              <w:keepNext w:val="0"/>
              <w:keepLines w:val="0"/>
              <w:pageBreakBefore w:val="0"/>
              <w:kinsoku/>
              <w:wordWrap w:val="0"/>
              <w:overflowPunct/>
              <w:topLinePunct w:val="0"/>
              <w:autoSpaceDE/>
              <w:autoSpaceDN/>
              <w:bidi w:val="0"/>
              <w:adjustRightInd/>
              <w:spacing w:beforeAutospacing="0" w:afterAutospacing="0" w:line="0" w:lineRule="atLeast"/>
              <w:ind w:left="0" w:leftChars="0" w:firstLine="0" w:firstLineChars="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任务</w:t>
            </w:r>
          </w:p>
        </w:tc>
        <w:tc>
          <w:tcPr>
            <w:tcW w:w="1967" w:type="pct"/>
            <w:tcBorders>
              <w:tl2br w:val="nil"/>
              <w:tr2bl w:val="nil"/>
            </w:tcBorders>
            <w:noWrap w:val="0"/>
            <w:vAlign w:val="center"/>
          </w:tcPr>
          <w:p w14:paraId="6262341F">
            <w:pPr>
              <w:keepNext w:val="0"/>
              <w:keepLines w:val="0"/>
              <w:pageBreakBefore w:val="0"/>
              <w:kinsoku/>
              <w:wordWrap w:val="0"/>
              <w:overflowPunct/>
              <w:topLinePunct w:val="0"/>
              <w:autoSpaceDE/>
              <w:autoSpaceDN/>
              <w:bidi w:val="0"/>
              <w:adjustRightInd/>
              <w:spacing w:beforeAutospacing="0" w:afterAutospacing="0" w:line="0" w:lineRule="atLeast"/>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1.能根据任务类型选择合适的标注工具（如LabelMe、精灵标注助手等）</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2.能正确导入待标注数据</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3.能合理配置标注属性（类别、矩形框/多边形等）</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4.标注质量符合要求（边框紧贴目标、无漏标错标）</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5.完成数据校验与发布</w:t>
            </w:r>
          </w:p>
        </w:tc>
        <w:tc>
          <w:tcPr>
            <w:tcW w:w="454" w:type="pct"/>
            <w:tcBorders>
              <w:tl2br w:val="nil"/>
              <w:tr2bl w:val="nil"/>
            </w:tcBorders>
            <w:noWrap w:val="0"/>
            <w:vAlign w:val="center"/>
          </w:tcPr>
          <w:p w14:paraId="34E6D32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20</w:t>
            </w:r>
          </w:p>
        </w:tc>
        <w:tc>
          <w:tcPr>
            <w:tcW w:w="1266" w:type="pct"/>
            <w:tcBorders>
              <w:tl2br w:val="nil"/>
              <w:tr2bl w:val="nil"/>
            </w:tcBorders>
            <w:noWrap w:val="0"/>
            <w:vAlign w:val="center"/>
          </w:tcPr>
          <w:p w14:paraId="7D860DC3">
            <w:pPr>
              <w:pStyle w:val="1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bidi="ar-SA"/>
              </w:rPr>
              <w:t>工具选择与导入3分；标注属性配置5分；导出格式正确得2分</w:t>
            </w:r>
            <w:r>
              <w:rPr>
                <w:rFonts w:hint="eastAsia" w:ascii="仿宋_GB2312" w:hAnsi="仿宋_GB2312" w:cs="仿宋_GB2312"/>
                <w:color w:val="auto"/>
                <w:kern w:val="2"/>
                <w:sz w:val="24"/>
                <w:szCs w:val="24"/>
                <w:highlight w:val="no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标注图片数量少一</w:t>
            </w:r>
            <w:r>
              <w:rPr>
                <w:rFonts w:hint="eastAsia" w:ascii="仿宋_GB2312" w:hAnsi="仿宋_GB2312" w:cs="仿宋_GB2312"/>
                <w:color w:val="auto"/>
                <w:kern w:val="2"/>
                <w:sz w:val="24"/>
                <w:szCs w:val="24"/>
                <w:highlight w:val="none"/>
                <w:lang w:val="en-US" w:eastAsia="zh-CN" w:bidi="ar-SA"/>
              </w:rPr>
              <w:t>幅</w:t>
            </w:r>
            <w:r>
              <w:rPr>
                <w:rFonts w:hint="eastAsia" w:ascii="仿宋_GB2312" w:hAnsi="仿宋_GB2312" w:eastAsia="仿宋_GB2312" w:cs="仿宋_GB2312"/>
                <w:color w:val="auto"/>
                <w:kern w:val="2"/>
                <w:sz w:val="24"/>
                <w:szCs w:val="24"/>
                <w:highlight w:val="none"/>
                <w:lang w:val="en-US" w:eastAsia="zh-CN" w:bidi="ar-SA"/>
              </w:rPr>
              <w:t>扣1分，扣完为止。</w:t>
            </w:r>
          </w:p>
        </w:tc>
      </w:tr>
      <w:tr w14:paraId="48447F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3279" w:type="pct"/>
            <w:gridSpan w:val="3"/>
            <w:tcBorders>
              <w:tl2br w:val="nil"/>
              <w:tr2bl w:val="nil"/>
            </w:tcBorders>
            <w:noWrap w:val="0"/>
            <w:vAlign w:val="center"/>
          </w:tcPr>
          <w:p w14:paraId="627DDBBF">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总分</w:t>
            </w:r>
          </w:p>
        </w:tc>
        <w:tc>
          <w:tcPr>
            <w:tcW w:w="454" w:type="pct"/>
            <w:tcBorders>
              <w:tl2br w:val="nil"/>
              <w:tr2bl w:val="nil"/>
            </w:tcBorders>
            <w:noWrap w:val="0"/>
            <w:vAlign w:val="center"/>
          </w:tcPr>
          <w:p w14:paraId="764DD0F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4</w:t>
            </w:r>
            <w:r>
              <w:rPr>
                <w:rFonts w:hint="eastAsia" w:ascii="仿宋_GB2312" w:hAnsi="仿宋_GB2312" w:eastAsia="仿宋_GB2312" w:cs="仿宋_GB2312"/>
                <w:color w:val="auto"/>
                <w:kern w:val="2"/>
                <w:sz w:val="24"/>
                <w:szCs w:val="24"/>
                <w:lang w:val="en-US" w:eastAsia="zh-CN" w:bidi="ar-SA"/>
              </w:rPr>
              <w:t>0</w:t>
            </w:r>
          </w:p>
        </w:tc>
        <w:tc>
          <w:tcPr>
            <w:tcW w:w="1266" w:type="pct"/>
            <w:tcBorders>
              <w:tl2br w:val="nil"/>
              <w:tr2bl w:val="nil"/>
            </w:tcBorders>
            <w:noWrap w:val="0"/>
            <w:vAlign w:val="center"/>
          </w:tcPr>
          <w:p w14:paraId="0B64B536">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r>
    </w:tbl>
    <w:p w14:paraId="68DD9FC2">
      <w:pPr>
        <w:pStyle w:val="9"/>
        <w:keepNext w:val="0"/>
        <w:keepLines w:val="0"/>
        <w:pageBreakBefore w:val="0"/>
        <w:widowControl w:val="0"/>
        <w:kinsoku/>
        <w:wordWrap w:val="0"/>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highlight w:val="none"/>
          <w:lang w:val="zh-CN" w:eastAsia="zh-CN"/>
        </w:rPr>
      </w:pPr>
      <w:r>
        <w:rPr>
          <w:rFonts w:hint="eastAsia" w:ascii="仿宋_GB2312" w:hAnsi="仿宋_GB2312" w:eastAsia="仿宋_GB2312" w:cs="仿宋_GB2312"/>
          <w:highlight w:val="none"/>
          <w:lang w:val="en-US" w:eastAsia="zh-CN"/>
        </w:rPr>
        <w:t>模块</w:t>
      </w:r>
      <w:r>
        <w:rPr>
          <w:rFonts w:hint="eastAsia" w:ascii="仿宋_GB2312" w:hAnsi="仿宋_GB2312" w:cs="仿宋_GB2312"/>
          <w:highlight w:val="none"/>
          <w:lang w:val="en-US" w:eastAsia="zh-CN"/>
        </w:rPr>
        <w:t>B</w:t>
      </w:r>
      <w:r>
        <w:rPr>
          <w:rFonts w:hint="eastAsia" w:ascii="仿宋_GB2312" w:hAnsi="仿宋_GB2312" w:eastAsia="仿宋_GB2312" w:cs="仿宋_GB2312"/>
          <w:highlight w:val="none"/>
          <w:lang w:val="zh-CN" w:eastAsia="zh-CN"/>
        </w:rPr>
        <w:t>评分标准</w:t>
      </w:r>
    </w:p>
    <w:tbl>
      <w:tblPr>
        <w:tblStyle w:val="14"/>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71"/>
        <w:gridCol w:w="1364"/>
        <w:gridCol w:w="3387"/>
        <w:gridCol w:w="752"/>
        <w:gridCol w:w="2148"/>
      </w:tblGrid>
      <w:tr w14:paraId="1BB883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0749DCC5">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bCs/>
                <w:color w:val="auto"/>
                <w:kern w:val="2"/>
                <w:sz w:val="24"/>
                <w:szCs w:val="24"/>
                <w:lang w:val="en-US" w:eastAsia="zh-CN" w:bidi="ar-SA"/>
              </w:rPr>
            </w:pPr>
            <w:r>
              <w:rPr>
                <w:rFonts w:hint="eastAsia" w:ascii="仿宋_GB2312" w:hAnsi="仿宋_GB2312" w:cs="仿宋_GB2312"/>
                <w:b/>
                <w:bCs/>
                <w:color w:val="auto"/>
                <w:kern w:val="2"/>
                <w:sz w:val="24"/>
                <w:szCs w:val="24"/>
                <w:lang w:val="en-US" w:eastAsia="zh-CN" w:bidi="ar-SA"/>
              </w:rPr>
              <w:t>序号</w:t>
            </w:r>
          </w:p>
        </w:tc>
        <w:tc>
          <w:tcPr>
            <w:tcW w:w="800" w:type="pct"/>
            <w:tcBorders>
              <w:tl2br w:val="nil"/>
              <w:tr2bl w:val="nil"/>
            </w:tcBorders>
            <w:noWrap w:val="0"/>
            <w:vAlign w:val="center"/>
          </w:tcPr>
          <w:p w14:paraId="5A02117C">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考核内容</w:t>
            </w:r>
          </w:p>
        </w:tc>
        <w:tc>
          <w:tcPr>
            <w:tcW w:w="1987" w:type="pct"/>
            <w:tcBorders>
              <w:tl2br w:val="nil"/>
              <w:tr2bl w:val="nil"/>
            </w:tcBorders>
            <w:noWrap w:val="0"/>
            <w:vAlign w:val="center"/>
          </w:tcPr>
          <w:p w14:paraId="479099E6">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考核要点</w:t>
            </w:r>
          </w:p>
        </w:tc>
        <w:tc>
          <w:tcPr>
            <w:tcW w:w="441" w:type="pct"/>
            <w:tcBorders>
              <w:tl2br w:val="nil"/>
              <w:tr2bl w:val="nil"/>
            </w:tcBorders>
            <w:noWrap w:val="0"/>
            <w:vAlign w:val="center"/>
          </w:tcPr>
          <w:p w14:paraId="4AB31B4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配分</w:t>
            </w:r>
          </w:p>
        </w:tc>
        <w:tc>
          <w:tcPr>
            <w:tcW w:w="1260" w:type="pct"/>
            <w:tcBorders>
              <w:tl2br w:val="nil"/>
              <w:tr2bl w:val="nil"/>
            </w:tcBorders>
            <w:noWrap w:val="0"/>
            <w:vAlign w:val="center"/>
          </w:tcPr>
          <w:p w14:paraId="17D41C5A">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评分标准</w:t>
            </w:r>
          </w:p>
        </w:tc>
      </w:tr>
      <w:tr w14:paraId="075EBB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60DB291B">
            <w:pPr>
              <w:pStyle w:val="2"/>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w:t>
            </w:r>
          </w:p>
        </w:tc>
        <w:tc>
          <w:tcPr>
            <w:tcW w:w="800" w:type="pct"/>
            <w:tcBorders>
              <w:tl2br w:val="nil"/>
              <w:tr2bl w:val="nil"/>
            </w:tcBorders>
            <w:noWrap w:val="0"/>
            <w:vAlign w:val="center"/>
          </w:tcPr>
          <w:p w14:paraId="2CAC7C8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数据读取与清洗</w:t>
            </w:r>
          </w:p>
        </w:tc>
        <w:tc>
          <w:tcPr>
            <w:tcW w:w="1987" w:type="pct"/>
            <w:tcBorders>
              <w:tl2br w:val="nil"/>
              <w:tr2bl w:val="nil"/>
            </w:tcBorders>
            <w:noWrap w:val="0"/>
            <w:vAlign w:val="center"/>
          </w:tcPr>
          <w:p w14:paraId="1DAF0512">
            <w:pPr>
              <w:keepNext w:val="0"/>
              <w:keepLines w:val="0"/>
              <w:pageBreakBefore w:val="0"/>
              <w:widowControl/>
              <w:numPr>
                <w:ilvl w:val="0"/>
                <w:numId w:val="2"/>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正确读取数据并检查字段、类型和编码；</w:t>
            </w:r>
          </w:p>
          <w:p w14:paraId="67D441A8">
            <w:pPr>
              <w:keepNext w:val="0"/>
              <w:keepLines w:val="0"/>
              <w:pageBreakBefore w:val="0"/>
              <w:widowControl/>
              <w:numPr>
                <w:ilvl w:val="0"/>
                <w:numId w:val="2"/>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处理重复、缺失和异常值；</w:t>
            </w:r>
          </w:p>
          <w:p w14:paraId="1F5FB848">
            <w:pPr>
              <w:keepNext w:val="0"/>
              <w:keepLines w:val="0"/>
              <w:pageBreakBefore w:val="0"/>
              <w:widowControl/>
              <w:numPr>
                <w:ilvl w:val="0"/>
                <w:numId w:val="2"/>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统一类别、风险等级和日期格式；</w:t>
            </w:r>
          </w:p>
          <w:p w14:paraId="6838734E">
            <w:pPr>
              <w:keepNext w:val="0"/>
              <w:keepLines w:val="0"/>
              <w:pageBreakBefore w:val="0"/>
              <w:widowControl/>
              <w:numPr>
                <w:ilvl w:val="0"/>
                <w:numId w:val="2"/>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保存清洗数据。</w:t>
            </w:r>
          </w:p>
        </w:tc>
        <w:tc>
          <w:tcPr>
            <w:tcW w:w="441" w:type="pct"/>
            <w:tcBorders>
              <w:tl2br w:val="nil"/>
              <w:tr2bl w:val="nil"/>
            </w:tcBorders>
            <w:noWrap w:val="0"/>
            <w:vAlign w:val="center"/>
          </w:tcPr>
          <w:p w14:paraId="4A202D6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10</w:t>
            </w:r>
          </w:p>
        </w:tc>
        <w:tc>
          <w:tcPr>
            <w:tcW w:w="1260" w:type="pct"/>
            <w:tcBorders>
              <w:tl2br w:val="nil"/>
              <w:tr2bl w:val="nil"/>
            </w:tcBorders>
            <w:noWrap w:val="0"/>
            <w:vAlign w:val="center"/>
          </w:tcPr>
          <w:p w14:paraId="56AD14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读取检查2分；数据清洗</w:t>
            </w:r>
            <w:r>
              <w:rPr>
                <w:rFonts w:hint="eastAsia" w:ascii="仿宋_GB2312" w:hAnsi="仿宋_GB2312" w:cs="仿宋_GB2312"/>
                <w:color w:val="auto"/>
                <w:kern w:val="2"/>
                <w:sz w:val="24"/>
                <w:szCs w:val="24"/>
                <w:lang w:val="en-US" w:eastAsia="zh-CN" w:bidi="ar-SA"/>
              </w:rPr>
              <w:t>5</w:t>
            </w:r>
            <w:r>
              <w:rPr>
                <w:rFonts w:hint="eastAsia" w:ascii="仿宋_GB2312" w:hAnsi="仿宋_GB2312" w:eastAsia="仿宋_GB2312" w:cs="仿宋_GB2312"/>
                <w:color w:val="auto"/>
                <w:kern w:val="2"/>
                <w:sz w:val="24"/>
                <w:szCs w:val="24"/>
                <w:lang w:val="en-US" w:eastAsia="zh-CN" w:bidi="ar-SA"/>
              </w:rPr>
              <w:t>分；格式统一2分；结果保存1分。</w:t>
            </w:r>
          </w:p>
        </w:tc>
      </w:tr>
      <w:tr w14:paraId="3B148F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71C310DD">
            <w:pPr>
              <w:pStyle w:val="2"/>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2</w:t>
            </w:r>
          </w:p>
        </w:tc>
        <w:tc>
          <w:tcPr>
            <w:tcW w:w="800" w:type="pct"/>
            <w:tcBorders>
              <w:tl2br w:val="nil"/>
              <w:tr2bl w:val="nil"/>
            </w:tcBorders>
            <w:noWrap w:val="0"/>
            <w:vAlign w:val="center"/>
          </w:tcPr>
          <w:p w14:paraId="28414E2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数据统计</w:t>
            </w:r>
          </w:p>
        </w:tc>
        <w:tc>
          <w:tcPr>
            <w:tcW w:w="1987" w:type="pct"/>
            <w:tcBorders>
              <w:tl2br w:val="nil"/>
              <w:tr2bl w:val="nil"/>
            </w:tcBorders>
            <w:noWrap w:val="0"/>
            <w:vAlign w:val="center"/>
          </w:tcPr>
          <w:p w14:paraId="3D4F4226">
            <w:pPr>
              <w:keepNext w:val="0"/>
              <w:keepLines w:val="0"/>
              <w:pageBreakBefore w:val="0"/>
              <w:widowControl/>
              <w:numPr>
                <w:ilvl w:val="0"/>
                <w:numId w:val="3"/>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确定统计指标和维度；</w:t>
            </w:r>
          </w:p>
          <w:p w14:paraId="69086661">
            <w:pPr>
              <w:keepNext w:val="0"/>
              <w:keepLines w:val="0"/>
              <w:pageBreakBefore w:val="0"/>
              <w:widowControl/>
              <w:numPr>
                <w:ilvl w:val="0"/>
                <w:numId w:val="3"/>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完成总量、趋势、类别、风险、检索等统计；</w:t>
            </w:r>
          </w:p>
          <w:p w14:paraId="787237C0">
            <w:pPr>
              <w:keepNext w:val="0"/>
              <w:keepLines w:val="0"/>
              <w:pageBreakBefore w:val="0"/>
              <w:widowControl/>
              <w:numPr>
                <w:ilvl w:val="0"/>
                <w:numId w:val="3"/>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使用Python分组聚合；</w:t>
            </w:r>
          </w:p>
          <w:p w14:paraId="1AD30C03">
            <w:pPr>
              <w:keepNext w:val="0"/>
              <w:keepLines w:val="0"/>
              <w:pageBreakBefore w:val="0"/>
              <w:widowControl/>
              <w:numPr>
                <w:ilvl w:val="0"/>
                <w:numId w:val="3"/>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结果保存到不同工作表。</w:t>
            </w:r>
          </w:p>
        </w:tc>
        <w:tc>
          <w:tcPr>
            <w:tcW w:w="441" w:type="pct"/>
            <w:tcBorders>
              <w:tl2br w:val="nil"/>
              <w:tr2bl w:val="nil"/>
            </w:tcBorders>
            <w:noWrap w:val="0"/>
            <w:vAlign w:val="center"/>
          </w:tcPr>
          <w:p w14:paraId="07F3852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10</w:t>
            </w:r>
          </w:p>
        </w:tc>
        <w:tc>
          <w:tcPr>
            <w:tcW w:w="1260" w:type="pct"/>
            <w:tcBorders>
              <w:tl2br w:val="nil"/>
              <w:tr2bl w:val="nil"/>
            </w:tcBorders>
            <w:noWrap w:val="0"/>
            <w:vAlign w:val="center"/>
          </w:tcPr>
          <w:p w14:paraId="1253A53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统计正确</w:t>
            </w:r>
            <w:r>
              <w:rPr>
                <w:rFonts w:hint="eastAsia" w:ascii="仿宋_GB2312" w:hAnsi="仿宋_GB2312" w:cs="仿宋_GB2312"/>
                <w:color w:val="auto"/>
                <w:kern w:val="2"/>
                <w:sz w:val="24"/>
                <w:szCs w:val="24"/>
                <w:lang w:val="en-US" w:eastAsia="zh-CN" w:bidi="ar-SA"/>
              </w:rPr>
              <w:t>8</w:t>
            </w:r>
            <w:r>
              <w:rPr>
                <w:rFonts w:hint="eastAsia" w:ascii="仿宋_GB2312" w:hAnsi="仿宋_GB2312" w:eastAsia="仿宋_GB2312" w:cs="仿宋_GB2312"/>
                <w:color w:val="auto"/>
                <w:kern w:val="2"/>
                <w:sz w:val="24"/>
                <w:szCs w:val="24"/>
                <w:lang w:val="en-US" w:eastAsia="zh-CN" w:bidi="ar-SA"/>
              </w:rPr>
              <w:t>分；工作表组织和保存2分。</w:t>
            </w:r>
          </w:p>
        </w:tc>
      </w:tr>
      <w:tr w14:paraId="102C47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4A113976">
            <w:pPr>
              <w:pStyle w:val="2"/>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p>
        </w:tc>
        <w:tc>
          <w:tcPr>
            <w:tcW w:w="800" w:type="pct"/>
            <w:tcBorders>
              <w:tl2br w:val="nil"/>
              <w:tr2bl w:val="nil"/>
            </w:tcBorders>
            <w:noWrap w:val="0"/>
            <w:vAlign w:val="center"/>
          </w:tcPr>
          <w:p w14:paraId="60B45D9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数据可视化</w:t>
            </w:r>
          </w:p>
        </w:tc>
        <w:tc>
          <w:tcPr>
            <w:tcW w:w="1987" w:type="pct"/>
            <w:tcBorders>
              <w:tl2br w:val="nil"/>
              <w:tr2bl w:val="nil"/>
            </w:tcBorders>
            <w:noWrap w:val="0"/>
            <w:vAlign w:val="center"/>
          </w:tcPr>
          <w:p w14:paraId="1EEBA772">
            <w:pPr>
              <w:keepNext w:val="0"/>
              <w:keepLines w:val="0"/>
              <w:pageBreakBefore w:val="0"/>
              <w:widowControl/>
              <w:numPr>
                <w:ilvl w:val="0"/>
                <w:numId w:val="4"/>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选择合适图表；</w:t>
            </w:r>
          </w:p>
          <w:p w14:paraId="12F712F7">
            <w:pPr>
              <w:keepNext w:val="0"/>
              <w:keepLines w:val="0"/>
              <w:pageBreakBefore w:val="0"/>
              <w:widowControl/>
              <w:numPr>
                <w:ilvl w:val="0"/>
                <w:numId w:val="4"/>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图表数据与统计结果一致；</w:t>
            </w:r>
          </w:p>
          <w:p w14:paraId="50592DEA">
            <w:pPr>
              <w:keepNext w:val="0"/>
              <w:keepLines w:val="0"/>
              <w:pageBreakBefore w:val="0"/>
              <w:widowControl/>
              <w:numPr>
                <w:ilvl w:val="0"/>
                <w:numId w:val="4"/>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标题、坐标轴、图例、标签和单位完整；</w:t>
            </w:r>
          </w:p>
          <w:p w14:paraId="03C78E04">
            <w:pPr>
              <w:keepNext w:val="0"/>
              <w:keepLines w:val="0"/>
              <w:pageBreakBefore w:val="0"/>
              <w:widowControl/>
              <w:numPr>
                <w:ilvl w:val="0"/>
                <w:numId w:val="4"/>
              </w:numPr>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按要求保存图表。</w:t>
            </w:r>
          </w:p>
        </w:tc>
        <w:tc>
          <w:tcPr>
            <w:tcW w:w="441" w:type="pct"/>
            <w:tcBorders>
              <w:tl2br w:val="nil"/>
              <w:tr2bl w:val="nil"/>
            </w:tcBorders>
            <w:noWrap w:val="0"/>
            <w:vAlign w:val="center"/>
          </w:tcPr>
          <w:p w14:paraId="561DF93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10</w:t>
            </w:r>
          </w:p>
        </w:tc>
        <w:tc>
          <w:tcPr>
            <w:tcW w:w="1260" w:type="pct"/>
            <w:tcBorders>
              <w:tl2br w:val="nil"/>
              <w:tr2bl w:val="nil"/>
            </w:tcBorders>
            <w:noWrap w:val="0"/>
            <w:vAlign w:val="center"/>
          </w:tcPr>
          <w:p w14:paraId="20B7F5D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图表</w:t>
            </w:r>
            <w:r>
              <w:rPr>
                <w:rFonts w:hint="eastAsia" w:ascii="仿宋_GB2312" w:hAnsi="仿宋_GB2312" w:eastAsia="仿宋_GB2312" w:cs="仿宋_GB2312"/>
                <w:color w:val="auto"/>
                <w:kern w:val="2"/>
                <w:sz w:val="24"/>
                <w:szCs w:val="24"/>
                <w:lang w:val="en-US" w:eastAsia="zh-CN" w:bidi="ar-SA"/>
              </w:rPr>
              <w:t>准确和表达有效</w:t>
            </w:r>
            <w:r>
              <w:rPr>
                <w:rFonts w:hint="eastAsia" w:ascii="仿宋_GB2312" w:hAnsi="仿宋_GB2312" w:cs="仿宋_GB2312"/>
                <w:color w:val="auto"/>
                <w:kern w:val="2"/>
                <w:sz w:val="24"/>
                <w:szCs w:val="24"/>
                <w:lang w:val="en-US" w:eastAsia="zh-CN" w:bidi="ar-SA"/>
              </w:rPr>
              <w:t>6</w:t>
            </w:r>
            <w:r>
              <w:rPr>
                <w:rFonts w:hint="eastAsia" w:ascii="仿宋_GB2312" w:hAnsi="仿宋_GB2312" w:eastAsia="仿宋_GB2312" w:cs="仿宋_GB2312"/>
                <w:color w:val="auto"/>
                <w:kern w:val="2"/>
                <w:sz w:val="24"/>
                <w:szCs w:val="24"/>
                <w:lang w:val="en-US" w:eastAsia="zh-CN" w:bidi="ar-SA"/>
              </w:rPr>
              <w:t>分；图表要素与保存</w:t>
            </w:r>
            <w:r>
              <w:rPr>
                <w:rFonts w:hint="eastAsia" w:ascii="仿宋_GB2312" w:hAnsi="仿宋_GB2312" w:cs="仿宋_GB2312"/>
                <w:color w:val="auto"/>
                <w:kern w:val="2"/>
                <w:sz w:val="24"/>
                <w:szCs w:val="24"/>
                <w:lang w:val="en-US" w:eastAsia="zh-CN" w:bidi="ar-SA"/>
              </w:rPr>
              <w:t>4</w:t>
            </w:r>
            <w:r>
              <w:rPr>
                <w:rFonts w:hint="eastAsia" w:ascii="仿宋_GB2312" w:hAnsi="仿宋_GB2312" w:eastAsia="仿宋_GB2312" w:cs="仿宋_GB2312"/>
                <w:color w:val="auto"/>
                <w:kern w:val="2"/>
                <w:sz w:val="24"/>
                <w:szCs w:val="24"/>
                <w:lang w:val="en-US" w:eastAsia="zh-CN" w:bidi="ar-SA"/>
              </w:rPr>
              <w:t>分。</w:t>
            </w:r>
          </w:p>
        </w:tc>
      </w:tr>
      <w:tr w14:paraId="4F996E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3298" w:type="pct"/>
            <w:gridSpan w:val="3"/>
            <w:tcBorders>
              <w:tl2br w:val="nil"/>
              <w:tr2bl w:val="nil"/>
            </w:tcBorders>
            <w:noWrap w:val="0"/>
            <w:vAlign w:val="center"/>
          </w:tcPr>
          <w:p w14:paraId="2126B1B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总分</w:t>
            </w:r>
          </w:p>
        </w:tc>
        <w:tc>
          <w:tcPr>
            <w:tcW w:w="441" w:type="pct"/>
            <w:tcBorders>
              <w:tl2br w:val="nil"/>
              <w:tr2bl w:val="nil"/>
            </w:tcBorders>
            <w:noWrap w:val="0"/>
            <w:vAlign w:val="center"/>
          </w:tcPr>
          <w:p w14:paraId="65B6DF83">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r>
              <w:rPr>
                <w:rFonts w:hint="eastAsia" w:ascii="仿宋_GB2312" w:hAnsi="仿宋_GB2312" w:eastAsia="仿宋_GB2312" w:cs="仿宋_GB2312"/>
                <w:color w:val="auto"/>
                <w:kern w:val="2"/>
                <w:sz w:val="24"/>
                <w:szCs w:val="24"/>
                <w:lang w:val="en-US" w:eastAsia="zh-CN" w:bidi="ar-SA"/>
              </w:rPr>
              <w:t>0</w:t>
            </w:r>
          </w:p>
        </w:tc>
        <w:tc>
          <w:tcPr>
            <w:tcW w:w="1260" w:type="pct"/>
            <w:tcBorders>
              <w:tl2br w:val="nil"/>
              <w:tr2bl w:val="nil"/>
            </w:tcBorders>
            <w:noWrap w:val="0"/>
            <w:vAlign w:val="center"/>
          </w:tcPr>
          <w:p w14:paraId="7250A4B1">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r>
    </w:tbl>
    <w:p w14:paraId="0E1CFD0F">
      <w:pPr>
        <w:pStyle w:val="6"/>
        <w:ind w:left="0" w:leftChars="0" w:firstLine="0" w:firstLineChars="0"/>
        <w:jc w:val="center"/>
        <w:rPr>
          <w:rFonts w:hint="eastAsia"/>
          <w:highlight w:val="none"/>
          <w:lang w:val="en-US" w:eastAsia="zh-CN"/>
        </w:rPr>
      </w:pPr>
      <w:r>
        <w:rPr>
          <w:rFonts w:hint="eastAsia" w:ascii="仿宋_GB2312" w:hAnsi="仿宋_GB2312" w:eastAsia="仿宋_GB2312" w:cs="仿宋_GB2312"/>
          <w:highlight w:val="none"/>
          <w:lang w:val="en-US" w:eastAsia="zh-CN"/>
        </w:rPr>
        <w:t>模块</w:t>
      </w:r>
      <w:r>
        <w:rPr>
          <w:rFonts w:hint="eastAsia" w:ascii="仿宋_GB2312" w:hAnsi="仿宋_GB2312" w:cs="仿宋_GB2312"/>
          <w:highlight w:val="none"/>
          <w:lang w:val="en-US" w:eastAsia="zh-CN"/>
        </w:rPr>
        <w:t>C</w:t>
      </w:r>
      <w:r>
        <w:rPr>
          <w:rFonts w:hint="eastAsia" w:ascii="仿宋_GB2312" w:hAnsi="仿宋_GB2312" w:eastAsia="仿宋_GB2312" w:cs="仿宋_GB2312"/>
          <w:highlight w:val="none"/>
          <w:lang w:val="zh-CN" w:eastAsia="zh-CN"/>
        </w:rPr>
        <w:t>评分标准</w:t>
      </w:r>
    </w:p>
    <w:tbl>
      <w:tblPr>
        <w:tblStyle w:val="14"/>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71"/>
        <w:gridCol w:w="1364"/>
        <w:gridCol w:w="3164"/>
        <w:gridCol w:w="820"/>
        <w:gridCol w:w="2303"/>
      </w:tblGrid>
      <w:tr w14:paraId="7EB145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2FF67F5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bCs/>
                <w:color w:val="auto"/>
                <w:kern w:val="2"/>
                <w:sz w:val="24"/>
                <w:szCs w:val="24"/>
                <w:lang w:val="en-US" w:eastAsia="zh-CN" w:bidi="ar-SA"/>
              </w:rPr>
            </w:pPr>
            <w:r>
              <w:rPr>
                <w:rFonts w:hint="eastAsia" w:ascii="仿宋_GB2312" w:hAnsi="仿宋_GB2312" w:cs="仿宋_GB2312"/>
                <w:b/>
                <w:bCs/>
                <w:color w:val="auto"/>
                <w:kern w:val="2"/>
                <w:sz w:val="24"/>
                <w:szCs w:val="24"/>
                <w:lang w:val="en-US" w:eastAsia="zh-CN" w:bidi="ar-SA"/>
              </w:rPr>
              <w:t>序号</w:t>
            </w:r>
          </w:p>
        </w:tc>
        <w:tc>
          <w:tcPr>
            <w:tcW w:w="800" w:type="pct"/>
            <w:tcBorders>
              <w:tl2br w:val="nil"/>
              <w:tr2bl w:val="nil"/>
            </w:tcBorders>
            <w:noWrap w:val="0"/>
            <w:vAlign w:val="center"/>
          </w:tcPr>
          <w:p w14:paraId="4C196393">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考核内容</w:t>
            </w:r>
          </w:p>
        </w:tc>
        <w:tc>
          <w:tcPr>
            <w:tcW w:w="1855" w:type="pct"/>
            <w:tcBorders>
              <w:tl2br w:val="nil"/>
              <w:tr2bl w:val="nil"/>
            </w:tcBorders>
            <w:noWrap w:val="0"/>
            <w:vAlign w:val="center"/>
          </w:tcPr>
          <w:p w14:paraId="5F6D7AD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考核要点</w:t>
            </w:r>
          </w:p>
        </w:tc>
        <w:tc>
          <w:tcPr>
            <w:tcW w:w="481" w:type="pct"/>
            <w:tcBorders>
              <w:tl2br w:val="nil"/>
              <w:tr2bl w:val="nil"/>
            </w:tcBorders>
            <w:noWrap w:val="0"/>
            <w:vAlign w:val="center"/>
          </w:tcPr>
          <w:p w14:paraId="412D587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配分</w:t>
            </w:r>
          </w:p>
        </w:tc>
        <w:tc>
          <w:tcPr>
            <w:tcW w:w="1351" w:type="pct"/>
            <w:tcBorders>
              <w:tl2br w:val="nil"/>
              <w:tr2bl w:val="nil"/>
            </w:tcBorders>
            <w:noWrap w:val="0"/>
            <w:vAlign w:val="center"/>
          </w:tcPr>
          <w:p w14:paraId="252431D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评分标准</w:t>
            </w:r>
          </w:p>
        </w:tc>
      </w:tr>
      <w:tr w14:paraId="516D4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1DA5EB5A">
            <w:pPr>
              <w:pStyle w:val="2"/>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w:t>
            </w:r>
          </w:p>
        </w:tc>
        <w:tc>
          <w:tcPr>
            <w:tcW w:w="800" w:type="pct"/>
            <w:tcBorders>
              <w:tl2br w:val="nil"/>
              <w:tr2bl w:val="nil"/>
            </w:tcBorders>
            <w:noWrap w:val="0"/>
            <w:vAlign w:val="center"/>
          </w:tcPr>
          <w:p w14:paraId="1FCC4E3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2"/>
                <w:sz w:val="24"/>
                <w:szCs w:val="24"/>
                <w:lang w:val="en-US" w:eastAsia="zh-CN" w:bidi="ar-SA"/>
              </w:rPr>
              <w:t>智能系统需求分析</w:t>
            </w:r>
          </w:p>
        </w:tc>
        <w:tc>
          <w:tcPr>
            <w:tcW w:w="1855" w:type="pct"/>
            <w:tcBorders>
              <w:tl2br w:val="nil"/>
              <w:tr2bl w:val="nil"/>
            </w:tcBorders>
            <w:noWrap w:val="0"/>
            <w:vAlign w:val="center"/>
          </w:tcPr>
          <w:p w14:paraId="35BCECF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1.分析智慧博物馆智能导览业务需求；</w:t>
            </w:r>
          </w:p>
          <w:p w14:paraId="2441C72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2.明确系统功能目标和应用场景；</w:t>
            </w:r>
          </w:p>
          <w:p w14:paraId="79C2401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3.分析用户需求及系统应用问题。</w:t>
            </w:r>
          </w:p>
        </w:tc>
        <w:tc>
          <w:tcPr>
            <w:tcW w:w="481" w:type="pct"/>
            <w:tcBorders>
              <w:tl2br w:val="nil"/>
              <w:tr2bl w:val="nil"/>
            </w:tcBorders>
            <w:noWrap w:val="0"/>
            <w:vAlign w:val="center"/>
          </w:tcPr>
          <w:p w14:paraId="3C61309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10</w:t>
            </w:r>
          </w:p>
        </w:tc>
        <w:tc>
          <w:tcPr>
            <w:tcW w:w="1351" w:type="pct"/>
            <w:tcBorders>
              <w:tl2br w:val="nil"/>
              <w:tr2bl w:val="nil"/>
            </w:tcBorders>
            <w:noWrap w:val="0"/>
            <w:vAlign w:val="center"/>
          </w:tcPr>
          <w:p w14:paraId="607EA24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需求分析完整4分；</w:t>
            </w:r>
          </w:p>
          <w:p w14:paraId="0314AEF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功能设计合理3分；</w:t>
            </w:r>
          </w:p>
          <w:p w14:paraId="085C5CE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问题分析及优化方向3分。</w:t>
            </w:r>
          </w:p>
        </w:tc>
      </w:tr>
      <w:tr w14:paraId="3E0F50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25CD18C7">
            <w:pPr>
              <w:pStyle w:val="2"/>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2</w:t>
            </w:r>
          </w:p>
        </w:tc>
        <w:tc>
          <w:tcPr>
            <w:tcW w:w="800" w:type="pct"/>
            <w:tcBorders>
              <w:tl2br w:val="nil"/>
              <w:tr2bl w:val="nil"/>
            </w:tcBorders>
            <w:noWrap w:val="0"/>
            <w:vAlign w:val="center"/>
          </w:tcPr>
          <w:p w14:paraId="2217EC2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2"/>
                <w:sz w:val="24"/>
                <w:szCs w:val="24"/>
                <w:lang w:val="en-US" w:eastAsia="zh-CN" w:bidi="ar-SA"/>
              </w:rPr>
              <w:t>人工智能技术方案设计</w:t>
            </w:r>
          </w:p>
        </w:tc>
        <w:tc>
          <w:tcPr>
            <w:tcW w:w="1855" w:type="pct"/>
            <w:tcBorders>
              <w:tl2br w:val="nil"/>
              <w:tr2bl w:val="nil"/>
            </w:tcBorders>
            <w:noWrap w:val="0"/>
            <w:vAlign w:val="center"/>
          </w:tcPr>
          <w:p w14:paraId="2B1A75C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1.设计系统总体架构；</w:t>
            </w:r>
          </w:p>
          <w:p w14:paraId="633184A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2.说明LLM、ASR、TTS、知识库等技术作用；</w:t>
            </w:r>
          </w:p>
          <w:p w14:paraId="0434C7F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lang w:val="en-US" w:eastAsia="zh-CN" w:bidi="ar-SA"/>
              </w:rPr>
              <w:t>3.设计数据流转和处理流程。</w:t>
            </w:r>
          </w:p>
        </w:tc>
        <w:tc>
          <w:tcPr>
            <w:tcW w:w="481" w:type="pct"/>
            <w:tcBorders>
              <w:tl2br w:val="nil"/>
              <w:tr2bl w:val="nil"/>
            </w:tcBorders>
            <w:noWrap w:val="0"/>
            <w:vAlign w:val="center"/>
          </w:tcPr>
          <w:p w14:paraId="49DA774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cs="仿宋_GB2312"/>
                <w:color w:val="auto"/>
                <w:kern w:val="2"/>
                <w:sz w:val="24"/>
                <w:szCs w:val="24"/>
                <w:lang w:val="en-US" w:eastAsia="zh-CN" w:bidi="ar-SA"/>
              </w:rPr>
              <w:t>0</w:t>
            </w:r>
          </w:p>
        </w:tc>
        <w:tc>
          <w:tcPr>
            <w:tcW w:w="1351" w:type="pct"/>
            <w:tcBorders>
              <w:tl2br w:val="nil"/>
              <w:tr2bl w:val="nil"/>
            </w:tcBorders>
            <w:noWrap w:val="0"/>
            <w:vAlign w:val="center"/>
          </w:tcPr>
          <w:p w14:paraId="1FFCA62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技术选型合理4分；</w:t>
            </w:r>
          </w:p>
          <w:p w14:paraId="1BB06BE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系统架构设计3分；</w:t>
            </w:r>
          </w:p>
          <w:p w14:paraId="03D73ED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2"/>
                <w:sz w:val="24"/>
                <w:szCs w:val="24"/>
                <w:lang w:val="en-US" w:eastAsia="zh-CN" w:bidi="ar-SA"/>
              </w:rPr>
              <w:t>数据流程设计3分。</w:t>
            </w:r>
          </w:p>
        </w:tc>
      </w:tr>
      <w:tr w14:paraId="3CF43D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511" w:type="pct"/>
            <w:tcBorders>
              <w:tl2br w:val="nil"/>
              <w:tr2bl w:val="nil"/>
            </w:tcBorders>
            <w:noWrap w:val="0"/>
            <w:vAlign w:val="center"/>
          </w:tcPr>
          <w:p w14:paraId="621027B4">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p>
        </w:tc>
        <w:tc>
          <w:tcPr>
            <w:tcW w:w="800" w:type="pct"/>
            <w:tcBorders>
              <w:tl2br w:val="nil"/>
              <w:tr2bl w:val="nil"/>
            </w:tcBorders>
            <w:noWrap w:val="0"/>
            <w:vAlign w:val="center"/>
          </w:tcPr>
          <w:p w14:paraId="098D914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智能交互与优化方案设计</w:t>
            </w:r>
          </w:p>
        </w:tc>
        <w:tc>
          <w:tcPr>
            <w:tcW w:w="1855" w:type="pct"/>
            <w:tcBorders>
              <w:tl2br w:val="nil"/>
              <w:tr2bl w:val="nil"/>
            </w:tcBorders>
            <w:noWrap w:val="0"/>
            <w:vAlign w:val="center"/>
          </w:tcPr>
          <w:p w14:paraId="500C7A3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1.设计游客与系统交互流程；</w:t>
            </w:r>
          </w:p>
          <w:p w14:paraId="235BB8C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2.分析游客行为数据应用方式；</w:t>
            </w:r>
          </w:p>
          <w:p w14:paraId="2EAF759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3.提出系统优化措施。</w:t>
            </w:r>
          </w:p>
        </w:tc>
        <w:tc>
          <w:tcPr>
            <w:tcW w:w="481" w:type="pct"/>
            <w:tcBorders>
              <w:tl2br w:val="nil"/>
              <w:tr2bl w:val="nil"/>
            </w:tcBorders>
            <w:noWrap w:val="0"/>
            <w:vAlign w:val="center"/>
          </w:tcPr>
          <w:p w14:paraId="3A5C411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10</w:t>
            </w:r>
          </w:p>
        </w:tc>
        <w:tc>
          <w:tcPr>
            <w:tcW w:w="1351" w:type="pct"/>
            <w:tcBorders>
              <w:tl2br w:val="nil"/>
              <w:tr2bl w:val="nil"/>
            </w:tcBorders>
            <w:noWrap w:val="0"/>
            <w:vAlign w:val="center"/>
          </w:tcPr>
          <w:p w14:paraId="41E028C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交互流程设计4分；</w:t>
            </w:r>
          </w:p>
          <w:p w14:paraId="5914427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数据分析方案3分；</w:t>
            </w:r>
          </w:p>
          <w:p w14:paraId="009ADA7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优化措施合理3分。</w:t>
            </w:r>
          </w:p>
        </w:tc>
      </w:tr>
      <w:tr w14:paraId="30C649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3167" w:type="pct"/>
            <w:gridSpan w:val="3"/>
            <w:tcBorders>
              <w:tl2br w:val="nil"/>
              <w:tr2bl w:val="nil"/>
            </w:tcBorders>
            <w:noWrap w:val="0"/>
            <w:vAlign w:val="center"/>
          </w:tcPr>
          <w:p w14:paraId="7A0F4083">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总分</w:t>
            </w:r>
          </w:p>
        </w:tc>
        <w:tc>
          <w:tcPr>
            <w:tcW w:w="481" w:type="pct"/>
            <w:tcBorders>
              <w:tl2br w:val="nil"/>
              <w:tr2bl w:val="nil"/>
            </w:tcBorders>
            <w:noWrap w:val="0"/>
            <w:vAlign w:val="center"/>
          </w:tcPr>
          <w:p w14:paraId="0A6C144A">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r>
              <w:rPr>
                <w:rFonts w:hint="eastAsia" w:ascii="仿宋_GB2312" w:hAnsi="仿宋_GB2312" w:eastAsia="仿宋_GB2312" w:cs="仿宋_GB2312"/>
                <w:color w:val="auto"/>
                <w:kern w:val="2"/>
                <w:sz w:val="24"/>
                <w:szCs w:val="24"/>
                <w:lang w:val="en-US" w:eastAsia="zh-CN" w:bidi="ar-SA"/>
              </w:rPr>
              <w:t>0</w:t>
            </w:r>
          </w:p>
        </w:tc>
        <w:tc>
          <w:tcPr>
            <w:tcW w:w="1351" w:type="pct"/>
            <w:tcBorders>
              <w:tl2br w:val="nil"/>
              <w:tr2bl w:val="nil"/>
            </w:tcBorders>
            <w:noWrap w:val="0"/>
            <w:vAlign w:val="center"/>
          </w:tcPr>
          <w:p w14:paraId="611D3FE2">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r>
    </w:tbl>
    <w:p w14:paraId="04D8BA1E">
      <w:pPr>
        <w:pStyle w:val="9"/>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3.评判方法</w:t>
      </w:r>
    </w:p>
    <w:p w14:paraId="287B26B8">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（1）初赛由计算机系统自动判分</w:t>
      </w:r>
      <w:r>
        <w:rPr>
          <w:rFonts w:hint="eastAsia" w:ascii="仿宋_GB2312" w:hAnsi="仿宋_GB2312" w:cs="仿宋_GB2312"/>
          <w:kern w:val="2"/>
          <w:sz w:val="32"/>
          <w:szCs w:val="32"/>
          <w:lang w:val="en-US" w:eastAsia="zh-CN" w:bidi="ar-SA"/>
        </w:rPr>
        <w:t>。</w:t>
      </w:r>
    </w:p>
    <w:p w14:paraId="1F52CC89">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（2）决赛裁判组共10名，其中裁判长1名，裁判员9名。在同等条件下由裁判长采用抽签方式进行裁判分组及确定小组组长，评判过程中应采取回避原则。</w:t>
      </w:r>
    </w:p>
    <w:p w14:paraId="7780256D">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决赛前由裁判长组织所有裁判员进行培训，统一评分标准。以3名裁判员为一组的形式，每组对应一个模块负责对所有参赛选手进行独立打分，取3名裁判的平均分作为选手该模块的成绩，并按照四舍五入的原则，保留小数点后两位。裁判对自己的评分模块签字确认评分结果。</w:t>
      </w:r>
    </w:p>
    <w:p w14:paraId="29F3E38C">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（4）决赛评分小组中分差大于5分（含5分）者则由小组组长负责在组内组织讨论复议，结果提交裁判长审核；以取各裁判评分平均数的方式计算选手的最终得分，按照四舍五入的原则，分数保留小数点后两位。</w:t>
      </w:r>
    </w:p>
    <w:p w14:paraId="53A2F43F">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（5）裁判长对所有裁判员的打分过程的公平、公正性进行监督。裁判员评定期间若有争议，由裁判长裁决。</w:t>
      </w:r>
    </w:p>
    <w:p w14:paraId="1A55B24B">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（6）比赛结束后，所有裁判员需在选手成绩汇总表上进行确认签字，方视为完成执裁工作。</w:t>
      </w:r>
    </w:p>
    <w:p w14:paraId="2843B593">
      <w:pPr>
        <w:pStyle w:val="9"/>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4.综合排名</w:t>
      </w:r>
    </w:p>
    <w:p w14:paraId="73F8ADF3">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选手最终名次依据初赛和决赛两部分成绩按比例累加的综合成绩进行排名，成绩均四舍五入保留两位小数点。其中初赛成绩占30%、决赛成绩占70%，即选手综合成绩=初赛成绩×30%+决赛成绩×70%。当综合成绩相同时，以决赛成绩高者名次在前，若仍相同时，则以决赛模块</w:t>
      </w:r>
      <w:r>
        <w:rPr>
          <w:rFonts w:hint="eastAsia" w:ascii="仿宋_GB2312" w:hAnsi="仿宋_GB2312" w:cs="仿宋_GB2312"/>
          <w:kern w:val="2"/>
          <w:sz w:val="32"/>
          <w:szCs w:val="32"/>
          <w:lang w:val="en-US" w:eastAsia="zh-CN" w:bidi="ar-SA"/>
        </w:rPr>
        <w:t>B</w:t>
      </w:r>
      <w:r>
        <w:rPr>
          <w:rFonts w:hint="eastAsia" w:ascii="仿宋_GB2312" w:hAnsi="仿宋_GB2312" w:eastAsia="仿宋_GB2312" w:cs="仿宋_GB2312"/>
          <w:kern w:val="2"/>
          <w:sz w:val="32"/>
          <w:szCs w:val="32"/>
          <w:lang w:val="en-US" w:eastAsia="zh-CN" w:bidi="ar-SA"/>
        </w:rPr>
        <w:t>、模块</w:t>
      </w:r>
      <w:r>
        <w:rPr>
          <w:rFonts w:hint="eastAsia" w:ascii="仿宋_GB2312" w:hAnsi="仿宋_GB2312" w:cs="仿宋_GB2312"/>
          <w:kern w:val="2"/>
          <w:sz w:val="32"/>
          <w:szCs w:val="32"/>
          <w:lang w:val="en-US" w:eastAsia="zh-CN" w:bidi="ar-SA"/>
        </w:rPr>
        <w:t>A</w:t>
      </w:r>
      <w:r>
        <w:rPr>
          <w:rFonts w:hint="eastAsia" w:ascii="仿宋_GB2312" w:hAnsi="仿宋_GB2312" w:eastAsia="仿宋_GB2312" w:cs="仿宋_GB2312"/>
          <w:kern w:val="2"/>
          <w:sz w:val="32"/>
          <w:szCs w:val="32"/>
          <w:lang w:val="en-US" w:eastAsia="zh-CN" w:bidi="ar-SA"/>
        </w:rPr>
        <w:t>、模块</w:t>
      </w:r>
      <w:r>
        <w:rPr>
          <w:rFonts w:hint="eastAsia" w:ascii="仿宋_GB2312" w:hAnsi="仿宋_GB2312" w:cs="仿宋_GB2312"/>
          <w:kern w:val="2"/>
          <w:sz w:val="32"/>
          <w:szCs w:val="32"/>
          <w:lang w:val="en-US" w:eastAsia="zh-CN" w:bidi="ar-SA"/>
        </w:rPr>
        <w:t>C</w:t>
      </w:r>
      <w:r>
        <w:rPr>
          <w:rFonts w:hint="eastAsia" w:ascii="仿宋_GB2312" w:hAnsi="仿宋_GB2312" w:eastAsia="仿宋_GB2312" w:cs="仿宋_GB2312"/>
          <w:kern w:val="2"/>
          <w:sz w:val="32"/>
          <w:szCs w:val="32"/>
          <w:lang w:val="en-US" w:eastAsia="zh-CN" w:bidi="ar-SA"/>
        </w:rPr>
        <w:t>顺序的分数高低决定排名。</w:t>
      </w:r>
      <w:r>
        <w:rPr>
          <w:rFonts w:hint="eastAsia"/>
        </w:rPr>
        <w:t>若仍无法区分，由裁判长组织专家现场裁定。</w:t>
      </w:r>
    </w:p>
    <w:p w14:paraId="443884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三、竞赛细则</w:t>
      </w:r>
    </w:p>
    <w:p w14:paraId="76DD058D">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（一）参赛证于竞赛报到时凭有效身份证件领取。</w:t>
      </w:r>
    </w:p>
    <w:p w14:paraId="266BC8F7">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（二）各类人员须统一佩戴由执委会印制的证件，着装整齐。</w:t>
      </w:r>
    </w:p>
    <w:p w14:paraId="2D4B1334">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理论竞赛选手须提前20分钟凭有效身份证件和参赛证进入赛场，对号入座并将有效身份证件和参赛证放在座位左上角明显位置，以备查验。开赛20分钟后方可离场，开赛迟到20分钟不得入场，按自动弃权处理。</w:t>
      </w:r>
    </w:p>
    <w:p w14:paraId="1B904286">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（四）理论竞赛选手的出场顺序和工位由竞赛系统随机生成。</w:t>
      </w:r>
    </w:p>
    <w:p w14:paraId="0F449E67">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实操竞赛选手须提前30分钟凭有效身份证件和参赛证进入赛场，对号（工位）入座并将有效身份证件和参赛证放在座位左上角明显位置，以备查验。开赛30分钟后方可离场，开赛迟到30分钟不得入场，按自动弃权处理。</w:t>
      </w:r>
    </w:p>
    <w:p w14:paraId="28CFCCB3">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（六）实操竞赛选手的出场顺序和工位由抽签决定，不得私自调换竞赛选手号，否则按取消参赛处理。</w:t>
      </w:r>
    </w:p>
    <w:p w14:paraId="07F559BA">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选手不能携带与竞赛相关的文件资料、通讯工具、电子设备等进入赛场。在赛场上应自觉遵守赛场秩序，保持安静，竞赛进行过程中不允许任何形式的交谈，更不得大声喧哗吵闹，交头接耳，否则将给予警告或取消竞赛资格。</w:t>
      </w:r>
    </w:p>
    <w:p w14:paraId="318459FB">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（八）各赛场除现场裁判、选手、赛场配备的工作人员以外，其他人员未经允许不得进入竞赛区。所有选手未经同意不可私自离开赛场，否则按弃权处理。</w:t>
      </w:r>
    </w:p>
    <w:p w14:paraId="12F01B51">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（九）竞赛期间，选手未经大赛执委会批准，不得接受其他单位和个人对竞赛相关内容的采访，不得私自公布竞赛相关资料和情况。</w:t>
      </w:r>
    </w:p>
    <w:p w14:paraId="3226CF92">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（十）竞赛过程中，选手须主动配合裁判工作，服从裁判安排，如果对竞赛的裁决有异议，可按规定以书面形式向执委会申诉受理部提出申诉。</w:t>
      </w:r>
    </w:p>
    <w:p w14:paraId="75E0EA7F">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（十一）选手认为赛场提供的设备、工具不符合规定的应立即向现场裁判提出更换。</w:t>
      </w:r>
    </w:p>
    <w:p w14:paraId="4917580D">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（十二）竞赛规定时间结束时，选手应立即停止操作，不得以任何理由拖延竞赛时间，在工作人员引导下离开赛场。</w:t>
      </w:r>
    </w:p>
    <w:p w14:paraId="34DCDFE6">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（十三）冒名顶替、弄虚作假、作弊者，取消竞赛资格及成绩。</w:t>
      </w:r>
    </w:p>
    <w:p w14:paraId="4CA7CC72">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（十四）竞赛现场配备实时监控系统，对现场赛事进行完整的实时监控和录像，并有专人对竞赛环节进行全程录像。</w:t>
      </w:r>
    </w:p>
    <w:p w14:paraId="20EF172E">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（十五）如竞赛出现不可预见的异常情况，由执委会与组委会商议后，做出处理决定。</w:t>
      </w:r>
    </w:p>
    <w:p w14:paraId="32E9B9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四、竞赛场地、设施设备</w:t>
      </w:r>
    </w:p>
    <w:p w14:paraId="7D0748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（一）赛场规格</w:t>
      </w:r>
    </w:p>
    <w:p w14:paraId="320EC418">
      <w:pPr>
        <w:keepNext w:val="0"/>
        <w:keepLines w:val="0"/>
        <w:pageBreakBefore w:val="0"/>
        <w:widowControl w:val="0"/>
        <w:kinsoku/>
        <w:wordWrap w:val="0"/>
        <w:overflowPunct/>
        <w:topLinePunct w:val="0"/>
        <w:autoSpaceDE/>
        <w:autoSpaceDN/>
        <w:bidi w:val="0"/>
        <w:adjustRightInd w:val="0"/>
        <w:snapToGrid w:val="0"/>
        <w:spacing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1.初赛。</w:t>
      </w:r>
      <w:r>
        <w:rPr>
          <w:rFonts w:hint="eastAsia" w:ascii="仿宋_GB2312" w:hAnsi="仿宋_GB2312" w:eastAsia="仿宋_GB2312" w:cs="仿宋_GB2312"/>
          <w:kern w:val="2"/>
          <w:sz w:val="32"/>
          <w:szCs w:val="32"/>
          <w:lang w:val="en-US" w:eastAsia="zh-CN" w:bidi="ar-SA"/>
        </w:rPr>
        <w:t>参照计算机类工种考核要求布置赛场，配备与参赛人数相适应的计算机及竞赛答题软件，保证单人单机并留有一定数量的备用机。</w:t>
      </w:r>
    </w:p>
    <w:p w14:paraId="19F4A2E4">
      <w:pPr>
        <w:keepNext w:val="0"/>
        <w:keepLines w:val="0"/>
        <w:pageBreakBefore w:val="0"/>
        <w:widowControl w:val="0"/>
        <w:kinsoku/>
        <w:wordWrap w:val="0"/>
        <w:overflowPunct/>
        <w:topLinePunct w:val="0"/>
        <w:autoSpaceDE/>
        <w:autoSpaceDN/>
        <w:bidi w:val="0"/>
        <w:adjustRightInd/>
        <w:snapToGrid/>
        <w:spacing w:line="580" w:lineRule="exact"/>
        <w:ind w:firstLine="643" w:firstLineChars="200"/>
        <w:textAlignment w:val="auto"/>
        <w:rPr>
          <w:rFonts w:hint="default" w:ascii="Times New Roman" w:hAnsi="Times New Roman" w:eastAsia="黑体" w:cs="Times New Roman"/>
          <w:bCs/>
          <w:color w:val="auto"/>
          <w:sz w:val="32"/>
          <w:szCs w:val="32"/>
          <w:highlight w:val="none"/>
          <w:lang w:val="en-US"/>
        </w:rPr>
      </w:pPr>
      <w:r>
        <w:rPr>
          <w:rFonts w:hint="eastAsia" w:ascii="仿宋_GB2312" w:hAnsi="仿宋_GB2312" w:eastAsia="仿宋_GB2312" w:cs="仿宋_GB2312"/>
          <w:b/>
          <w:bCs/>
          <w:sz w:val="32"/>
          <w:szCs w:val="32"/>
        </w:rPr>
        <w:t>2.决赛。</w:t>
      </w:r>
      <w:r>
        <w:rPr>
          <w:rFonts w:hint="eastAsia" w:ascii="仿宋_GB2312" w:hAnsi="仿宋_GB2312" w:eastAsia="仿宋_GB2312" w:cs="仿宋_GB2312"/>
          <w:kern w:val="2"/>
          <w:sz w:val="32"/>
          <w:szCs w:val="32"/>
          <w:lang w:val="en-US" w:eastAsia="zh-CN" w:bidi="ar-SA"/>
        </w:rPr>
        <w:t>竞赛现场设有竞赛区、裁判室、</w:t>
      </w:r>
      <w:r>
        <w:rPr>
          <w:rFonts w:hint="eastAsia" w:ascii="仿宋_GB2312" w:hAnsi="仿宋_GB2312" w:eastAsia="仿宋_GB2312" w:cs="仿宋_GB2312"/>
          <w:kern w:val="2"/>
          <w:sz w:val="32"/>
          <w:szCs w:val="32"/>
          <w:highlight w:val="none"/>
          <w:lang w:val="en-US" w:eastAsia="zh-CN" w:bidi="ar-SA"/>
        </w:rPr>
        <w:t>赛务室、候赛室、选手室等，合计总面积约1200平方米。参照</w:t>
      </w:r>
      <w:r>
        <w:rPr>
          <w:rFonts w:hint="eastAsia" w:ascii="仿宋_GB2312" w:hAnsi="仿宋_GB2312" w:eastAsia="仿宋_GB2312" w:cs="仿宋_GB2312"/>
          <w:kern w:val="2"/>
          <w:sz w:val="32"/>
          <w:szCs w:val="32"/>
          <w:lang w:val="en-US" w:eastAsia="zh-CN" w:bidi="ar-SA"/>
        </w:rPr>
        <w:t>计算机类工种考核要求布置赛场，配备与参赛人数相适应的计算机及竞赛答题软件，保证单人单机并留有一定数量的备用机。</w:t>
      </w:r>
    </w:p>
    <w:p w14:paraId="12C9A1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（二）场地布局图</w:t>
      </w:r>
    </w:p>
    <w:p w14:paraId="33FCCC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auto"/>
          <w:highlight w:val="none"/>
          <w:lang w:eastAsia="zh-CN"/>
        </w:rPr>
      </w:pPr>
      <w:r>
        <w:rPr>
          <w:rFonts w:hint="eastAsia" w:ascii="Times New Roman" w:hAnsi="Times New Roman" w:eastAsia="仿宋_GB2312" w:cs="Times New Roman"/>
          <w:color w:val="auto"/>
          <w:highlight w:val="none"/>
          <w:lang w:eastAsia="zh-CN"/>
        </w:rPr>
        <w:drawing>
          <wp:inline distT="0" distB="0" distL="114300" distR="114300">
            <wp:extent cx="4801870" cy="3200400"/>
            <wp:effectExtent l="0" t="0" r="13970" b="0"/>
            <wp:docPr id="1" name="图片 1" descr="替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替换"/>
                    <pic:cNvPicPr>
                      <a:picLocks noChangeAspect="1"/>
                    </pic:cNvPicPr>
                  </pic:nvPicPr>
                  <pic:blipFill>
                    <a:blip r:embed="rId5"/>
                    <a:stretch>
                      <a:fillRect/>
                    </a:stretch>
                  </pic:blipFill>
                  <pic:spPr>
                    <a:xfrm>
                      <a:off x="0" y="0"/>
                      <a:ext cx="4801870" cy="3200400"/>
                    </a:xfrm>
                    <a:prstGeom prst="rect">
                      <a:avLst/>
                    </a:prstGeom>
                  </pic:spPr>
                </pic:pic>
              </a:graphicData>
            </a:graphic>
          </wp:inline>
        </w:drawing>
      </w:r>
    </w:p>
    <w:p w14:paraId="4BCAE0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（三）基础设施清单</w:t>
      </w:r>
    </w:p>
    <w:p w14:paraId="2FB529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仿宋_GB2312" w:hAnsi="仿宋_GB2312" w:eastAsia="仿宋_GB2312" w:cs="仿宋_GB2312"/>
          <w:sz w:val="32"/>
          <w:szCs w:val="32"/>
        </w:rPr>
        <w:t>竞赛所需设备、工具，由赛场提供，未明确在选手携带工具清单中的，一律不得带入赛场。赛场提供的各类工具、材料，选手一律不得带出赛场。赛场提供设施、设备具体如以下清单表所示：</w:t>
      </w:r>
    </w:p>
    <w:p w14:paraId="700BAF93">
      <w:pPr>
        <w:keepNext w:val="0"/>
        <w:keepLines w:val="0"/>
        <w:pageBreakBefore w:val="0"/>
        <w:widowControl w:val="0"/>
        <w:kinsoku/>
        <w:wordWrap w:val="0"/>
        <w:overflowPunct/>
        <w:topLinePunct w:val="0"/>
        <w:autoSpaceDE/>
        <w:autoSpaceDN/>
        <w:bidi w:val="0"/>
        <w:adjustRightInd w:val="0"/>
        <w:snapToGrid w:val="0"/>
        <w:spacing w:line="580" w:lineRule="exact"/>
        <w:jc w:val="center"/>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初赛设施、设备清单</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539"/>
        <w:gridCol w:w="2790"/>
        <w:gridCol w:w="2652"/>
      </w:tblGrid>
      <w:tr w14:paraId="1925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3" w:type="pct"/>
            <w:noWrap w:val="0"/>
            <w:vAlign w:val="center"/>
          </w:tcPr>
          <w:p w14:paraId="69668B47">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序号</w:t>
            </w:r>
          </w:p>
        </w:tc>
        <w:tc>
          <w:tcPr>
            <w:tcW w:w="903" w:type="pct"/>
            <w:noWrap w:val="0"/>
            <w:vAlign w:val="center"/>
          </w:tcPr>
          <w:p w14:paraId="138A4AE7">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名称</w:t>
            </w:r>
          </w:p>
        </w:tc>
        <w:tc>
          <w:tcPr>
            <w:tcW w:w="1637" w:type="pct"/>
            <w:noWrap w:val="0"/>
            <w:vAlign w:val="center"/>
          </w:tcPr>
          <w:p w14:paraId="071877BA">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数量</w:t>
            </w:r>
          </w:p>
        </w:tc>
        <w:tc>
          <w:tcPr>
            <w:tcW w:w="1555" w:type="pct"/>
            <w:noWrap w:val="0"/>
            <w:vAlign w:val="center"/>
          </w:tcPr>
          <w:p w14:paraId="508A2928">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技术规格</w:t>
            </w:r>
          </w:p>
        </w:tc>
      </w:tr>
      <w:tr w14:paraId="6E75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03" w:type="pct"/>
            <w:noWrap w:val="0"/>
            <w:vAlign w:val="center"/>
          </w:tcPr>
          <w:p w14:paraId="1CF65EE3">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c>
          <w:tcPr>
            <w:tcW w:w="903" w:type="pct"/>
            <w:noWrap w:val="0"/>
            <w:vAlign w:val="center"/>
          </w:tcPr>
          <w:p w14:paraId="020D0B0A">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电脑</w:t>
            </w:r>
          </w:p>
        </w:tc>
        <w:tc>
          <w:tcPr>
            <w:tcW w:w="1637" w:type="pct"/>
            <w:noWrap w:val="0"/>
            <w:vAlign w:val="center"/>
          </w:tcPr>
          <w:p w14:paraId="44FCE3A1">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1套/选手</w:t>
            </w:r>
          </w:p>
        </w:tc>
        <w:tc>
          <w:tcPr>
            <w:tcW w:w="1555" w:type="pct"/>
            <w:noWrap w:val="0"/>
            <w:vAlign w:val="center"/>
          </w:tcPr>
          <w:p w14:paraId="5E1393BF">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统一配置</w:t>
            </w:r>
          </w:p>
        </w:tc>
      </w:tr>
    </w:tbl>
    <w:p w14:paraId="04833F04">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决赛</w:t>
      </w:r>
      <w:r>
        <w:rPr>
          <w:rFonts w:hint="eastAsia" w:ascii="仿宋_GB2312" w:hAnsi="仿宋_GB2312" w:eastAsia="仿宋_GB2312" w:cs="仿宋_GB2312"/>
          <w:sz w:val="32"/>
          <w:szCs w:val="32"/>
          <w:highlight w:val="none"/>
          <w:lang w:val="en" w:eastAsia="zh-CN"/>
        </w:rPr>
        <w:t>设施、设备清单</w:t>
      </w:r>
    </w:p>
    <w:tbl>
      <w:tblPr>
        <w:tblStyle w:val="14"/>
        <w:tblW w:w="8679" w:type="dxa"/>
        <w:tblInd w:w="0" w:type="dxa"/>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fixed"/>
        <w:tblCellMar>
          <w:top w:w="57" w:type="dxa"/>
          <w:left w:w="142" w:type="dxa"/>
          <w:bottom w:w="57" w:type="dxa"/>
          <w:right w:w="142" w:type="dxa"/>
        </w:tblCellMar>
      </w:tblPr>
      <w:tblGrid>
        <w:gridCol w:w="993"/>
        <w:gridCol w:w="2600"/>
        <w:gridCol w:w="2739"/>
        <w:gridCol w:w="2347"/>
      </w:tblGrid>
      <w:tr w14:paraId="3ED70BE8">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blHeader/>
        </w:trPr>
        <w:tc>
          <w:tcPr>
            <w:tcW w:w="993"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top"/>
          </w:tcPr>
          <w:p w14:paraId="2A3ADB9A">
            <w:pPr>
              <w:pStyle w:val="18"/>
              <w:snapToGrid w:val="0"/>
              <w:spacing w:line="240" w:lineRule="atLeast"/>
              <w:jc w:val="center"/>
              <w:rPr>
                <w:rFonts w:hint="eastAsia" w:ascii="仿宋_GB2312" w:hAnsi="仿宋_GB2312" w:eastAsia="仿宋_GB2312" w:cs="仿宋_GB2312"/>
                <w:b/>
                <w:caps/>
                <w:color w:val="auto"/>
                <w:sz w:val="24"/>
                <w:highlight w:val="none"/>
              </w:rPr>
            </w:pPr>
            <w:r>
              <w:rPr>
                <w:rFonts w:hint="eastAsia" w:ascii="仿宋_GB2312" w:hAnsi="仿宋_GB2312" w:eastAsia="仿宋_GB2312" w:cs="仿宋_GB2312"/>
                <w:b/>
                <w:caps/>
                <w:color w:val="auto"/>
                <w:sz w:val="24"/>
                <w:highlight w:val="none"/>
                <w:lang w:val="en-US"/>
              </w:rPr>
              <w:t>序号</w:t>
            </w:r>
          </w:p>
        </w:tc>
        <w:tc>
          <w:tcPr>
            <w:tcW w:w="260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top"/>
          </w:tcPr>
          <w:p w14:paraId="5B394CCC">
            <w:pPr>
              <w:pStyle w:val="18"/>
              <w:snapToGrid w:val="0"/>
              <w:spacing w:line="240" w:lineRule="atLeast"/>
              <w:jc w:val="center"/>
              <w:rPr>
                <w:rFonts w:hint="eastAsia" w:ascii="仿宋_GB2312" w:hAnsi="仿宋_GB2312" w:eastAsia="仿宋_GB2312" w:cs="仿宋_GB2312"/>
                <w:b/>
                <w:caps/>
                <w:color w:val="auto"/>
                <w:sz w:val="24"/>
                <w:highlight w:val="none"/>
              </w:rPr>
            </w:pPr>
            <w:r>
              <w:rPr>
                <w:rFonts w:hint="eastAsia" w:ascii="仿宋_GB2312" w:hAnsi="仿宋_GB2312" w:eastAsia="仿宋_GB2312" w:cs="仿宋_GB2312"/>
                <w:b/>
                <w:caps/>
                <w:color w:val="auto"/>
                <w:sz w:val="24"/>
                <w:highlight w:val="none"/>
                <w:lang w:val="en-US"/>
              </w:rPr>
              <w:t>名称</w:t>
            </w:r>
          </w:p>
        </w:tc>
        <w:tc>
          <w:tcPr>
            <w:tcW w:w="273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top"/>
          </w:tcPr>
          <w:p w14:paraId="2ADAD994">
            <w:pPr>
              <w:pStyle w:val="18"/>
              <w:snapToGrid w:val="0"/>
              <w:spacing w:line="240" w:lineRule="atLeast"/>
              <w:jc w:val="center"/>
              <w:rPr>
                <w:rFonts w:hint="eastAsia" w:ascii="仿宋_GB2312" w:hAnsi="仿宋_GB2312" w:eastAsia="仿宋_GB2312" w:cs="仿宋_GB2312"/>
                <w:b/>
                <w:caps/>
                <w:color w:val="auto"/>
                <w:sz w:val="24"/>
                <w:highlight w:val="none"/>
                <w:lang w:eastAsia="zh-CN"/>
              </w:rPr>
            </w:pPr>
            <w:r>
              <w:rPr>
                <w:rFonts w:hint="eastAsia" w:ascii="仿宋_GB2312" w:hAnsi="仿宋_GB2312" w:eastAsia="仿宋_GB2312" w:cs="仿宋_GB2312"/>
                <w:b/>
                <w:caps/>
                <w:color w:val="auto"/>
                <w:sz w:val="24"/>
                <w:highlight w:val="none"/>
                <w:lang w:eastAsia="zh-CN"/>
              </w:rPr>
              <w:t>数量</w:t>
            </w:r>
          </w:p>
        </w:tc>
        <w:tc>
          <w:tcPr>
            <w:tcW w:w="2347"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top"/>
          </w:tcPr>
          <w:p w14:paraId="01D9A0F3">
            <w:pPr>
              <w:pStyle w:val="18"/>
              <w:snapToGrid w:val="0"/>
              <w:spacing w:line="240" w:lineRule="atLeast"/>
              <w:jc w:val="center"/>
              <w:rPr>
                <w:rFonts w:hint="eastAsia" w:ascii="仿宋_GB2312" w:hAnsi="仿宋_GB2312" w:eastAsia="仿宋_GB2312" w:cs="仿宋_GB2312"/>
                <w:b/>
                <w:caps/>
                <w:color w:val="auto"/>
                <w:sz w:val="24"/>
                <w:highlight w:val="none"/>
                <w:lang w:eastAsia="zh-CN"/>
              </w:rPr>
            </w:pPr>
            <w:r>
              <w:rPr>
                <w:rFonts w:hint="eastAsia" w:ascii="仿宋_GB2312" w:hAnsi="仿宋_GB2312" w:eastAsia="仿宋_GB2312" w:cs="仿宋_GB2312"/>
                <w:b/>
                <w:caps/>
                <w:color w:val="auto"/>
                <w:sz w:val="24"/>
                <w:highlight w:val="none"/>
                <w:lang w:eastAsia="zh-CN"/>
              </w:rPr>
              <w:t>技术规格</w:t>
            </w:r>
          </w:p>
        </w:tc>
      </w:tr>
      <w:tr w14:paraId="23985E96">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trPr>
        <w:tc>
          <w:tcPr>
            <w:tcW w:w="993"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59E9931C">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1</w:t>
            </w:r>
          </w:p>
        </w:tc>
        <w:tc>
          <w:tcPr>
            <w:tcW w:w="260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14858B12">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lang w:val="en-US" w:eastAsia="zh-CN"/>
              </w:rPr>
              <w:t>摄像头</w:t>
            </w:r>
          </w:p>
        </w:tc>
        <w:tc>
          <w:tcPr>
            <w:tcW w:w="273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531D8515">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lang w:val="en-US" w:eastAsia="zh-CN"/>
              </w:rPr>
              <w:t>1个/选手</w:t>
            </w:r>
          </w:p>
        </w:tc>
        <w:tc>
          <w:tcPr>
            <w:tcW w:w="2347"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43126905">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lang w:val="en-US" w:eastAsia="zh-CN"/>
              </w:rPr>
              <w:t>/</w:t>
            </w:r>
          </w:p>
        </w:tc>
      </w:tr>
      <w:tr w14:paraId="105C4B63">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trPr>
        <w:tc>
          <w:tcPr>
            <w:tcW w:w="993"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5EC92B80">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2</w:t>
            </w:r>
          </w:p>
        </w:tc>
        <w:tc>
          <w:tcPr>
            <w:tcW w:w="260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5DB0E3BB">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rPr>
              <w:t>操作系统</w:t>
            </w:r>
          </w:p>
        </w:tc>
        <w:tc>
          <w:tcPr>
            <w:tcW w:w="273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1DA63269">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套</w:t>
            </w:r>
            <w:r>
              <w:rPr>
                <w:rFonts w:hint="eastAsia" w:ascii="仿宋_GB2312" w:hAnsi="仿宋_GB2312" w:eastAsia="仿宋_GB2312" w:cs="仿宋_GB2312"/>
                <w:color w:val="auto"/>
                <w:kern w:val="0"/>
                <w:sz w:val="24"/>
                <w:szCs w:val="24"/>
                <w:lang w:val="en-US" w:eastAsia="zh-CN"/>
              </w:rPr>
              <w:t>/选手</w:t>
            </w:r>
          </w:p>
        </w:tc>
        <w:tc>
          <w:tcPr>
            <w:tcW w:w="2347"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56052D58">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rPr>
              <w:t>Windows10</w:t>
            </w:r>
          </w:p>
        </w:tc>
      </w:tr>
      <w:tr w14:paraId="13F859F6">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trPr>
        <w:tc>
          <w:tcPr>
            <w:tcW w:w="993"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5DD4948B">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3</w:t>
            </w:r>
          </w:p>
        </w:tc>
        <w:tc>
          <w:tcPr>
            <w:tcW w:w="260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42DDE95A">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rPr>
              <w:t>Python</w:t>
            </w:r>
          </w:p>
        </w:tc>
        <w:tc>
          <w:tcPr>
            <w:tcW w:w="273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4D39EC47">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套</w:t>
            </w:r>
            <w:r>
              <w:rPr>
                <w:rFonts w:hint="eastAsia" w:ascii="仿宋_GB2312" w:hAnsi="仿宋_GB2312" w:eastAsia="仿宋_GB2312" w:cs="仿宋_GB2312"/>
                <w:color w:val="auto"/>
                <w:kern w:val="0"/>
                <w:sz w:val="24"/>
                <w:szCs w:val="24"/>
                <w:lang w:val="en-US" w:eastAsia="zh-CN"/>
              </w:rPr>
              <w:t>/选手</w:t>
            </w:r>
          </w:p>
        </w:tc>
        <w:tc>
          <w:tcPr>
            <w:tcW w:w="2347"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09957184">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kern w:val="0"/>
                <w:sz w:val="24"/>
                <w:szCs w:val="24"/>
                <w:lang w:val="en-US" w:eastAsia="zh-CN"/>
              </w:rPr>
              <w:t>3.9</w:t>
            </w:r>
          </w:p>
        </w:tc>
      </w:tr>
      <w:tr w14:paraId="749D0DF2">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trPr>
        <w:tc>
          <w:tcPr>
            <w:tcW w:w="993"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45CE6486">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4</w:t>
            </w:r>
          </w:p>
        </w:tc>
        <w:tc>
          <w:tcPr>
            <w:tcW w:w="260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666F8F3F">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rPr>
              <w:t>计算机视觉库</w:t>
            </w:r>
          </w:p>
        </w:tc>
        <w:tc>
          <w:tcPr>
            <w:tcW w:w="273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36D09F35">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套</w:t>
            </w:r>
            <w:r>
              <w:rPr>
                <w:rFonts w:hint="eastAsia" w:ascii="仿宋_GB2312" w:hAnsi="仿宋_GB2312" w:eastAsia="仿宋_GB2312" w:cs="仿宋_GB2312"/>
                <w:color w:val="auto"/>
                <w:kern w:val="0"/>
                <w:sz w:val="24"/>
                <w:szCs w:val="24"/>
                <w:lang w:val="en-US" w:eastAsia="zh-CN"/>
              </w:rPr>
              <w:t>/选手</w:t>
            </w:r>
          </w:p>
        </w:tc>
        <w:tc>
          <w:tcPr>
            <w:tcW w:w="2347"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25135B26">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rPr>
              <w:t>opencv-python</w:t>
            </w:r>
          </w:p>
        </w:tc>
      </w:tr>
      <w:tr w14:paraId="0B2F6604">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trPr>
        <w:tc>
          <w:tcPr>
            <w:tcW w:w="993"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1A80DC28">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5</w:t>
            </w:r>
          </w:p>
        </w:tc>
        <w:tc>
          <w:tcPr>
            <w:tcW w:w="260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5FC40388">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rPr>
              <w:t>数值计算库</w:t>
            </w:r>
          </w:p>
        </w:tc>
        <w:tc>
          <w:tcPr>
            <w:tcW w:w="273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4E1F7A5B">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套</w:t>
            </w:r>
            <w:r>
              <w:rPr>
                <w:rFonts w:hint="eastAsia" w:ascii="仿宋_GB2312" w:hAnsi="仿宋_GB2312" w:eastAsia="仿宋_GB2312" w:cs="仿宋_GB2312"/>
                <w:color w:val="auto"/>
                <w:kern w:val="0"/>
                <w:sz w:val="24"/>
                <w:szCs w:val="24"/>
                <w:lang w:val="en-US" w:eastAsia="zh-CN"/>
              </w:rPr>
              <w:t>/选手</w:t>
            </w:r>
          </w:p>
        </w:tc>
        <w:tc>
          <w:tcPr>
            <w:tcW w:w="2347"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7306084A">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kern w:val="0"/>
                <w:sz w:val="24"/>
                <w:szCs w:val="24"/>
                <w:highlight w:val="none"/>
              </w:rPr>
              <w:t>numpy</w:t>
            </w:r>
            <w:r>
              <w:rPr>
                <w:rFonts w:hint="eastAsia" w:ascii="仿宋_GB2312" w:hAnsi="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lang w:val="en-US" w:eastAsia="zh-CN"/>
              </w:rPr>
              <w:t>pandas</w:t>
            </w:r>
            <w:r>
              <w:rPr>
                <w:rFonts w:hint="eastAsia" w:ascii="仿宋_GB2312" w:hAnsi="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lang w:val="en-US" w:eastAsia="zh-CN"/>
              </w:rPr>
              <w:t>matplotlib</w:t>
            </w:r>
            <w:r>
              <w:rPr>
                <w:rFonts w:hint="eastAsia" w:ascii="仿宋_GB2312" w:hAnsi="仿宋_GB2312" w:cs="仿宋_GB2312"/>
                <w:color w:val="auto"/>
                <w:kern w:val="0"/>
                <w:sz w:val="24"/>
                <w:szCs w:val="24"/>
                <w:highlight w:val="none"/>
                <w:lang w:val="en-US" w:eastAsia="zh-CN"/>
              </w:rPr>
              <w:t>等</w:t>
            </w:r>
          </w:p>
        </w:tc>
      </w:tr>
      <w:tr w14:paraId="4C8E9EB6">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trPr>
        <w:tc>
          <w:tcPr>
            <w:tcW w:w="993"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73FEE6DE">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6</w:t>
            </w:r>
          </w:p>
        </w:tc>
        <w:tc>
          <w:tcPr>
            <w:tcW w:w="2600"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47E51DC8">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lang w:val="en-US" w:eastAsia="zh-CN"/>
              </w:rPr>
              <w:t>标注软件</w:t>
            </w:r>
          </w:p>
        </w:tc>
        <w:tc>
          <w:tcPr>
            <w:tcW w:w="2739"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2955DF7C">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lang w:val="en-US" w:eastAsia="zh-CN"/>
              </w:rPr>
              <w:t>1个</w:t>
            </w:r>
            <w:r>
              <w:rPr>
                <w:rFonts w:hint="eastAsia" w:ascii="仿宋_GB2312" w:hAnsi="仿宋_GB2312" w:eastAsia="仿宋_GB2312" w:cs="仿宋_GB2312"/>
                <w:color w:val="auto"/>
                <w:kern w:val="0"/>
                <w:sz w:val="24"/>
                <w:szCs w:val="24"/>
                <w:lang w:val="en-US" w:eastAsia="zh-CN"/>
              </w:rPr>
              <w:t>/选手</w:t>
            </w:r>
          </w:p>
        </w:tc>
        <w:tc>
          <w:tcPr>
            <w:tcW w:w="2347" w:type="dxa"/>
            <w:tcBorders>
              <w:top w:val="single" w:color="000000" w:themeColor="text1" w:sz="4" w:space="0"/>
              <w:left w:val="single" w:color="000000" w:themeColor="text1" w:sz="4" w:space="0"/>
              <w:bottom w:val="single" w:color="000000" w:themeColor="text1" w:sz="4" w:space="0"/>
              <w:right w:val="single" w:color="000000" w:themeColor="text1" w:sz="4" w:space="0"/>
            </w:tcBorders>
            <w:noWrap w:val="0"/>
            <w:vAlign w:val="center"/>
          </w:tcPr>
          <w:p w14:paraId="66FF4660">
            <w:pPr>
              <w:keepNext w:val="0"/>
              <w:keepLines w:val="0"/>
              <w:pageBreakBefore w:val="0"/>
              <w:widowControl/>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lang w:val="en-US" w:eastAsia="zh-CN"/>
              </w:rPr>
              <w:t>Labelme</w:t>
            </w:r>
          </w:p>
        </w:tc>
      </w:tr>
      <w:tr w14:paraId="6B5958EE">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trPr>
        <w:tc>
          <w:tcPr>
            <w:tcW w:w="9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14:paraId="4BA8E700">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7</w:t>
            </w:r>
          </w:p>
        </w:tc>
        <w:tc>
          <w:tcPr>
            <w:tcW w:w="26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14:paraId="209ABE45">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电脑</w:t>
            </w:r>
          </w:p>
        </w:tc>
        <w:tc>
          <w:tcPr>
            <w:tcW w:w="273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14:paraId="4174C998">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1套/选手</w:t>
            </w:r>
          </w:p>
        </w:tc>
        <w:tc>
          <w:tcPr>
            <w:tcW w:w="23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0"/>
            <w:vAlign w:val="center"/>
          </w:tcPr>
          <w:p w14:paraId="0E1BE8E3">
            <w:pPr>
              <w:pStyle w:val="9"/>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统一配置</w:t>
            </w:r>
          </w:p>
        </w:tc>
      </w:tr>
    </w:tbl>
    <w:p w14:paraId="0BE5BAB7">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禁止携带物品清单表</w:t>
      </w:r>
    </w:p>
    <w:tbl>
      <w:tblPr>
        <w:tblStyle w:val="14"/>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970"/>
        <w:gridCol w:w="4476"/>
        <w:gridCol w:w="3074"/>
      </w:tblGrid>
      <w:tr w14:paraId="53EBA94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569" w:type="pct"/>
            <w:tcBorders>
              <w:top w:val="single" w:color="auto" w:sz="4" w:space="0"/>
              <w:left w:val="single" w:color="auto" w:sz="4" w:space="0"/>
              <w:bottom w:val="single" w:color="auto" w:sz="4" w:space="0"/>
              <w:right w:val="single" w:color="auto" w:sz="4" w:space="0"/>
            </w:tcBorders>
            <w:noWrap w:val="0"/>
            <w:vAlign w:val="center"/>
          </w:tcPr>
          <w:p w14:paraId="13D4C9B1">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序号</w:t>
            </w:r>
          </w:p>
        </w:tc>
        <w:tc>
          <w:tcPr>
            <w:tcW w:w="2626" w:type="pct"/>
            <w:tcBorders>
              <w:top w:val="single" w:color="auto" w:sz="4" w:space="0"/>
              <w:left w:val="single" w:color="auto" w:sz="4" w:space="0"/>
              <w:bottom w:val="single" w:color="auto" w:sz="4" w:space="0"/>
              <w:right w:val="single" w:color="auto" w:sz="4" w:space="0"/>
            </w:tcBorders>
            <w:noWrap w:val="0"/>
            <w:vAlign w:val="center"/>
          </w:tcPr>
          <w:p w14:paraId="10DAC1D9">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en-US" w:eastAsia="zh-CN" w:bidi="ar-SA"/>
              </w:rPr>
              <w:t>设备和材料名称</w:t>
            </w:r>
          </w:p>
        </w:tc>
        <w:tc>
          <w:tcPr>
            <w:tcW w:w="1803" w:type="pct"/>
            <w:tcBorders>
              <w:top w:val="single" w:color="auto" w:sz="4" w:space="0"/>
              <w:left w:val="single" w:color="auto" w:sz="4" w:space="0"/>
              <w:bottom w:val="single" w:color="auto" w:sz="4" w:space="0"/>
              <w:right w:val="single" w:color="auto" w:sz="4" w:space="0"/>
            </w:tcBorders>
            <w:noWrap w:val="0"/>
            <w:vAlign w:val="center"/>
          </w:tcPr>
          <w:p w14:paraId="24CBC7DC">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zh-CN" w:eastAsia="zh-CN" w:bidi="ar-SA"/>
              </w:rPr>
            </w:pPr>
            <w:r>
              <w:rPr>
                <w:rFonts w:hint="eastAsia" w:ascii="仿宋_GB2312" w:hAnsi="仿宋_GB2312" w:eastAsia="仿宋_GB2312" w:cs="仿宋_GB2312"/>
                <w:b/>
                <w:bCs/>
                <w:kern w:val="2"/>
                <w:sz w:val="24"/>
                <w:szCs w:val="24"/>
                <w:lang w:val="zh-CN" w:eastAsia="zh-CN" w:bidi="ar-SA"/>
              </w:rPr>
              <w:t>举例</w:t>
            </w:r>
          </w:p>
        </w:tc>
      </w:tr>
      <w:tr w14:paraId="3338382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69" w:type="pct"/>
            <w:tcBorders>
              <w:top w:val="single" w:color="auto" w:sz="4" w:space="0"/>
              <w:left w:val="single" w:color="auto" w:sz="4" w:space="0"/>
              <w:bottom w:val="single" w:color="auto" w:sz="4" w:space="0"/>
              <w:right w:val="single" w:color="auto" w:sz="4" w:space="0"/>
            </w:tcBorders>
            <w:noWrap w:val="0"/>
            <w:vAlign w:val="center"/>
          </w:tcPr>
          <w:p w14:paraId="11063888">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1</w:t>
            </w:r>
          </w:p>
        </w:tc>
        <w:tc>
          <w:tcPr>
            <w:tcW w:w="2626" w:type="pct"/>
            <w:tcBorders>
              <w:top w:val="single" w:color="auto" w:sz="4" w:space="0"/>
              <w:left w:val="single" w:color="auto" w:sz="4" w:space="0"/>
              <w:bottom w:val="single" w:color="auto" w:sz="4" w:space="0"/>
              <w:right w:val="single" w:color="auto" w:sz="4" w:space="0"/>
            </w:tcBorders>
            <w:noWrap w:val="0"/>
            <w:vAlign w:val="center"/>
          </w:tcPr>
          <w:p w14:paraId="4EF7C30C">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zh-CN" w:eastAsia="zh-CN" w:bidi="ar-SA"/>
              </w:rPr>
              <w:t>通讯设备</w:t>
            </w:r>
          </w:p>
        </w:tc>
        <w:tc>
          <w:tcPr>
            <w:tcW w:w="1803" w:type="pct"/>
            <w:tcBorders>
              <w:top w:val="single" w:color="auto" w:sz="4" w:space="0"/>
              <w:left w:val="single" w:color="auto" w:sz="4" w:space="0"/>
              <w:bottom w:val="single" w:color="auto" w:sz="4" w:space="0"/>
              <w:right w:val="single" w:color="auto" w:sz="4" w:space="0"/>
            </w:tcBorders>
            <w:noWrap w:val="0"/>
            <w:vAlign w:val="center"/>
          </w:tcPr>
          <w:p w14:paraId="3CA942A5">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手机、电话手表等</w:t>
            </w:r>
          </w:p>
        </w:tc>
      </w:tr>
      <w:tr w14:paraId="45EF72C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69" w:type="pct"/>
            <w:tcBorders>
              <w:top w:val="single" w:color="auto" w:sz="4" w:space="0"/>
              <w:left w:val="single" w:color="auto" w:sz="4" w:space="0"/>
              <w:bottom w:val="single" w:color="auto" w:sz="4" w:space="0"/>
              <w:right w:val="single" w:color="auto" w:sz="4" w:space="0"/>
            </w:tcBorders>
            <w:noWrap w:val="0"/>
            <w:vAlign w:val="center"/>
          </w:tcPr>
          <w:p w14:paraId="3A73C485">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2</w:t>
            </w:r>
          </w:p>
        </w:tc>
        <w:tc>
          <w:tcPr>
            <w:tcW w:w="2626" w:type="pct"/>
            <w:tcBorders>
              <w:top w:val="single" w:color="auto" w:sz="4" w:space="0"/>
              <w:left w:val="single" w:color="auto" w:sz="4" w:space="0"/>
              <w:bottom w:val="single" w:color="auto" w:sz="4" w:space="0"/>
              <w:right w:val="single" w:color="auto" w:sz="4" w:space="0"/>
            </w:tcBorders>
            <w:noWrap w:val="0"/>
            <w:vAlign w:val="center"/>
          </w:tcPr>
          <w:p w14:paraId="17EA1CDA">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移动存储设备</w:t>
            </w:r>
            <w:r>
              <w:rPr>
                <w:rFonts w:hint="eastAsia" w:ascii="仿宋_GB2312" w:hAnsi="仿宋_GB2312" w:cs="仿宋_GB2312"/>
                <w:kern w:val="2"/>
                <w:sz w:val="24"/>
                <w:szCs w:val="24"/>
                <w:lang w:val="zh-CN" w:eastAsia="zh-CN" w:bidi="ar-SA"/>
              </w:rPr>
              <w:t>、</w:t>
            </w:r>
            <w:r>
              <w:rPr>
                <w:rFonts w:hint="eastAsia" w:ascii="仿宋_GB2312" w:hAnsi="仿宋_GB2312" w:cs="仿宋_GB2312"/>
                <w:kern w:val="2"/>
                <w:sz w:val="24"/>
                <w:szCs w:val="24"/>
                <w:lang w:val="en-US" w:eastAsia="zh-CN" w:bidi="ar-SA"/>
              </w:rPr>
              <w:t>电子设备</w:t>
            </w:r>
          </w:p>
        </w:tc>
        <w:tc>
          <w:tcPr>
            <w:tcW w:w="1803" w:type="pct"/>
            <w:tcBorders>
              <w:top w:val="single" w:color="auto" w:sz="4" w:space="0"/>
              <w:left w:val="single" w:color="auto" w:sz="4" w:space="0"/>
              <w:bottom w:val="single" w:color="auto" w:sz="4" w:space="0"/>
              <w:right w:val="single" w:color="auto" w:sz="4" w:space="0"/>
            </w:tcBorders>
            <w:noWrap w:val="0"/>
            <w:vAlign w:val="center"/>
          </w:tcPr>
          <w:p w14:paraId="2DB3881B">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U盘、录音笔</w:t>
            </w:r>
          </w:p>
        </w:tc>
      </w:tr>
      <w:tr w14:paraId="24F9AF2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69" w:type="pct"/>
            <w:tcBorders>
              <w:top w:val="single" w:color="auto" w:sz="4" w:space="0"/>
              <w:left w:val="single" w:color="auto" w:sz="4" w:space="0"/>
              <w:bottom w:val="single" w:color="auto" w:sz="4" w:space="0"/>
              <w:right w:val="single" w:color="auto" w:sz="4" w:space="0"/>
            </w:tcBorders>
            <w:noWrap w:val="0"/>
            <w:vAlign w:val="center"/>
          </w:tcPr>
          <w:p w14:paraId="3EC68F16">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3</w:t>
            </w:r>
          </w:p>
        </w:tc>
        <w:tc>
          <w:tcPr>
            <w:tcW w:w="2626" w:type="pct"/>
            <w:tcBorders>
              <w:top w:val="single" w:color="auto" w:sz="4" w:space="0"/>
              <w:left w:val="single" w:color="auto" w:sz="4" w:space="0"/>
              <w:bottom w:val="single" w:color="auto" w:sz="4" w:space="0"/>
              <w:right w:val="single" w:color="auto" w:sz="4" w:space="0"/>
            </w:tcBorders>
            <w:noWrap w:val="0"/>
            <w:vAlign w:val="center"/>
          </w:tcPr>
          <w:p w14:paraId="5D4F3B89">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任何与竞赛内容相关的物品</w:t>
            </w:r>
          </w:p>
        </w:tc>
        <w:tc>
          <w:tcPr>
            <w:tcW w:w="1803" w:type="pct"/>
            <w:tcBorders>
              <w:top w:val="single" w:color="auto" w:sz="4" w:space="0"/>
              <w:left w:val="single" w:color="auto" w:sz="4" w:space="0"/>
              <w:bottom w:val="single" w:color="auto" w:sz="4" w:space="0"/>
              <w:right w:val="single" w:color="auto" w:sz="4" w:space="0"/>
            </w:tcBorders>
            <w:noWrap w:val="0"/>
            <w:vAlign w:val="center"/>
          </w:tcPr>
          <w:p w14:paraId="5E45B612">
            <w:pPr>
              <w:pStyle w:val="9"/>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复习资料、教材等</w:t>
            </w:r>
          </w:p>
        </w:tc>
      </w:tr>
    </w:tbl>
    <w:p w14:paraId="6A025700">
      <w:pPr>
        <w:pStyle w:val="13"/>
        <w:keepNext w:val="0"/>
        <w:keepLines w:val="0"/>
        <w:pageBreakBefore w:val="0"/>
        <w:widowControl/>
        <w:kinsoku/>
        <w:wordWrap/>
        <w:overflowPunct/>
        <w:topLinePunct w:val="0"/>
        <w:autoSpaceDE/>
        <w:autoSpaceDN/>
        <w:bidi w:val="0"/>
        <w:adjustRightInd/>
        <w:snapToGrid/>
        <w:spacing w:line="580" w:lineRule="exact"/>
        <w:ind w:firstLine="600" w:firstLineChars="200"/>
        <w:textAlignment w:val="auto"/>
        <w:rPr>
          <w:rFonts w:ascii="Times New Roman" w:hAnsi="Times New Roman" w:eastAsia="黑体" w:cs="Times New Roman"/>
          <w:b w:val="0"/>
          <w:bCs/>
          <w:color w:val="auto"/>
          <w:sz w:val="32"/>
          <w:szCs w:val="32"/>
          <w:highlight w:val="none"/>
          <w:lang w:eastAsia="zh-CN"/>
        </w:rPr>
      </w:pPr>
      <w:r>
        <w:rPr>
          <w:rFonts w:ascii="Times New Roman" w:hAnsi="Times New Roman" w:eastAsia="黑体" w:cs="Times New Roman"/>
          <w:b w:val="0"/>
          <w:bCs/>
          <w:color w:val="auto"/>
          <w:sz w:val="32"/>
          <w:szCs w:val="32"/>
          <w:highlight w:val="none"/>
          <w:lang w:eastAsia="zh-CN"/>
        </w:rPr>
        <w:t>五、安全、健康要求</w:t>
      </w:r>
    </w:p>
    <w:p w14:paraId="73387F55">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_GB2312" w:eastAsia="仿宋_GB2312" w:cs="仿宋_GB2312"/>
          <w:color w:val="auto"/>
          <w:kern w:val="0"/>
          <w:sz w:val="32"/>
          <w:szCs w:val="30"/>
          <w:lang w:eastAsia="zh-CN"/>
        </w:rPr>
      </w:pPr>
      <w:r>
        <w:rPr>
          <w:rFonts w:hint="eastAsia" w:ascii="仿宋_GB2312" w:hAnsi="仿宋_GB2312" w:cs="仿宋_GB2312"/>
          <w:color w:val="auto"/>
          <w:kern w:val="0"/>
          <w:sz w:val="32"/>
          <w:szCs w:val="30"/>
          <w:lang w:eastAsia="zh-CN"/>
        </w:rPr>
        <w:t>（一）</w:t>
      </w:r>
      <w:r>
        <w:rPr>
          <w:rFonts w:hint="eastAsia" w:ascii="仿宋_GB2312" w:hAnsi="仿宋_GB2312" w:eastAsia="仿宋_GB2312" w:cs="仿宋_GB2312"/>
          <w:color w:val="auto"/>
          <w:kern w:val="0"/>
          <w:sz w:val="32"/>
          <w:szCs w:val="30"/>
          <w:lang w:eastAsia="zh-CN"/>
        </w:rPr>
        <w:t>赛场设医务室，配备医护人员，当选手或赛场其他人员发生身体不适时，进行医护处理。</w:t>
      </w:r>
    </w:p>
    <w:p w14:paraId="7DE30965">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_GB2312" w:cs="仿宋_GB2312"/>
          <w:color w:val="auto"/>
          <w:kern w:val="0"/>
          <w:sz w:val="32"/>
          <w:szCs w:val="30"/>
          <w:lang w:eastAsia="zh-CN"/>
        </w:rPr>
      </w:pPr>
      <w:r>
        <w:rPr>
          <w:rFonts w:hint="eastAsia" w:ascii="仿宋_GB2312" w:hAnsi="仿宋_GB2312" w:cs="仿宋_GB2312"/>
          <w:color w:val="auto"/>
          <w:kern w:val="0"/>
          <w:sz w:val="32"/>
          <w:szCs w:val="30"/>
          <w:lang w:eastAsia="zh-CN"/>
        </w:rPr>
        <w:t>（二）严格按照安全应急预案加强对竞赛全过程的动态管理，确保竞赛活动安全有序。如遇停电、停水、断网等紧急情况，承办方应启动应急预案，裁判长视情况决定是否暂停比赛及暂停时长，暂停时段不计入选手比赛时间。如遇火灾、地震等突发事件，按赛场所在场馆紧急疏散指示图组织疏散，比赛是否继续由执委会与监督仲裁组协商决定。</w:t>
      </w:r>
    </w:p>
    <w:p w14:paraId="217EAE5D">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left"/>
        <w:textAlignment w:val="auto"/>
        <w:rPr>
          <w:rFonts w:hint="default" w:ascii="仿宋_GB2312" w:hAnsi="仿宋_GB2312" w:cs="仿宋_GB2312"/>
          <w:color w:val="auto"/>
          <w:kern w:val="0"/>
          <w:sz w:val="32"/>
          <w:szCs w:val="30"/>
          <w:lang w:eastAsia="zh-CN"/>
        </w:rPr>
      </w:pPr>
      <w:r>
        <w:rPr>
          <w:rFonts w:hint="eastAsia" w:ascii="仿宋_GB2312" w:hAnsi="仿宋_GB2312" w:cs="仿宋_GB2312"/>
          <w:color w:val="auto"/>
          <w:kern w:val="0"/>
          <w:sz w:val="32"/>
          <w:szCs w:val="30"/>
          <w:lang w:eastAsia="zh-CN"/>
        </w:rPr>
        <w:t>（三）竞赛过程参赛选手能胜任全部竞赛操作体能要求，并且遵守赛场安全操作规程；对竞赛设施设备应爱护、保管，防止丢失和损坏；服从现场裁判的指挥，接受裁判员、现场技术服务人员的监督和警示，保证操作过程中人身安全和设备安全。竞赛过程中如出现身体不适，应立即举手示意，由赛务组安排医务人员到岗处理。</w:t>
      </w:r>
    </w:p>
    <w:p w14:paraId="7D407D3E">
      <w:pPr>
        <w:pStyle w:val="17"/>
        <w:ind w:firstLine="640"/>
      </w:pPr>
      <w:r>
        <w:rPr>
          <w:rFonts w:hint="eastAsia" w:ascii="黑体" w:hAnsi="黑体" w:eastAsia="黑体" w:cs="黑体"/>
        </w:rPr>
        <w:t>六、本技术文件条款的最终解释权归深圳市</w:t>
      </w:r>
      <w:r>
        <w:rPr>
          <w:rFonts w:hint="eastAsia" w:ascii="黑体" w:hAnsi="黑体" w:eastAsia="黑体" w:cs="黑体"/>
          <w:lang w:eastAsia="zh-CN"/>
        </w:rPr>
        <w:t>南山区</w:t>
      </w:r>
      <w:r>
        <w:rPr>
          <w:rFonts w:hint="eastAsia" w:ascii="黑体" w:hAnsi="黑体" w:eastAsia="黑体" w:cs="黑体"/>
        </w:rPr>
        <w:t>人力资源局所有。</w:t>
      </w:r>
    </w:p>
    <w:p w14:paraId="32FBAB80">
      <w:pPr>
        <w:pStyle w:val="17"/>
        <w:ind w:left="0" w:leftChars="0" w:firstLine="0" w:firstLineChars="0"/>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Inria Serif">
    <w:altName w:val="C059"/>
    <w:panose1 w:val="00000000000000000000"/>
    <w:charset w:val="00"/>
    <w:family w:val="auto"/>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Times New Roman (Headings CS)">
    <w:altName w:val="Times New Roman"/>
    <w:panose1 w:val="00000000000000000000"/>
    <w:charset w:val="00"/>
    <w:family w:val="roman"/>
    <w:pitch w:val="default"/>
    <w:sig w:usb0="00000000" w:usb1="00000000" w:usb2="00000000" w:usb3="00000000" w:csb0="00000001" w:csb1="00000000"/>
  </w:font>
  <w:font w:name="Frutiger LT Com 45 Light">
    <w:altName w:val="Calibri"/>
    <w:panose1 w:val="00000000000000000000"/>
    <w:charset w:val="00"/>
    <w:family w:val="swiss"/>
    <w:pitch w:val="default"/>
    <w:sig w:usb0="00000000" w:usb1="00000000" w:usb2="00000000" w:usb3="00000000" w:csb0="0000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4281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DB647">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FDB647">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D52EA1"/>
    <w:multiLevelType w:val="singleLevel"/>
    <w:tmpl w:val="A0D52EA1"/>
    <w:lvl w:ilvl="0" w:tentative="0">
      <w:start w:val="1"/>
      <w:numFmt w:val="decimal"/>
      <w:lvlText w:val="%1."/>
      <w:lvlJc w:val="left"/>
      <w:pPr>
        <w:tabs>
          <w:tab w:val="left" w:pos="312"/>
        </w:tabs>
      </w:pPr>
    </w:lvl>
  </w:abstractNum>
  <w:abstractNum w:abstractNumId="1">
    <w:nsid w:val="AAAFFD43"/>
    <w:multiLevelType w:val="singleLevel"/>
    <w:tmpl w:val="AAAFFD43"/>
    <w:lvl w:ilvl="0" w:tentative="0">
      <w:start w:val="1"/>
      <w:numFmt w:val="decimal"/>
      <w:lvlText w:val="%1."/>
      <w:lvlJc w:val="left"/>
      <w:pPr>
        <w:tabs>
          <w:tab w:val="left" w:pos="312"/>
        </w:tabs>
      </w:pPr>
    </w:lvl>
  </w:abstractNum>
  <w:abstractNum w:abstractNumId="2">
    <w:nsid w:val="00000003"/>
    <w:multiLevelType w:val="multilevel"/>
    <w:tmpl w:val="00000003"/>
    <w:lvl w:ilvl="0" w:tentative="0">
      <w:start w:val="4"/>
      <w:numFmt w:val="japaneseCounting"/>
      <w:pStyle w:val="19"/>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3C63E7C"/>
    <w:multiLevelType w:val="singleLevel"/>
    <w:tmpl w:val="03C63E7C"/>
    <w:lvl w:ilvl="0" w:tentative="0">
      <w:start w:val="1"/>
      <w:numFmt w:val="decimal"/>
      <w:lvlText w:val="%1."/>
      <w:lvlJc w:val="left"/>
      <w:pPr>
        <w:tabs>
          <w:tab w:val="left" w:pos="312"/>
        </w:tabs>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hZTIwNzU4Y2FlMTY3ODMwNjVhNjI2YjYzY2I0ZjMifQ=="/>
  </w:docVars>
  <w:rsids>
    <w:rsidRoot w:val="67763C6D"/>
    <w:rsid w:val="003E0E88"/>
    <w:rsid w:val="0044343C"/>
    <w:rsid w:val="005D3596"/>
    <w:rsid w:val="00A46EB4"/>
    <w:rsid w:val="011949CD"/>
    <w:rsid w:val="03140132"/>
    <w:rsid w:val="031A5554"/>
    <w:rsid w:val="039E59A4"/>
    <w:rsid w:val="03C30C20"/>
    <w:rsid w:val="03C5438B"/>
    <w:rsid w:val="064C314F"/>
    <w:rsid w:val="06982838"/>
    <w:rsid w:val="070C338C"/>
    <w:rsid w:val="077B0503"/>
    <w:rsid w:val="07B23486"/>
    <w:rsid w:val="07E219C9"/>
    <w:rsid w:val="07F64C9D"/>
    <w:rsid w:val="08000695"/>
    <w:rsid w:val="09412D13"/>
    <w:rsid w:val="097F55EA"/>
    <w:rsid w:val="0A6F1B02"/>
    <w:rsid w:val="0A894080"/>
    <w:rsid w:val="0B6864CF"/>
    <w:rsid w:val="0CF74AB8"/>
    <w:rsid w:val="0D385D2D"/>
    <w:rsid w:val="0DB742A8"/>
    <w:rsid w:val="0DF76AA1"/>
    <w:rsid w:val="0EA613E8"/>
    <w:rsid w:val="0F141D6A"/>
    <w:rsid w:val="0FE708DB"/>
    <w:rsid w:val="102B2F13"/>
    <w:rsid w:val="10686DD7"/>
    <w:rsid w:val="1089530E"/>
    <w:rsid w:val="108A6AFD"/>
    <w:rsid w:val="115E3025"/>
    <w:rsid w:val="11F66601"/>
    <w:rsid w:val="120E372E"/>
    <w:rsid w:val="12380A00"/>
    <w:rsid w:val="12C86253"/>
    <w:rsid w:val="1318606C"/>
    <w:rsid w:val="13295F0A"/>
    <w:rsid w:val="14A423A8"/>
    <w:rsid w:val="1507268B"/>
    <w:rsid w:val="17556C79"/>
    <w:rsid w:val="17604DDE"/>
    <w:rsid w:val="17617BD2"/>
    <w:rsid w:val="176E1FBB"/>
    <w:rsid w:val="177835E5"/>
    <w:rsid w:val="179026CD"/>
    <w:rsid w:val="18D94186"/>
    <w:rsid w:val="19BE18EC"/>
    <w:rsid w:val="19D54672"/>
    <w:rsid w:val="19DE0AF8"/>
    <w:rsid w:val="1A15027E"/>
    <w:rsid w:val="1A4B5FAE"/>
    <w:rsid w:val="1ABA2925"/>
    <w:rsid w:val="1B3B75FE"/>
    <w:rsid w:val="1BBC0395"/>
    <w:rsid w:val="1C12741C"/>
    <w:rsid w:val="1C6D62BF"/>
    <w:rsid w:val="1CC7132A"/>
    <w:rsid w:val="1D077978"/>
    <w:rsid w:val="1DD86EC2"/>
    <w:rsid w:val="1DF33169"/>
    <w:rsid w:val="1E35797B"/>
    <w:rsid w:val="1EF6010C"/>
    <w:rsid w:val="1F366EED"/>
    <w:rsid w:val="1F38650F"/>
    <w:rsid w:val="1FF57CA0"/>
    <w:rsid w:val="20CF69FF"/>
    <w:rsid w:val="21CC3D6A"/>
    <w:rsid w:val="220B7F0B"/>
    <w:rsid w:val="221C05B9"/>
    <w:rsid w:val="228D0920"/>
    <w:rsid w:val="2322085A"/>
    <w:rsid w:val="236B6136"/>
    <w:rsid w:val="2526531C"/>
    <w:rsid w:val="261C2B5C"/>
    <w:rsid w:val="2666570F"/>
    <w:rsid w:val="26C62652"/>
    <w:rsid w:val="270862E3"/>
    <w:rsid w:val="27FD02F5"/>
    <w:rsid w:val="28620159"/>
    <w:rsid w:val="28D63644"/>
    <w:rsid w:val="2933389A"/>
    <w:rsid w:val="299332F5"/>
    <w:rsid w:val="29AB7D43"/>
    <w:rsid w:val="2AF552B4"/>
    <w:rsid w:val="2B950B10"/>
    <w:rsid w:val="2C88209B"/>
    <w:rsid w:val="2CCF2B51"/>
    <w:rsid w:val="2E1668AB"/>
    <w:rsid w:val="2E2E7F5D"/>
    <w:rsid w:val="2EFF514C"/>
    <w:rsid w:val="2F2C1457"/>
    <w:rsid w:val="2F94071B"/>
    <w:rsid w:val="2F95548D"/>
    <w:rsid w:val="2FAC4ADB"/>
    <w:rsid w:val="2FE358B2"/>
    <w:rsid w:val="3134030B"/>
    <w:rsid w:val="313668AB"/>
    <w:rsid w:val="3214732B"/>
    <w:rsid w:val="340D366E"/>
    <w:rsid w:val="35280085"/>
    <w:rsid w:val="356B2D42"/>
    <w:rsid w:val="3596654B"/>
    <w:rsid w:val="35C01BC1"/>
    <w:rsid w:val="36077AE5"/>
    <w:rsid w:val="36A77DAA"/>
    <w:rsid w:val="37386C54"/>
    <w:rsid w:val="37BA58BB"/>
    <w:rsid w:val="37D5281F"/>
    <w:rsid w:val="38720266"/>
    <w:rsid w:val="38F61C67"/>
    <w:rsid w:val="39C03EA5"/>
    <w:rsid w:val="39D47073"/>
    <w:rsid w:val="39FF7EFD"/>
    <w:rsid w:val="3A751D21"/>
    <w:rsid w:val="3A754574"/>
    <w:rsid w:val="3A833274"/>
    <w:rsid w:val="3C5D1A51"/>
    <w:rsid w:val="3CD52306"/>
    <w:rsid w:val="3CE662D3"/>
    <w:rsid w:val="3D186E63"/>
    <w:rsid w:val="3D3659E4"/>
    <w:rsid w:val="3DB11AD4"/>
    <w:rsid w:val="3E5E3444"/>
    <w:rsid w:val="3F11495A"/>
    <w:rsid w:val="3F553B57"/>
    <w:rsid w:val="3F88629F"/>
    <w:rsid w:val="3FEB334C"/>
    <w:rsid w:val="400421FD"/>
    <w:rsid w:val="41831414"/>
    <w:rsid w:val="420936C7"/>
    <w:rsid w:val="42273AF9"/>
    <w:rsid w:val="427C7112"/>
    <w:rsid w:val="42B44D02"/>
    <w:rsid w:val="42D27F5D"/>
    <w:rsid w:val="43792ACE"/>
    <w:rsid w:val="43DF40EA"/>
    <w:rsid w:val="44001328"/>
    <w:rsid w:val="46A410DE"/>
    <w:rsid w:val="46DB2F1F"/>
    <w:rsid w:val="473A4323"/>
    <w:rsid w:val="484C3D16"/>
    <w:rsid w:val="48D8320E"/>
    <w:rsid w:val="49840DBE"/>
    <w:rsid w:val="49FE1F7F"/>
    <w:rsid w:val="4A743FEF"/>
    <w:rsid w:val="4A8C5F25"/>
    <w:rsid w:val="4ABB18DE"/>
    <w:rsid w:val="4B405810"/>
    <w:rsid w:val="4B742C4B"/>
    <w:rsid w:val="4C017B05"/>
    <w:rsid w:val="4CC53781"/>
    <w:rsid w:val="4D467BE8"/>
    <w:rsid w:val="4D8D78A2"/>
    <w:rsid w:val="4DF7368F"/>
    <w:rsid w:val="4DFC5AB2"/>
    <w:rsid w:val="4EE23C1E"/>
    <w:rsid w:val="4F150EDE"/>
    <w:rsid w:val="4F5F526E"/>
    <w:rsid w:val="514767A9"/>
    <w:rsid w:val="51AE5B13"/>
    <w:rsid w:val="52776D92"/>
    <w:rsid w:val="5296536E"/>
    <w:rsid w:val="52AE4BDC"/>
    <w:rsid w:val="52BC6534"/>
    <w:rsid w:val="53792B57"/>
    <w:rsid w:val="53AF7399"/>
    <w:rsid w:val="544D38E7"/>
    <w:rsid w:val="56521689"/>
    <w:rsid w:val="573C440F"/>
    <w:rsid w:val="57CA61FB"/>
    <w:rsid w:val="57E961DF"/>
    <w:rsid w:val="58331046"/>
    <w:rsid w:val="58A106A5"/>
    <w:rsid w:val="594E12F6"/>
    <w:rsid w:val="5A186745"/>
    <w:rsid w:val="5A6E0A5B"/>
    <w:rsid w:val="5AA7741D"/>
    <w:rsid w:val="5ABB4C30"/>
    <w:rsid w:val="5B2B4F30"/>
    <w:rsid w:val="5BB932A5"/>
    <w:rsid w:val="5CAE513F"/>
    <w:rsid w:val="5D2B6416"/>
    <w:rsid w:val="5E437FD7"/>
    <w:rsid w:val="5EC8141C"/>
    <w:rsid w:val="5F6051EE"/>
    <w:rsid w:val="5FE94095"/>
    <w:rsid w:val="5FF46D36"/>
    <w:rsid w:val="604A0FC0"/>
    <w:rsid w:val="609F6936"/>
    <w:rsid w:val="60D2776F"/>
    <w:rsid w:val="610B0881"/>
    <w:rsid w:val="611E298E"/>
    <w:rsid w:val="61DE656B"/>
    <w:rsid w:val="622F7672"/>
    <w:rsid w:val="632334FE"/>
    <w:rsid w:val="63267BA3"/>
    <w:rsid w:val="641830B8"/>
    <w:rsid w:val="6429647B"/>
    <w:rsid w:val="64B33C3A"/>
    <w:rsid w:val="64CC2606"/>
    <w:rsid w:val="65A25FC8"/>
    <w:rsid w:val="65DA0D53"/>
    <w:rsid w:val="6655487D"/>
    <w:rsid w:val="66F127F8"/>
    <w:rsid w:val="670E0171"/>
    <w:rsid w:val="6712451C"/>
    <w:rsid w:val="67763C6D"/>
    <w:rsid w:val="677E00B2"/>
    <w:rsid w:val="69167EBF"/>
    <w:rsid w:val="69517604"/>
    <w:rsid w:val="69D32372"/>
    <w:rsid w:val="69EF333E"/>
    <w:rsid w:val="6C33740F"/>
    <w:rsid w:val="6CAB0638"/>
    <w:rsid w:val="6CAF3B22"/>
    <w:rsid w:val="6D415B5B"/>
    <w:rsid w:val="6D9E4D5C"/>
    <w:rsid w:val="6DD269E4"/>
    <w:rsid w:val="6DE11A7D"/>
    <w:rsid w:val="6E1C249C"/>
    <w:rsid w:val="6EA94873"/>
    <w:rsid w:val="6EEE47E4"/>
    <w:rsid w:val="6EEF3310"/>
    <w:rsid w:val="6F92269E"/>
    <w:rsid w:val="702754DC"/>
    <w:rsid w:val="73D2750D"/>
    <w:rsid w:val="73F33A02"/>
    <w:rsid w:val="73FE6554"/>
    <w:rsid w:val="740F0761"/>
    <w:rsid w:val="746E1871"/>
    <w:rsid w:val="74C50E20"/>
    <w:rsid w:val="74E91BDB"/>
    <w:rsid w:val="74FD4A5E"/>
    <w:rsid w:val="758F276A"/>
    <w:rsid w:val="75C80BC8"/>
    <w:rsid w:val="761D0C2F"/>
    <w:rsid w:val="765E58EA"/>
    <w:rsid w:val="774D3479"/>
    <w:rsid w:val="776112D4"/>
    <w:rsid w:val="777F44E9"/>
    <w:rsid w:val="782D01DD"/>
    <w:rsid w:val="78A53DDE"/>
    <w:rsid w:val="79944EEC"/>
    <w:rsid w:val="7AAE09ED"/>
    <w:rsid w:val="7AF83AF1"/>
    <w:rsid w:val="7B287380"/>
    <w:rsid w:val="7B5A0A3D"/>
    <w:rsid w:val="7BC047FE"/>
    <w:rsid w:val="7BEE5100"/>
    <w:rsid w:val="7CB568E8"/>
    <w:rsid w:val="8CEF7672"/>
    <w:rsid w:val="DC8F7F9B"/>
    <w:rsid w:val="F6FCB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autoRedefine/>
    <w:qFormat/>
    <w:uiPriority w:val="0"/>
    <w:pPr>
      <w:spacing w:line="560" w:lineRule="exact"/>
      <w:ind w:firstLine="721" w:firstLineChars="200"/>
    </w:pPr>
    <w:rPr>
      <w:rFonts w:ascii="Calibri"/>
    </w:rPr>
  </w:style>
  <w:style w:type="paragraph" w:styleId="3">
    <w:name w:val="Body Text"/>
    <w:basedOn w:val="1"/>
    <w:next w:val="4"/>
    <w:autoRedefine/>
    <w:qFormat/>
    <w:uiPriority w:val="0"/>
    <w:rPr>
      <w:rFonts w:ascii="仿宋_GB2312" w:hAnsi="Calibri" w:eastAsia="仿宋_GB2312" w:cs="Times New Roman"/>
      <w:sz w:val="32"/>
    </w:rPr>
  </w:style>
  <w:style w:type="paragraph" w:customStyle="1" w:styleId="4">
    <w:name w:val="Default"/>
    <w:qFormat/>
    <w:uiPriority w:val="0"/>
    <w:pPr>
      <w:widowControl w:val="0"/>
      <w:autoSpaceDE w:val="0"/>
      <w:autoSpaceDN w:val="0"/>
      <w:adjustRightInd w:val="0"/>
      <w:spacing w:line="260" w:lineRule="atLeast"/>
    </w:pPr>
    <w:rPr>
      <w:rFonts w:ascii="仿宋_GB2312" w:hAnsi="Calibri" w:eastAsia="仿宋_GB2312" w:cs="仿宋_GB2312"/>
      <w:color w:val="000000"/>
      <w:sz w:val="24"/>
      <w:szCs w:val="24"/>
      <w:lang w:val="en-US" w:eastAsia="zh-CN" w:bidi="ar-SA"/>
    </w:rPr>
  </w:style>
  <w:style w:type="paragraph" w:styleId="6">
    <w:name w:val="index 8"/>
    <w:basedOn w:val="1"/>
    <w:next w:val="1"/>
    <w:qFormat/>
    <w:uiPriority w:val="0"/>
    <w:pPr>
      <w:ind w:left="1400" w:leftChars="1400"/>
    </w:pPr>
  </w:style>
  <w:style w:type="paragraph" w:styleId="7">
    <w:name w:val="index 5"/>
    <w:basedOn w:val="1"/>
    <w:next w:val="1"/>
    <w:qFormat/>
    <w:uiPriority w:val="0"/>
    <w:pPr>
      <w:ind w:left="1680"/>
    </w:pPr>
  </w:style>
  <w:style w:type="paragraph" w:styleId="8">
    <w:name w:val="annotation text"/>
    <w:basedOn w:val="1"/>
    <w:qFormat/>
    <w:uiPriority w:val="0"/>
    <w:pPr>
      <w:jc w:val="left"/>
    </w:pPr>
  </w:style>
  <w:style w:type="paragraph" w:styleId="9">
    <w:name w:val="Plain Text"/>
    <w:basedOn w:val="1"/>
    <w:next w:val="6"/>
    <w:qFormat/>
    <w:uiPriority w:val="0"/>
    <w:rPr>
      <w:rFonts w:ascii="宋体" w:hAnsi="Courier New"/>
      <w:szCs w:val="20"/>
    </w:rPr>
  </w:style>
  <w:style w:type="paragraph" w:styleId="10">
    <w:name w:val="footer"/>
    <w:basedOn w:val="1"/>
    <w:next w:val="7"/>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1"/>
    <w:autoRedefine/>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_Style 1"/>
    <w:basedOn w:val="1"/>
    <w:next w:val="1"/>
    <w:autoRedefine/>
    <w:qFormat/>
    <w:uiPriority w:val="99"/>
    <w:pPr>
      <w:spacing w:line="580" w:lineRule="exact"/>
      <w:ind w:firstLine="420" w:firstLineChars="200"/>
    </w:pPr>
    <w:rPr>
      <w:rFonts w:ascii="Calibri" w:hAnsi="Calibri" w:eastAsia="宋体" w:cs="Times New Roman"/>
      <w:sz w:val="32"/>
    </w:rPr>
  </w:style>
  <w:style w:type="paragraph" w:customStyle="1" w:styleId="18">
    <w:name w:val="Editable table text"/>
    <w:basedOn w:val="1"/>
    <w:autoRedefine/>
    <w:qFormat/>
    <w:uiPriority w:val="0"/>
    <w:pPr>
      <w:widowControl/>
    </w:pPr>
    <w:rPr>
      <w:rFonts w:ascii="Frutiger LT Com 45 Light" w:hAnsi="Frutiger LT Com 45 Light" w:eastAsia="宋体" w:cs="Times New Roman"/>
      <w:color w:val="62B5E5"/>
      <w:kern w:val="0"/>
      <w:sz w:val="20"/>
      <w:lang w:val="en-GB" w:eastAsia="en-US"/>
    </w:rPr>
  </w:style>
  <w:style w:type="paragraph" w:customStyle="1" w:styleId="19">
    <w:name w:val="Table Bullet"/>
    <w:basedOn w:val="1"/>
    <w:autoRedefine/>
    <w:qFormat/>
    <w:uiPriority w:val="0"/>
    <w:pPr>
      <w:widowControl/>
      <w:numPr>
        <w:ilvl w:val="0"/>
        <w:numId w:val="1"/>
      </w:numPr>
      <w:spacing w:after="120"/>
      <w:ind w:left="284" w:hanging="284"/>
      <w:contextualSpacing/>
    </w:pPr>
    <w:rPr>
      <w:rFonts w:ascii="Frutiger LT Com 45 Light" w:hAnsi="Frutiger LT Com 45 Light" w:eastAsia="宋体" w:cs="Times New Roman"/>
      <w:kern w:val="0"/>
      <w:sz w:val="20"/>
      <w:szCs w:val="22"/>
      <w:lang w:val="en-GB" w:eastAsia="en-US"/>
    </w:rPr>
  </w:style>
  <w:style w:type="character" w:customStyle="1" w:styleId="20">
    <w:name w:val="Editable"/>
    <w:autoRedefine/>
    <w:qFormat/>
    <w:uiPriority w:val="0"/>
    <w:rPr>
      <w:rFonts w:hint="default" w:ascii="Times New Roman" w:hAnsi="Times New Roman" w:eastAsia="宋体" w:cs="Times New Roman"/>
      <w:color w:val="62B5E5"/>
    </w:rPr>
  </w:style>
  <w:style w:type="paragraph" w:customStyle="1" w:styleId="21">
    <w:name w:val="Footer"/>
    <w:basedOn w:val="1"/>
    <w:autoRedefine/>
    <w:qFormat/>
    <w:uiPriority w:val="0"/>
    <w:pPr>
      <w:tabs>
        <w:tab w:val="center" w:pos="4153"/>
        <w:tab w:val="right" w:pos="8306"/>
      </w:tabs>
      <w:snapToGrid w:val="0"/>
      <w:jc w:val="left"/>
    </w:pPr>
    <w:rPr>
      <w:rFonts w:ascii="Times New Roman" w:hAnsi="Times New Roman"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83bb6df8-1cab-479b-bc7a-bed160937c96</errorID>
      <errorWord xmlns="http://schemas.wps.cn/vas-ai-hub/contract-review">但不仅限于以下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但不限于以下</item>
      </candidateList>
      <explain xmlns="http://schemas.wps.cn/vas-ai-hub/contract-review"/>
      <paraID xmlns="http://schemas.wps.cn/vas-ai-hub/contract-review"> 374F33E</paraID>
      <start xmlns="http://schemas.wps.cn/vas-ai-hub/contract-review">117</start>
      <end xmlns="http://schemas.wps.cn/vas-ai-hub/contract-review">130</end>
      <status xmlns="http://schemas.wps.cn/vas-ai-hub/contract-review">modified</status>
      <modifiedWord xmlns="http://schemas.wps.cn/vas-ai-hub/contract-review">但不限于以下</modifiedWord>
      <trackRevisions xmlns="http://schemas.wps.cn/vas-ai-hub/contract-review">true</trackRevisions>
    </reviewItem>
    <reviewItem xmlns="http://schemas.wps.cn/vas-ai-hub/contract-review">
      <errorID xmlns="http://schemas.wps.cn/vas-ai-hub/contract-review">094deeda-17ae-4fa2-9888-82a6b6c98b18</errorID>
      <errorWord xmlns="http://schemas.wps.cn/vas-ai-hub/contract-review">但不仅限于以下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但不限于以下</item>
      </candidateList>
      <explain xmlns="http://schemas.wps.cn/vas-ai-hub/contract-review"/>
      <paraID xmlns="http://schemas.wps.cn/vas-ai-hub/contract-review">2CD4E4AA</paraID>
      <start xmlns="http://schemas.wps.cn/vas-ai-hub/contract-review">177</start>
      <end xmlns="http://schemas.wps.cn/vas-ai-hub/contract-review">190</end>
      <status xmlns="http://schemas.wps.cn/vas-ai-hub/contract-review">modified</status>
      <modifiedWord xmlns="http://schemas.wps.cn/vas-ai-hub/contract-review">但不限于以下</modifiedWord>
      <trackRevisions xmlns="http://schemas.wps.cn/vas-ai-hub/contract-review">true</trackRevisions>
    </reviewItem>
    <reviewItem xmlns="http://schemas.wps.cn/vas-ai-hub/contract-review">
      <errorID xmlns="http://schemas.wps.cn/vas-ai-hub/contract-review">d3616508-de1a-452d-b94c-77688240482a</errorID>
      <errorWord xmlns="http://schemas.wps.cn/vas-ai-hub/contract-review">但不仅限于以下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但不限于以下</item>
      </candidateList>
      <explain xmlns="http://schemas.wps.cn/vas-ai-hub/contract-review"/>
      <paraID xmlns="http://schemas.wps.cn/vas-ai-hub/contract-review">1A4BF1BC</paraID>
      <start xmlns="http://schemas.wps.cn/vas-ai-hub/contract-review">46</start>
      <end xmlns="http://schemas.wps.cn/vas-ai-hub/contract-review">59</end>
      <status xmlns="http://schemas.wps.cn/vas-ai-hub/contract-review">modified</status>
      <modifiedWord xmlns="http://schemas.wps.cn/vas-ai-hub/contract-review">但不限于以下</modifiedWord>
      <trackRevisions xmlns="http://schemas.wps.cn/vas-ai-hub/contract-review">true</trackRevisions>
    </reviewItem>
    <reviewItem xmlns="http://schemas.wps.cn/vas-ai-hub/contract-review">
      <errorID xmlns="http://schemas.wps.cn/vas-ai-hub/contract-review">27f8ae5b-2029-4693-b2cb-1945ae76d5c8</errorID>
      <errorWord xmlns="http://schemas.wps.cn/vas-ai-hub/contract-review">副</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幅</item>
      </candidateList>
      <explain xmlns="http://schemas.wps.cn/vas-ai-hub/contract-review">请检查“副”是否为量词使用错误，建议修改为“幅”。</explain>
      <paraID xmlns="http://schemas.wps.cn/vas-ai-hub/contract-review">7D860DC3</paraID>
      <start xmlns="http://schemas.wps.cn/vas-ai-hub/contract-review">37</start>
      <end xmlns="http://schemas.wps.cn/vas-ai-hub/contract-review">39</end>
      <status xmlns="http://schemas.wps.cn/vas-ai-hub/contract-review">modified</status>
      <modifiedWord xmlns="http://schemas.wps.cn/vas-ai-hub/contract-review">幅</modifiedWord>
      <trackRevisions xmlns="http://schemas.wps.cn/vas-ai-hub/contract-review">true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edfb1b-7ef7-4027-af59-7eaa5fb7dd13}">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296</Words>
  <Characters>305</Characters>
  <Lines>0</Lines>
  <Paragraphs>0</Paragraphs>
  <TotalTime>16</TotalTime>
  <ScaleCrop>false</ScaleCrop>
  <LinksUpToDate>false</LinksUpToDate>
  <CharactersWithSpaces>306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2023-04-19T14:15:00Z</dcterms:created>
  <dc:creator>ᴬⁿᵈ&amp;ᵃⁿᴰ⁸</dc:creator>
  <cp:lastModifiedBy>马亚丽</cp:lastModifiedBy>
  <cp:lastPrinted>2026-08-18T18:51:00Z</cp:lastPrinted>
  <dcterms:modified xsi:type="dcterms:W3CDTF">2026-09-07T18:10:00Z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F2333C9A7C204B6695F7EF9F63623A32_13</vt:lpwstr>
  </property>
  <property fmtid="{D5CDD505-2E9C-101B-9397-08002B2CF9AE}" pid="4" name="KSOTemplateDocerSaveRecord">
    <vt:lpwstr>eyJoZGlkIjoiMDE0NzFiMTA2MDIzNDEyNjEwYjcwM2NhYzA2OTdmMWQiLCJ1c2VySWQiOiIyMTg0MjEyMzYifQ==</vt:lpwstr>
  </property>
</Properties>
</file>