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B5F5">
      <w:pPr>
        <w:rPr>
          <w:rFonts w:hint="eastAsia" w:ascii="黑体" w:hAnsi="黑体" w:eastAsia="黑体" w:cs="黑体"/>
          <w:color w:val="auto"/>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1C4E20C6">
      <w:pPr>
        <w:spacing w:before="100" w:beforeAutospacing="1" w:after="100" w:afterAutospacing="1" w:line="560" w:lineRule="exact"/>
        <w:jc w:val="center"/>
        <w:rPr>
          <w:rFonts w:ascii="Times New Roman" w:hAnsi="Times New Roman" w:eastAsia="华文中宋" w:cs="Times New Roman"/>
          <w:b/>
          <w:color w:val="auto"/>
          <w:sz w:val="44"/>
          <w:szCs w:val="44"/>
          <w:highlight w:val="none"/>
        </w:rPr>
      </w:pPr>
    </w:p>
    <w:p w14:paraId="09648B4D">
      <w:pPr>
        <w:pStyle w:val="13"/>
        <w:ind w:firstLine="640"/>
        <w:rPr>
          <w:rFonts w:ascii="Times New Roman" w:hAnsi="Times New Roman" w:cs="Times New Roman"/>
          <w:color w:val="auto"/>
          <w:highlight w:val="none"/>
        </w:rPr>
      </w:pPr>
    </w:p>
    <w:p w14:paraId="37C6A521">
      <w:pPr>
        <w:spacing w:line="600" w:lineRule="exact"/>
        <w:jc w:val="cente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“匠心筑梦 智汇南山”</w:t>
      </w:r>
    </w:p>
    <w:p w14:paraId="7D958BAB">
      <w:pPr>
        <w:spacing w:line="600" w:lineRule="exact"/>
        <w:jc w:val="center"/>
        <w:rPr>
          <w:rFonts w:hint="eastAsia" w:ascii="方正小标宋简体" w:hAnsi="方正小标宋简体" w:eastAsia="方正小标宋简体" w:cs="方正小标宋简体"/>
          <w:bCs/>
          <w:color w:val="auto"/>
          <w:sz w:val="44"/>
          <w:szCs w:val="44"/>
          <w:highlight w:val="none"/>
          <w:lang w:val="en-AU"/>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2026年深圳市南山区</w:t>
      </w:r>
      <w:r>
        <w:rPr>
          <w:rFonts w:hint="eastAsia" w:ascii="方正小标宋简体" w:hAnsi="方正小标宋简体" w:eastAsia="方正小标宋简体" w:cs="方正小标宋简体"/>
          <w:bCs/>
          <w:color w:val="auto"/>
          <w:sz w:val="44"/>
          <w:szCs w:val="44"/>
          <w:highlight w:val="none"/>
          <w:lang w:val="en-AU"/>
        </w:rPr>
        <w:t>数字孪生应用技术员</w:t>
      </w:r>
    </w:p>
    <w:p w14:paraId="372EC47E">
      <w:pPr>
        <w:spacing w:line="600" w:lineRule="exact"/>
        <w:jc w:val="center"/>
        <w:rPr>
          <w:rFonts w:hint="eastAsia"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color w:val="auto"/>
          <w:sz w:val="44"/>
          <w:szCs w:val="44"/>
          <w:highlight w:val="none"/>
          <w:lang w:val="en-US" w:eastAsia="zh-CN"/>
        </w:rPr>
        <w:t>职业技能竞赛</w:t>
      </w:r>
    </w:p>
    <w:p w14:paraId="16E594BE">
      <w:pPr>
        <w:spacing w:line="600" w:lineRule="exact"/>
        <w:jc w:val="center"/>
        <w:rPr>
          <w:rFonts w:hint="eastAsia" w:ascii="方正小标宋简体" w:hAnsi="方正小标宋简体" w:eastAsia="方正小标宋简体" w:cs="方正小标宋简体"/>
          <w:bCs/>
          <w:color w:val="auto"/>
          <w:sz w:val="44"/>
          <w:szCs w:val="44"/>
          <w:highlight w:val="none"/>
          <w:lang w:val="en-AU"/>
        </w:rPr>
      </w:pPr>
      <w:r>
        <w:rPr>
          <w:rFonts w:hint="eastAsia" w:ascii="方正小标宋简体" w:hAnsi="方正小标宋简体" w:eastAsia="方正小标宋简体" w:cs="方正小标宋简体"/>
          <w:bCs/>
          <w:color w:val="auto"/>
          <w:sz w:val="44"/>
          <w:szCs w:val="44"/>
          <w:highlight w:val="none"/>
          <w:lang w:val="en-AU"/>
        </w:rPr>
        <w:t>技术文件</w:t>
      </w:r>
    </w:p>
    <w:p w14:paraId="7BDA8D77">
      <w:pPr>
        <w:pStyle w:val="8"/>
        <w:rPr>
          <w:rFonts w:ascii="Times New Roman" w:hAnsi="Times New Roman" w:eastAsia="微软雅黑" w:cs="Times New Roman"/>
          <w:color w:val="auto"/>
          <w:highlight w:val="none"/>
          <w:lang w:eastAsia="zh-CN"/>
        </w:rPr>
      </w:pPr>
    </w:p>
    <w:p w14:paraId="056FC478">
      <w:pPr>
        <w:spacing w:line="560" w:lineRule="exact"/>
        <w:rPr>
          <w:rFonts w:ascii="Times New Roman" w:hAnsi="Times New Roman" w:cs="Times New Roman"/>
          <w:color w:val="auto"/>
          <w:highlight w:val="none"/>
          <w:lang w:val="en-AU"/>
        </w:rPr>
      </w:pPr>
    </w:p>
    <w:p w14:paraId="7BAE59A8">
      <w:pPr>
        <w:spacing w:line="560" w:lineRule="exact"/>
        <w:rPr>
          <w:rFonts w:ascii="Times New Roman" w:hAnsi="Times New Roman" w:cs="Times New Roman"/>
          <w:color w:val="auto"/>
          <w:highlight w:val="none"/>
          <w:lang w:val="en-AU"/>
        </w:rPr>
      </w:pPr>
    </w:p>
    <w:p w14:paraId="3B09EB4F">
      <w:pPr>
        <w:spacing w:line="560" w:lineRule="exact"/>
        <w:rPr>
          <w:rFonts w:ascii="Times New Roman" w:hAnsi="Times New Roman" w:cs="Times New Roman"/>
          <w:color w:val="auto"/>
          <w:highlight w:val="none"/>
          <w:lang w:val="en-AU"/>
        </w:rPr>
      </w:pPr>
    </w:p>
    <w:p w14:paraId="27E6774D">
      <w:pPr>
        <w:spacing w:line="560" w:lineRule="exact"/>
        <w:rPr>
          <w:rFonts w:ascii="Times New Roman" w:hAnsi="Times New Roman" w:cs="Times New Roman"/>
          <w:color w:val="auto"/>
          <w:highlight w:val="none"/>
          <w:lang w:val="en-AU"/>
        </w:rPr>
      </w:pPr>
    </w:p>
    <w:p w14:paraId="4A5FF0F1">
      <w:pPr>
        <w:spacing w:line="560" w:lineRule="exact"/>
        <w:rPr>
          <w:rFonts w:ascii="Times New Roman" w:hAnsi="Times New Roman" w:cs="Times New Roman"/>
          <w:color w:val="auto"/>
          <w:highlight w:val="none"/>
          <w:lang w:val="en-AU"/>
        </w:rPr>
      </w:pPr>
    </w:p>
    <w:p w14:paraId="6E215AC9">
      <w:pPr>
        <w:spacing w:line="560" w:lineRule="exact"/>
        <w:rPr>
          <w:rFonts w:ascii="Times New Roman" w:hAnsi="Times New Roman" w:cs="Times New Roman"/>
          <w:color w:val="auto"/>
          <w:highlight w:val="none"/>
          <w:lang w:val="en-AU"/>
        </w:rPr>
      </w:pPr>
    </w:p>
    <w:p w14:paraId="6F149182">
      <w:pPr>
        <w:pStyle w:val="9"/>
        <w:ind w:firstLine="640"/>
        <w:rPr>
          <w:rFonts w:ascii="Times New Roman" w:hAnsi="Times New Roman" w:cs="Times New Roman"/>
          <w:color w:val="auto"/>
          <w:highlight w:val="none"/>
          <w:lang w:val="en-AU"/>
        </w:rPr>
      </w:pPr>
    </w:p>
    <w:p w14:paraId="478E6F10">
      <w:pPr>
        <w:pStyle w:val="9"/>
        <w:ind w:firstLine="0" w:firstLineChars="0"/>
        <w:rPr>
          <w:rFonts w:ascii="Times New Roman" w:hAnsi="Times New Roman" w:cs="Times New Roman"/>
          <w:color w:val="auto"/>
          <w:highlight w:val="none"/>
          <w:lang w:val="en-AU"/>
        </w:rPr>
      </w:pPr>
    </w:p>
    <w:p w14:paraId="0A72789B">
      <w:pPr>
        <w:pStyle w:val="9"/>
        <w:ind w:firstLine="640"/>
        <w:rPr>
          <w:rFonts w:ascii="Times New Roman" w:hAnsi="Times New Roman" w:cs="Times New Roman"/>
          <w:color w:val="auto"/>
          <w:highlight w:val="none"/>
          <w:lang w:val="en-AU"/>
        </w:rPr>
      </w:pPr>
    </w:p>
    <w:p w14:paraId="5606A670">
      <w:pPr>
        <w:pStyle w:val="9"/>
        <w:ind w:firstLine="640"/>
        <w:rPr>
          <w:rFonts w:ascii="Times New Roman" w:hAnsi="Times New Roman" w:cs="Times New Roman"/>
          <w:color w:val="auto"/>
          <w:highlight w:val="none"/>
          <w:lang w:val="en-AU"/>
        </w:rPr>
      </w:pPr>
    </w:p>
    <w:p w14:paraId="1F43E8EE">
      <w:pPr>
        <w:pStyle w:val="9"/>
        <w:ind w:firstLine="640"/>
        <w:rPr>
          <w:rFonts w:ascii="Times New Roman" w:hAnsi="Times New Roman" w:cs="Times New Roman"/>
          <w:color w:val="auto"/>
          <w:highlight w:val="none"/>
          <w:lang w:val="en-AU"/>
        </w:rPr>
      </w:pPr>
    </w:p>
    <w:p w14:paraId="7972D97D">
      <w:pPr>
        <w:spacing w:line="560" w:lineRule="exact"/>
        <w:jc w:val="center"/>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年深圳</w:t>
      </w:r>
      <w:r>
        <w:rPr>
          <w:rFonts w:hint="eastAsia" w:ascii="仿宋_GB2312" w:hAnsi="仿宋_GB2312" w:cs="仿宋_GB2312"/>
          <w:color w:val="auto"/>
          <w:sz w:val="32"/>
          <w:szCs w:val="32"/>
          <w:highlight w:val="none"/>
          <w:lang w:eastAsia="zh-CN"/>
        </w:rPr>
        <w:t>市南山区</w:t>
      </w:r>
    </w:p>
    <w:p w14:paraId="10D7C73F">
      <w:pPr>
        <w:spacing w:line="560" w:lineRule="exact"/>
        <w:jc w:val="center"/>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数字孪生应用技术员职业技能竞赛</w:t>
      </w:r>
      <w:r>
        <w:rPr>
          <w:rFonts w:hint="eastAsia" w:ascii="仿宋_GB2312" w:hAnsi="仿宋_GB2312" w:cs="仿宋_GB2312"/>
          <w:color w:val="auto"/>
          <w:sz w:val="32"/>
          <w:szCs w:val="32"/>
          <w:highlight w:val="none"/>
          <w:lang w:val="en-US" w:eastAsia="zh-CN"/>
        </w:rPr>
        <w:t>执委会</w:t>
      </w:r>
    </w:p>
    <w:p w14:paraId="40618CC9">
      <w:pPr>
        <w:spacing w:line="560" w:lineRule="exact"/>
        <w:rPr>
          <w:rFonts w:ascii="Times New Roman" w:hAnsi="Times New Roman" w:eastAsia="仿宋" w:cs="Times New Roman"/>
          <w:color w:val="auto"/>
          <w:sz w:val="32"/>
          <w:szCs w:val="32"/>
          <w:highlight w:val="none"/>
          <w:lang w:val="en-AU"/>
        </w:rPr>
      </w:pPr>
    </w:p>
    <w:p w14:paraId="2E5444E9">
      <w:pPr>
        <w:spacing w:line="560" w:lineRule="exact"/>
        <w:jc w:val="center"/>
        <w:rPr>
          <w:rFonts w:hint="eastAsia" w:ascii="仿宋_GB2312" w:hAnsi="仿宋_GB2312" w:eastAsia="仿宋_GB2312" w:cs="仿宋_GB2312"/>
          <w:color w:val="auto"/>
          <w:sz w:val="32"/>
          <w:szCs w:val="32"/>
          <w:highlight w:val="none"/>
          <w:lang w:val="en-AU" w:eastAsia="zh-CN"/>
        </w:rPr>
      </w:pPr>
      <w:r>
        <w:rPr>
          <w:rFonts w:hint="eastAsia" w:ascii="仿宋_GB2312" w:hAnsi="仿宋_GB2312" w:eastAsia="仿宋_GB2312" w:cs="仿宋_GB2312"/>
          <w:color w:val="auto"/>
          <w:sz w:val="32"/>
          <w:szCs w:val="32"/>
          <w:highlight w:val="none"/>
          <w:lang w:val="en-AU"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AU" w:eastAsia="zh-CN"/>
        </w:rPr>
        <w:t>年</w:t>
      </w:r>
      <w:r>
        <w:rPr>
          <w:rFonts w:hint="eastAsia" w:ascii="仿宋_GB2312" w:hAnsi="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AU" w:eastAsia="zh-CN"/>
        </w:rPr>
        <w:t>月</w:t>
      </w:r>
    </w:p>
    <w:p w14:paraId="1C52212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olor w:val="FF0000"/>
          <w:sz w:val="32"/>
          <w:szCs w:val="32"/>
          <w:lang w:val="en-US" w:eastAsia="zh-CN"/>
        </w:rPr>
        <w:sectPr>
          <w:pgSz w:w="11906" w:h="16838"/>
          <w:pgMar w:top="1440" w:right="1800" w:bottom="1440" w:left="1800" w:header="851" w:footer="992" w:gutter="0"/>
          <w:cols w:space="425" w:num="1"/>
          <w:docGrid w:type="lines" w:linePitch="312" w:charSpace="0"/>
        </w:sectPr>
      </w:pPr>
    </w:p>
    <w:p w14:paraId="069076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14:paraId="4B49A6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14:paraId="32B777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s="Times New Roman"/>
          <w:color w:val="auto"/>
          <w:sz w:val="32"/>
          <w:szCs w:val="32"/>
          <w:highlight w:val="none"/>
          <w:lang w:val="en-US" w:eastAsia="zh-CN"/>
        </w:rPr>
      </w:pPr>
      <w:r>
        <w:rPr>
          <w:rFonts w:hint="eastAsia" w:cs="Times New Roman"/>
          <w:color w:val="auto"/>
          <w:sz w:val="32"/>
          <w:szCs w:val="32"/>
          <w:highlight w:val="none"/>
          <w:lang w:val="en-US" w:eastAsia="zh-CN"/>
        </w:rPr>
        <w:t>本项目是依托服务器基础设施硬件平台构建工业数字孪生应用系统的竞赛项目。比赛中对选手的技能要求主要包括：服务器基础硬件运维、资源调度、数字孪生平台搭建、平台运维、数据分析、应用测试、应用操作、系统调优，检验参赛选手服务器运维、数字建模、数据分析、数字孪生项目实施和运维、应用实例操作的综合技能。</w:t>
      </w:r>
    </w:p>
    <w:p w14:paraId="58C8E7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（二）基本知识及能力要求</w:t>
      </w:r>
    </w:p>
    <w:tbl>
      <w:tblPr>
        <w:tblStyle w:val="10"/>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2"/>
        <w:gridCol w:w="985"/>
        <w:gridCol w:w="5596"/>
        <w:gridCol w:w="1083"/>
      </w:tblGrid>
      <w:tr w14:paraId="14E1AA69">
        <w:trPr>
          <w:trHeight w:val="454" w:hRule="atLeast"/>
          <w:jc w:val="center"/>
        </w:trPr>
        <w:tc>
          <w:tcPr>
            <w:tcW w:w="7233" w:type="dxa"/>
            <w:gridSpan w:val="3"/>
            <w:noWrap w:val="0"/>
            <w:vAlign w:val="center"/>
          </w:tcPr>
          <w:p w14:paraId="3023FE8C">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bCs/>
                <w:color w:val="auto"/>
                <w:sz w:val="24"/>
              </w:rPr>
              <w:t>理论知识相关要求</w:t>
            </w:r>
          </w:p>
        </w:tc>
        <w:tc>
          <w:tcPr>
            <w:tcW w:w="1083" w:type="dxa"/>
            <w:noWrap w:val="0"/>
            <w:vAlign w:val="center"/>
          </w:tcPr>
          <w:p w14:paraId="3AD10EF0">
            <w:pPr>
              <w:pStyle w:val="14"/>
              <w:wordWrap w:val="0"/>
              <w:snapToGrid w:val="0"/>
              <w:spacing w:line="0" w:lineRule="atLeast"/>
              <w:jc w:val="center"/>
              <w:rPr>
                <w:rFonts w:hint="eastAsia" w:ascii="仿宋_GB2312" w:hAnsi="仿宋_GB2312" w:eastAsia="仿宋_GB2312" w:cs="仿宋_GB2312"/>
                <w:b/>
                <w:caps/>
                <w:color w:val="auto"/>
                <w:sz w:val="24"/>
                <w:lang w:eastAsia="zh-CN"/>
              </w:rPr>
            </w:pPr>
            <w:r>
              <w:rPr>
                <w:rFonts w:hint="eastAsia" w:ascii="仿宋_GB2312" w:hAnsi="仿宋_GB2312" w:eastAsia="仿宋_GB2312" w:cs="仿宋_GB2312"/>
                <w:b/>
                <w:caps/>
                <w:color w:val="auto"/>
                <w:sz w:val="24"/>
                <w:lang w:eastAsia="zh-CN"/>
              </w:rPr>
              <w:t>权重比例</w:t>
            </w:r>
          </w:p>
          <w:p w14:paraId="64FBA4EF">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caps/>
                <w:color w:val="auto"/>
                <w:sz w:val="24"/>
              </w:rPr>
              <w:t>（%）</w:t>
            </w:r>
          </w:p>
        </w:tc>
      </w:tr>
      <w:tr w14:paraId="453D2792">
        <w:trPr>
          <w:trHeight w:val="454" w:hRule="atLeast"/>
          <w:jc w:val="center"/>
        </w:trPr>
        <w:tc>
          <w:tcPr>
            <w:tcW w:w="652" w:type="dxa"/>
            <w:vMerge w:val="restart"/>
            <w:noWrap w:val="0"/>
            <w:vAlign w:val="center"/>
          </w:tcPr>
          <w:p w14:paraId="7CAA82F2">
            <w:pPr>
              <w:pStyle w:val="5"/>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 xml:space="preserve">基本要求 </w:t>
            </w:r>
          </w:p>
        </w:tc>
        <w:tc>
          <w:tcPr>
            <w:tcW w:w="985" w:type="dxa"/>
            <w:noWrap w:val="0"/>
            <w:vAlign w:val="center"/>
          </w:tcPr>
          <w:p w14:paraId="1ED64A2B">
            <w:pPr>
              <w:pStyle w:val="5"/>
              <w:spacing w:line="0" w:lineRule="atLeas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职业道德</w:t>
            </w:r>
          </w:p>
        </w:tc>
        <w:tc>
          <w:tcPr>
            <w:tcW w:w="5596" w:type="dxa"/>
            <w:noWrap w:val="0"/>
            <w:vAlign w:val="center"/>
          </w:tcPr>
          <w:p w14:paraId="50F8F672">
            <w:pPr>
              <w:pStyle w:val="5"/>
              <w:spacing w:line="0" w:lineRule="atLeast"/>
              <w:jc w:val="both"/>
              <w:textAlignment w:val="center"/>
              <w:rPr>
                <w:rFonts w:hint="eastAsia" w:ascii="仿宋_GB2312" w:hAnsi="仿宋_GB2312" w:cs="仿宋_GB2312"/>
                <w:color w:val="auto"/>
                <w:sz w:val="24"/>
                <w:szCs w:val="24"/>
                <w:highlight w:val="none"/>
                <w:lang w:eastAsia="zh-CN"/>
              </w:rPr>
            </w:pPr>
            <w:r>
              <w:rPr>
                <w:rFonts w:hint="eastAsia" w:ascii="仿宋_GB2312" w:hAnsi="仿宋_GB2312" w:cs="仿宋_GB2312"/>
                <w:color w:val="auto"/>
                <w:sz w:val="24"/>
                <w:szCs w:val="24"/>
                <w:highlight w:val="none"/>
                <w:lang w:eastAsia="zh-CN"/>
              </w:rPr>
              <w:t>—职业道德基本知识</w:t>
            </w:r>
          </w:p>
          <w:p w14:paraId="79E013E7">
            <w:pPr>
              <w:pStyle w:val="5"/>
              <w:spacing w:line="0" w:lineRule="atLeast"/>
              <w:jc w:val="both"/>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eastAsia="zh-CN"/>
              </w:rPr>
              <w:t>—职业守则</w:t>
            </w:r>
          </w:p>
        </w:tc>
        <w:tc>
          <w:tcPr>
            <w:tcW w:w="1083" w:type="dxa"/>
            <w:vMerge w:val="restart"/>
            <w:noWrap w:val="0"/>
            <w:vAlign w:val="center"/>
          </w:tcPr>
          <w:p w14:paraId="50AF54EF">
            <w:pPr>
              <w:widowControl/>
              <w:spacing w:line="0" w:lineRule="atLeast"/>
              <w:jc w:val="center"/>
              <w:textAlignment w:val="center"/>
              <w:rPr>
                <w:rFonts w:hint="eastAsia" w:ascii="仿宋_GB2312" w:hAnsi="仿宋_GB2312" w:cs="仿宋_GB2312"/>
                <w:b w:val="0"/>
                <w:bCs w:val="0"/>
                <w:color w:val="auto"/>
                <w:sz w:val="24"/>
              </w:rPr>
            </w:pPr>
            <w:r>
              <w:rPr>
                <w:rFonts w:hint="eastAsia" w:ascii="仿宋_GB2312" w:hAnsi="仿宋_GB2312" w:cs="仿宋_GB2312"/>
                <w:b w:val="0"/>
                <w:bCs w:val="0"/>
                <w:color w:val="auto"/>
                <w:kern w:val="0"/>
                <w:sz w:val="24"/>
                <w:lang w:val="en-US" w:eastAsia="zh-CN" w:bidi="ar"/>
              </w:rPr>
              <w:t>25</w:t>
            </w:r>
          </w:p>
        </w:tc>
      </w:tr>
      <w:tr w14:paraId="31989A0E">
        <w:trPr>
          <w:trHeight w:val="454" w:hRule="atLeast"/>
          <w:jc w:val="center"/>
        </w:trPr>
        <w:tc>
          <w:tcPr>
            <w:tcW w:w="652" w:type="dxa"/>
            <w:vMerge w:val="continue"/>
            <w:noWrap w:val="0"/>
            <w:vAlign w:val="center"/>
          </w:tcPr>
          <w:p w14:paraId="6057A25F">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148A7B7D">
            <w:pPr>
              <w:pStyle w:val="5"/>
              <w:spacing w:line="0" w:lineRule="atLeas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eastAsia="zh-CN"/>
              </w:rPr>
              <w:t>基础知识</w:t>
            </w:r>
          </w:p>
        </w:tc>
        <w:tc>
          <w:tcPr>
            <w:tcW w:w="5596" w:type="dxa"/>
            <w:noWrap w:val="0"/>
            <w:vAlign w:val="center"/>
          </w:tcPr>
          <w:p w14:paraId="1408ECAE">
            <w:pPr>
              <w:pStyle w:val="5"/>
              <w:tabs>
                <w:tab w:val="left" w:pos="1468"/>
              </w:tabs>
              <w:spacing w:line="0" w:lineRule="atLeast"/>
              <w:jc w:val="left"/>
              <w:textAlignment w:val="center"/>
              <w:rPr>
                <w:rFonts w:hint="eastAsia" w:ascii="仿宋_GB2312" w:hAnsi="仿宋_GB2312" w:cs="仿宋_GB2312"/>
                <w:color w:val="auto"/>
                <w:sz w:val="24"/>
                <w:szCs w:val="24"/>
                <w:highlight w:val="none"/>
                <w:lang w:eastAsia="zh-CN"/>
              </w:rPr>
            </w:pPr>
            <w:r>
              <w:rPr>
                <w:rFonts w:hint="eastAsia" w:ascii="仿宋_GB2312" w:hAnsi="仿宋_GB2312" w:cs="仿宋_GB2312"/>
                <w:color w:val="auto"/>
                <w:sz w:val="24"/>
                <w:szCs w:val="24"/>
                <w:highlight w:val="none"/>
                <w:lang w:eastAsia="zh-CN"/>
              </w:rPr>
              <w:t>—通用知识</w:t>
            </w:r>
          </w:p>
          <w:p w14:paraId="3EDBA0BD">
            <w:pPr>
              <w:pStyle w:val="5"/>
              <w:tabs>
                <w:tab w:val="left" w:pos="1468"/>
              </w:tabs>
              <w:spacing w:line="0" w:lineRule="atLeast"/>
              <w:jc w:val="left"/>
              <w:textAlignment w:val="center"/>
              <w:rPr>
                <w:rFonts w:hint="eastAsia" w:ascii="仿宋_GB2312" w:hAnsi="仿宋_GB2312" w:cs="仿宋_GB2312"/>
                <w:color w:val="auto"/>
                <w:sz w:val="24"/>
                <w:szCs w:val="24"/>
                <w:highlight w:val="none"/>
                <w:lang w:eastAsia="zh-CN"/>
              </w:rPr>
            </w:pPr>
            <w:r>
              <w:rPr>
                <w:rFonts w:hint="eastAsia" w:ascii="仿宋_GB2312" w:hAnsi="仿宋_GB2312" w:cs="仿宋_GB2312"/>
                <w:color w:val="auto"/>
                <w:sz w:val="24"/>
                <w:szCs w:val="24"/>
                <w:highlight w:val="none"/>
                <w:lang w:eastAsia="zh-CN"/>
              </w:rPr>
              <w:t>—数字孪生基础知识</w:t>
            </w:r>
          </w:p>
          <w:p w14:paraId="448CE1A6">
            <w:pPr>
              <w:pStyle w:val="5"/>
              <w:tabs>
                <w:tab w:val="left" w:pos="1468"/>
              </w:tabs>
              <w:spacing w:line="0" w:lineRule="atLeast"/>
              <w:jc w:val="left"/>
              <w:textAlignment w:val="center"/>
              <w:rPr>
                <w:rFonts w:hint="eastAsia" w:ascii="仿宋_GB2312" w:hAnsi="仿宋_GB2312" w:cs="仿宋_GB2312"/>
                <w:color w:val="auto"/>
                <w:sz w:val="24"/>
                <w:szCs w:val="24"/>
                <w:highlight w:val="none"/>
                <w:lang w:eastAsia="zh-CN"/>
              </w:rPr>
            </w:pPr>
            <w:r>
              <w:rPr>
                <w:rFonts w:hint="eastAsia" w:ascii="仿宋_GB2312" w:hAnsi="仿宋_GB2312" w:cs="仿宋_GB2312"/>
                <w:color w:val="auto"/>
                <w:sz w:val="24"/>
                <w:szCs w:val="24"/>
                <w:highlight w:val="none"/>
                <w:lang w:eastAsia="zh-CN"/>
              </w:rPr>
              <w:t>—数字孪生应用常用知识</w:t>
            </w:r>
          </w:p>
          <w:p w14:paraId="1A51A39C">
            <w:pPr>
              <w:pStyle w:val="5"/>
              <w:tabs>
                <w:tab w:val="left" w:pos="1468"/>
              </w:tabs>
              <w:spacing w:line="0" w:lineRule="atLeast"/>
              <w:jc w:val="left"/>
              <w:textAlignment w:val="center"/>
              <w:rPr>
                <w:rFonts w:hint="eastAsia" w:ascii="仿宋_GB2312" w:hAnsi="仿宋_GB2312" w:cs="仿宋_GB2312"/>
                <w:color w:val="auto"/>
                <w:sz w:val="24"/>
                <w:szCs w:val="24"/>
                <w:highlight w:val="none"/>
                <w:lang w:eastAsia="zh-CN"/>
              </w:rPr>
            </w:pPr>
            <w:r>
              <w:rPr>
                <w:rFonts w:hint="eastAsia" w:ascii="仿宋_GB2312" w:hAnsi="仿宋_GB2312" w:cs="仿宋_GB2312"/>
                <w:color w:val="auto"/>
                <w:sz w:val="24"/>
                <w:szCs w:val="24"/>
                <w:highlight w:val="none"/>
                <w:lang w:eastAsia="zh-CN"/>
              </w:rPr>
              <w:t>—信息安全与安全生产基础知识</w:t>
            </w:r>
          </w:p>
        </w:tc>
        <w:tc>
          <w:tcPr>
            <w:tcW w:w="1083" w:type="dxa"/>
            <w:vMerge w:val="continue"/>
            <w:noWrap w:val="0"/>
            <w:vAlign w:val="center"/>
          </w:tcPr>
          <w:p w14:paraId="04A15EB7">
            <w:pPr>
              <w:spacing w:line="0" w:lineRule="atLeast"/>
              <w:jc w:val="center"/>
              <w:rPr>
                <w:rFonts w:hint="eastAsia" w:ascii="仿宋_GB2312" w:hAnsi="仿宋_GB2312" w:cs="仿宋_GB2312"/>
                <w:b w:val="0"/>
                <w:bCs w:val="0"/>
                <w:color w:val="auto"/>
                <w:sz w:val="24"/>
              </w:rPr>
            </w:pPr>
          </w:p>
        </w:tc>
      </w:tr>
      <w:tr w14:paraId="48265E3E">
        <w:trPr>
          <w:trHeight w:val="454" w:hRule="atLeast"/>
          <w:jc w:val="center"/>
        </w:trPr>
        <w:tc>
          <w:tcPr>
            <w:tcW w:w="652" w:type="dxa"/>
            <w:vMerge w:val="restart"/>
            <w:noWrap w:val="0"/>
            <w:vAlign w:val="center"/>
          </w:tcPr>
          <w:p w14:paraId="2AFB762D">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平台运维</w:t>
            </w:r>
          </w:p>
        </w:tc>
        <w:tc>
          <w:tcPr>
            <w:tcW w:w="985" w:type="dxa"/>
            <w:noWrap w:val="0"/>
            <w:vAlign w:val="center"/>
          </w:tcPr>
          <w:p w14:paraId="53C6E034">
            <w:pPr>
              <w:pStyle w:val="5"/>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平台调试</w:t>
            </w:r>
          </w:p>
        </w:tc>
        <w:tc>
          <w:tcPr>
            <w:tcW w:w="5596" w:type="dxa"/>
            <w:noWrap w:val="0"/>
            <w:vAlign w:val="center"/>
          </w:tcPr>
          <w:p w14:paraId="060910F9">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数字孪生平台调试方法</w:t>
            </w:r>
          </w:p>
          <w:p w14:paraId="5438A46B">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数字孪生平台调试记录方法</w:t>
            </w:r>
          </w:p>
          <w:p w14:paraId="6C9F405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数字孪生平台试运行方法</w:t>
            </w:r>
          </w:p>
        </w:tc>
        <w:tc>
          <w:tcPr>
            <w:tcW w:w="1083" w:type="dxa"/>
            <w:vMerge w:val="restart"/>
            <w:noWrap w:val="0"/>
            <w:vAlign w:val="center"/>
          </w:tcPr>
          <w:p w14:paraId="2B9AB00A">
            <w:pPr>
              <w:spacing w:line="0" w:lineRule="atLeast"/>
              <w:jc w:val="center"/>
              <w:rPr>
                <w:rFonts w:hint="eastAsia" w:ascii="仿宋_GB2312" w:hAnsi="仿宋_GB2312" w:cs="仿宋_GB2312"/>
                <w:b w:val="0"/>
                <w:bCs w:val="0"/>
                <w:color w:val="auto"/>
                <w:sz w:val="24"/>
              </w:rPr>
            </w:pPr>
            <w:r>
              <w:rPr>
                <w:rFonts w:hint="eastAsia" w:ascii="仿宋_GB2312" w:hAnsi="仿宋_GB2312" w:cs="仿宋_GB2312"/>
                <w:b w:val="0"/>
                <w:bCs w:val="0"/>
                <w:color w:val="auto"/>
                <w:kern w:val="0"/>
                <w:sz w:val="24"/>
                <w:lang w:val="en-US" w:eastAsia="zh-CN" w:bidi="ar"/>
              </w:rPr>
              <w:t>25</w:t>
            </w:r>
          </w:p>
        </w:tc>
      </w:tr>
      <w:tr w14:paraId="1DBFCEB9">
        <w:trPr>
          <w:trHeight w:val="454" w:hRule="atLeast"/>
          <w:jc w:val="center"/>
        </w:trPr>
        <w:tc>
          <w:tcPr>
            <w:tcW w:w="652" w:type="dxa"/>
            <w:vMerge w:val="continue"/>
            <w:noWrap w:val="0"/>
            <w:vAlign w:val="center"/>
          </w:tcPr>
          <w:p w14:paraId="1990912A">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36B7F4EA">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平台维护</w:t>
            </w:r>
          </w:p>
        </w:tc>
        <w:tc>
          <w:tcPr>
            <w:tcW w:w="5596" w:type="dxa"/>
            <w:noWrap w:val="0"/>
            <w:vAlign w:val="center"/>
          </w:tcPr>
          <w:p w14:paraId="04EE5940">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数字孪生平台升级方法</w:t>
            </w:r>
          </w:p>
          <w:p w14:paraId="0832455C">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数字孪生平台升级日志记录和备份方法</w:t>
            </w:r>
          </w:p>
          <w:p w14:paraId="22AEDDC6">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数字孪生平台维护报告撰写方法</w:t>
            </w:r>
          </w:p>
        </w:tc>
        <w:tc>
          <w:tcPr>
            <w:tcW w:w="1083" w:type="dxa"/>
            <w:vMerge w:val="continue"/>
            <w:noWrap w:val="0"/>
            <w:vAlign w:val="center"/>
          </w:tcPr>
          <w:p w14:paraId="2B98D2FC">
            <w:pPr>
              <w:spacing w:line="0" w:lineRule="atLeast"/>
              <w:jc w:val="center"/>
              <w:rPr>
                <w:rFonts w:hint="eastAsia" w:ascii="仿宋_GB2312" w:hAnsi="仿宋_GB2312" w:cs="仿宋_GB2312"/>
                <w:b w:val="0"/>
                <w:bCs w:val="0"/>
                <w:color w:val="auto"/>
                <w:sz w:val="24"/>
              </w:rPr>
            </w:pPr>
          </w:p>
        </w:tc>
      </w:tr>
      <w:tr w14:paraId="59306215">
        <w:trPr>
          <w:trHeight w:val="454" w:hRule="atLeast"/>
          <w:jc w:val="center"/>
        </w:trPr>
        <w:tc>
          <w:tcPr>
            <w:tcW w:w="652" w:type="dxa"/>
            <w:vMerge w:val="restart"/>
            <w:noWrap w:val="0"/>
            <w:vAlign w:val="center"/>
          </w:tcPr>
          <w:p w14:paraId="32D986FF">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应用测试</w:t>
            </w:r>
          </w:p>
        </w:tc>
        <w:tc>
          <w:tcPr>
            <w:tcW w:w="985" w:type="dxa"/>
            <w:noWrap w:val="0"/>
            <w:vAlign w:val="center"/>
          </w:tcPr>
          <w:p w14:paraId="3C9A3D6D">
            <w:pPr>
              <w:pStyle w:val="5"/>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应用测试用例编制</w:t>
            </w:r>
          </w:p>
        </w:tc>
        <w:tc>
          <w:tcPr>
            <w:tcW w:w="5596" w:type="dxa"/>
            <w:noWrap w:val="0"/>
            <w:vAlign w:val="center"/>
          </w:tcPr>
          <w:p w14:paraId="1AF052CF">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数字孪生应用测试文档分析方法</w:t>
            </w:r>
          </w:p>
          <w:p w14:paraId="6755DD0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数字孪生应用测试任务要素</w:t>
            </w:r>
          </w:p>
          <w:p w14:paraId="2DFF66BD">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数字孪生应用测试用例编制要求</w:t>
            </w:r>
          </w:p>
        </w:tc>
        <w:tc>
          <w:tcPr>
            <w:tcW w:w="1083" w:type="dxa"/>
            <w:vMerge w:val="restart"/>
            <w:noWrap w:val="0"/>
            <w:vAlign w:val="center"/>
          </w:tcPr>
          <w:p w14:paraId="5584352D">
            <w:pPr>
              <w:spacing w:line="0" w:lineRule="atLeast"/>
              <w:jc w:val="center"/>
              <w:rPr>
                <w:rFonts w:hint="eastAsia" w:ascii="仿宋_GB2312" w:hAnsi="仿宋_GB2312" w:cs="仿宋_GB2312"/>
                <w:b w:val="0"/>
                <w:bCs w:val="0"/>
                <w:color w:val="auto"/>
                <w:sz w:val="24"/>
              </w:rPr>
            </w:pPr>
            <w:r>
              <w:rPr>
                <w:rFonts w:hint="eastAsia" w:ascii="仿宋_GB2312" w:hAnsi="仿宋_GB2312" w:cs="仿宋_GB2312"/>
                <w:b w:val="0"/>
                <w:bCs w:val="0"/>
                <w:color w:val="auto"/>
                <w:kern w:val="0"/>
                <w:sz w:val="24"/>
                <w:lang w:val="en-US" w:eastAsia="zh-CN" w:bidi="ar"/>
              </w:rPr>
              <w:t>20</w:t>
            </w:r>
          </w:p>
        </w:tc>
      </w:tr>
      <w:tr w14:paraId="7E51D9CA">
        <w:trPr>
          <w:trHeight w:val="454" w:hRule="atLeast"/>
          <w:jc w:val="center"/>
        </w:trPr>
        <w:tc>
          <w:tcPr>
            <w:tcW w:w="652" w:type="dxa"/>
            <w:vMerge w:val="continue"/>
            <w:noWrap w:val="0"/>
            <w:vAlign w:val="center"/>
          </w:tcPr>
          <w:p w14:paraId="6FFC2678">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1CDBE7E4">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应用测试数据处理</w:t>
            </w:r>
          </w:p>
        </w:tc>
        <w:tc>
          <w:tcPr>
            <w:tcW w:w="5596" w:type="dxa"/>
            <w:noWrap w:val="0"/>
            <w:vAlign w:val="center"/>
          </w:tcPr>
          <w:p w14:paraId="18C6A562">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数字孪生应用测试数据预处理方法</w:t>
            </w:r>
          </w:p>
          <w:p w14:paraId="6D4F4B4C">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数字孪生应用测试数据统计</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分类与整理方法</w:t>
            </w:r>
          </w:p>
          <w:p w14:paraId="64B2079A">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数字孪生应用测试报告体例格式要求</w:t>
            </w:r>
          </w:p>
        </w:tc>
        <w:tc>
          <w:tcPr>
            <w:tcW w:w="1083" w:type="dxa"/>
            <w:vMerge w:val="continue"/>
            <w:noWrap w:val="0"/>
            <w:vAlign w:val="center"/>
          </w:tcPr>
          <w:p w14:paraId="5C0119E0">
            <w:pPr>
              <w:spacing w:line="0" w:lineRule="atLeast"/>
              <w:jc w:val="center"/>
              <w:rPr>
                <w:rFonts w:hint="eastAsia" w:ascii="仿宋_GB2312" w:hAnsi="仿宋_GB2312" w:cs="仿宋_GB2312"/>
                <w:b w:val="0"/>
                <w:bCs w:val="0"/>
                <w:color w:val="auto"/>
                <w:sz w:val="24"/>
              </w:rPr>
            </w:pPr>
          </w:p>
        </w:tc>
      </w:tr>
      <w:tr w14:paraId="0EB1150D">
        <w:trPr>
          <w:trHeight w:val="454" w:hRule="atLeast"/>
          <w:jc w:val="center"/>
        </w:trPr>
        <w:tc>
          <w:tcPr>
            <w:tcW w:w="652" w:type="dxa"/>
            <w:vMerge w:val="restart"/>
            <w:noWrap w:val="0"/>
            <w:vAlign w:val="center"/>
          </w:tcPr>
          <w:p w14:paraId="2070DFD8">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应用操作</w:t>
            </w:r>
          </w:p>
        </w:tc>
        <w:tc>
          <w:tcPr>
            <w:tcW w:w="985" w:type="dxa"/>
            <w:noWrap w:val="0"/>
            <w:vAlign w:val="center"/>
          </w:tcPr>
          <w:p w14:paraId="0447DBDD">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应用控制</w:t>
            </w:r>
          </w:p>
        </w:tc>
        <w:tc>
          <w:tcPr>
            <w:tcW w:w="5596" w:type="dxa"/>
            <w:noWrap w:val="0"/>
            <w:vAlign w:val="center"/>
          </w:tcPr>
          <w:p w14:paraId="7A7CA987">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数字孪生应用控制参数设定方法</w:t>
            </w:r>
          </w:p>
          <w:p w14:paraId="4AD4C18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数字孪生应用安全控制措施</w:t>
            </w:r>
          </w:p>
        </w:tc>
        <w:tc>
          <w:tcPr>
            <w:tcW w:w="1083" w:type="dxa"/>
            <w:vMerge w:val="restart"/>
            <w:noWrap w:val="0"/>
            <w:vAlign w:val="center"/>
          </w:tcPr>
          <w:p w14:paraId="587BA41B">
            <w:pPr>
              <w:spacing w:line="0" w:lineRule="atLeast"/>
              <w:jc w:val="center"/>
              <w:rPr>
                <w:rFonts w:hint="eastAsia" w:ascii="仿宋_GB2312" w:hAnsi="仿宋_GB2312" w:cs="仿宋_GB2312"/>
                <w:b w:val="0"/>
                <w:bCs w:val="0"/>
                <w:color w:val="auto"/>
                <w:sz w:val="24"/>
              </w:rPr>
            </w:pPr>
            <w:r>
              <w:rPr>
                <w:rFonts w:hint="eastAsia" w:ascii="仿宋_GB2312" w:hAnsi="仿宋_GB2312" w:cs="仿宋_GB2312"/>
                <w:b w:val="0"/>
                <w:bCs w:val="0"/>
                <w:color w:val="auto"/>
                <w:kern w:val="0"/>
                <w:sz w:val="24"/>
                <w:lang w:val="en-US" w:eastAsia="zh-CN" w:bidi="ar"/>
              </w:rPr>
              <w:t>30</w:t>
            </w:r>
          </w:p>
        </w:tc>
      </w:tr>
      <w:tr w14:paraId="643E5F12">
        <w:trPr>
          <w:trHeight w:val="454" w:hRule="atLeast"/>
          <w:jc w:val="center"/>
        </w:trPr>
        <w:tc>
          <w:tcPr>
            <w:tcW w:w="652" w:type="dxa"/>
            <w:vMerge w:val="continue"/>
            <w:noWrap w:val="0"/>
            <w:vAlign w:val="center"/>
          </w:tcPr>
          <w:p w14:paraId="4779F1DA">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470CFFE8">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应用状态跟踪</w:t>
            </w:r>
          </w:p>
        </w:tc>
        <w:tc>
          <w:tcPr>
            <w:tcW w:w="5596" w:type="dxa"/>
            <w:noWrap w:val="0"/>
            <w:vAlign w:val="center"/>
          </w:tcPr>
          <w:p w14:paraId="32188D5E">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数字孪生应用状态设定方法</w:t>
            </w:r>
          </w:p>
          <w:p w14:paraId="4EF63FC6">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数字孪生应用状态调控方法</w:t>
            </w:r>
          </w:p>
          <w:p w14:paraId="7EF085FD">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数字孪生应用状态跟踪和判断方法</w:t>
            </w:r>
          </w:p>
          <w:p w14:paraId="2480D249">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记录报告撰写方法</w:t>
            </w:r>
          </w:p>
        </w:tc>
        <w:tc>
          <w:tcPr>
            <w:tcW w:w="1083" w:type="dxa"/>
            <w:vMerge w:val="continue"/>
            <w:noWrap w:val="0"/>
            <w:vAlign w:val="center"/>
          </w:tcPr>
          <w:p w14:paraId="011BB961">
            <w:pPr>
              <w:spacing w:line="0" w:lineRule="atLeast"/>
              <w:jc w:val="center"/>
              <w:rPr>
                <w:rFonts w:hint="eastAsia" w:ascii="仿宋_GB2312" w:hAnsi="仿宋_GB2312" w:cs="仿宋_GB2312"/>
                <w:color w:val="auto"/>
                <w:sz w:val="24"/>
              </w:rPr>
            </w:pPr>
          </w:p>
        </w:tc>
      </w:tr>
      <w:tr w14:paraId="6B871FDB">
        <w:trPr>
          <w:trHeight w:val="454" w:hRule="atLeast"/>
          <w:jc w:val="center"/>
        </w:trPr>
        <w:tc>
          <w:tcPr>
            <w:tcW w:w="652" w:type="dxa"/>
            <w:vMerge w:val="continue"/>
            <w:noWrap w:val="0"/>
            <w:vAlign w:val="center"/>
          </w:tcPr>
          <w:p w14:paraId="0FE5A049">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12029170">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应用操作问题收集</w:t>
            </w:r>
          </w:p>
        </w:tc>
        <w:tc>
          <w:tcPr>
            <w:tcW w:w="5596" w:type="dxa"/>
            <w:noWrap w:val="0"/>
            <w:vAlign w:val="center"/>
          </w:tcPr>
          <w:p w14:paraId="05744395">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数字孪生应用操作问题收集 、分类和汇总方法</w:t>
            </w:r>
          </w:p>
          <w:p w14:paraId="301BC919">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数字孪生应用操作问题总结报告撰写方法</w:t>
            </w:r>
          </w:p>
        </w:tc>
        <w:tc>
          <w:tcPr>
            <w:tcW w:w="1083" w:type="dxa"/>
            <w:vMerge w:val="continue"/>
            <w:noWrap w:val="0"/>
            <w:vAlign w:val="center"/>
          </w:tcPr>
          <w:p w14:paraId="3836FEE3">
            <w:pPr>
              <w:spacing w:line="0" w:lineRule="atLeast"/>
              <w:jc w:val="center"/>
              <w:rPr>
                <w:rFonts w:hint="eastAsia" w:ascii="仿宋_GB2312" w:hAnsi="仿宋_GB2312" w:cs="仿宋_GB2312"/>
                <w:color w:val="auto"/>
                <w:sz w:val="24"/>
              </w:rPr>
            </w:pPr>
          </w:p>
        </w:tc>
      </w:tr>
      <w:tr w14:paraId="03D42354">
        <w:trPr>
          <w:trHeight w:val="454" w:hRule="atLeast"/>
          <w:jc w:val="center"/>
        </w:trPr>
        <w:tc>
          <w:tcPr>
            <w:tcW w:w="7233" w:type="dxa"/>
            <w:gridSpan w:val="3"/>
            <w:noWrap w:val="0"/>
            <w:vAlign w:val="center"/>
          </w:tcPr>
          <w:p w14:paraId="45E226DF">
            <w:pPr>
              <w:spacing w:line="0" w:lineRule="atLeast"/>
              <w:jc w:val="center"/>
              <w:rPr>
                <w:rFonts w:hint="eastAsia" w:ascii="仿宋_GB2312" w:hAnsi="仿宋_GB2312" w:cs="仿宋_GB2312"/>
                <w:b/>
                <w:bCs/>
                <w:color w:val="auto"/>
                <w:sz w:val="24"/>
              </w:rPr>
            </w:pPr>
            <w:r>
              <w:rPr>
                <w:rFonts w:hint="eastAsia" w:ascii="仿宋_GB2312" w:hAnsi="仿宋_GB2312" w:cs="仿宋_GB2312"/>
                <w:b/>
                <w:bCs/>
                <w:color w:val="auto"/>
                <w:sz w:val="24"/>
              </w:rPr>
              <w:t>合计</w:t>
            </w:r>
          </w:p>
        </w:tc>
        <w:tc>
          <w:tcPr>
            <w:tcW w:w="1083" w:type="dxa"/>
            <w:noWrap w:val="0"/>
            <w:vAlign w:val="center"/>
          </w:tcPr>
          <w:p w14:paraId="53D58A63">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bCs/>
                <w:color w:val="auto"/>
                <w:sz w:val="24"/>
              </w:rPr>
              <w:t>100</w:t>
            </w:r>
          </w:p>
        </w:tc>
      </w:tr>
      <w:tr w14:paraId="0DAB3D03">
        <w:trPr>
          <w:trHeight w:val="454" w:hRule="atLeast"/>
          <w:jc w:val="center"/>
        </w:trPr>
        <w:tc>
          <w:tcPr>
            <w:tcW w:w="7233" w:type="dxa"/>
            <w:gridSpan w:val="3"/>
            <w:noWrap w:val="0"/>
            <w:vAlign w:val="center"/>
          </w:tcPr>
          <w:p w14:paraId="79B0DD64">
            <w:pPr>
              <w:spacing w:line="0" w:lineRule="atLeast"/>
              <w:jc w:val="center"/>
              <w:rPr>
                <w:rFonts w:hint="eastAsia" w:ascii="仿宋_GB2312" w:hAnsi="仿宋_GB2312" w:cs="仿宋_GB2312"/>
                <w:b/>
                <w:bCs/>
                <w:color w:val="auto"/>
                <w:sz w:val="24"/>
              </w:rPr>
            </w:pPr>
            <w:r>
              <w:rPr>
                <w:rFonts w:hint="eastAsia" w:ascii="仿宋_GB2312" w:hAnsi="仿宋_GB2312" w:cs="仿宋_GB2312"/>
                <w:b/>
                <w:bCs/>
                <w:color w:val="auto"/>
                <w:sz w:val="24"/>
              </w:rPr>
              <w:t>实操能力相关要求</w:t>
            </w:r>
          </w:p>
        </w:tc>
        <w:tc>
          <w:tcPr>
            <w:tcW w:w="1083" w:type="dxa"/>
            <w:noWrap w:val="0"/>
            <w:vAlign w:val="center"/>
          </w:tcPr>
          <w:p w14:paraId="60EE505F">
            <w:pPr>
              <w:pStyle w:val="14"/>
              <w:wordWrap w:val="0"/>
              <w:snapToGrid w:val="0"/>
              <w:spacing w:line="0" w:lineRule="atLeast"/>
              <w:jc w:val="center"/>
              <w:rPr>
                <w:rFonts w:hint="eastAsia" w:ascii="仿宋_GB2312" w:hAnsi="仿宋_GB2312" w:eastAsia="仿宋_GB2312" w:cs="仿宋_GB2312"/>
                <w:b/>
                <w:caps/>
                <w:color w:val="auto"/>
                <w:sz w:val="24"/>
                <w:lang w:eastAsia="zh-CN"/>
              </w:rPr>
            </w:pPr>
            <w:r>
              <w:rPr>
                <w:rFonts w:hint="eastAsia" w:ascii="仿宋_GB2312" w:hAnsi="仿宋_GB2312" w:eastAsia="仿宋_GB2312" w:cs="仿宋_GB2312"/>
                <w:b/>
                <w:caps/>
                <w:color w:val="auto"/>
                <w:sz w:val="24"/>
                <w:lang w:eastAsia="zh-CN"/>
              </w:rPr>
              <w:t>权重比例</w:t>
            </w:r>
          </w:p>
          <w:p w14:paraId="22BD56F5">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caps/>
                <w:color w:val="auto"/>
                <w:sz w:val="24"/>
              </w:rPr>
              <w:t>（%）</w:t>
            </w:r>
          </w:p>
        </w:tc>
      </w:tr>
      <w:tr w14:paraId="0D76095E">
        <w:trPr>
          <w:trHeight w:val="454" w:hRule="atLeast"/>
          <w:jc w:val="center"/>
        </w:trPr>
        <w:tc>
          <w:tcPr>
            <w:tcW w:w="652" w:type="dxa"/>
            <w:vMerge w:val="restart"/>
            <w:noWrap w:val="0"/>
            <w:vAlign w:val="center"/>
          </w:tcPr>
          <w:p w14:paraId="620CCF9A">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平台运维</w:t>
            </w:r>
          </w:p>
        </w:tc>
        <w:tc>
          <w:tcPr>
            <w:tcW w:w="985" w:type="dxa"/>
            <w:shd w:val="clear" w:color="auto" w:fill="auto"/>
            <w:noWrap w:val="0"/>
            <w:vAlign w:val="center"/>
          </w:tcPr>
          <w:p w14:paraId="22A8DD20">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平台调试</w:t>
            </w:r>
          </w:p>
        </w:tc>
        <w:tc>
          <w:tcPr>
            <w:tcW w:w="5596" w:type="dxa"/>
            <w:noWrap w:val="0"/>
            <w:vAlign w:val="center"/>
          </w:tcPr>
          <w:p w14:paraId="590E8454">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能在离线和在线模式下调试数字孪生平台</w:t>
            </w:r>
          </w:p>
          <w:p w14:paraId="2A12CF54">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能填写数字孪生平台调试记录单</w:t>
            </w:r>
          </w:p>
          <w:p w14:paraId="2AD3319E">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能对数字孪生平台进行试运行</w:t>
            </w:r>
          </w:p>
        </w:tc>
        <w:tc>
          <w:tcPr>
            <w:tcW w:w="1083" w:type="dxa"/>
            <w:vMerge w:val="restart"/>
            <w:noWrap w:val="0"/>
            <w:vAlign w:val="center"/>
          </w:tcPr>
          <w:p w14:paraId="2E3981AC">
            <w:pPr>
              <w:pStyle w:val="5"/>
              <w:spacing w:line="0" w:lineRule="atLeast"/>
              <w:jc w:val="center"/>
              <w:textAlignment w:val="center"/>
              <w:rPr>
                <w:rFonts w:hint="eastAsia" w:ascii="仿宋_GB2312" w:hAnsi="仿宋_GB2312" w:cs="仿宋_GB2312"/>
                <w:b w:val="0"/>
                <w:bCs w:val="0"/>
                <w:color w:val="auto"/>
                <w:sz w:val="24"/>
                <w:szCs w:val="24"/>
              </w:rPr>
            </w:pPr>
            <w:r>
              <w:rPr>
                <w:rFonts w:hint="eastAsia" w:ascii="仿宋_GB2312" w:hAnsi="仿宋_GB2312" w:cs="仿宋_GB2312"/>
                <w:b w:val="0"/>
                <w:bCs w:val="0"/>
                <w:color w:val="auto"/>
                <w:sz w:val="24"/>
                <w:szCs w:val="24"/>
                <w:lang w:val="en-US" w:eastAsia="zh-CN"/>
              </w:rPr>
              <w:t>30</w:t>
            </w:r>
          </w:p>
        </w:tc>
      </w:tr>
      <w:tr w14:paraId="10AF9FC2">
        <w:trPr>
          <w:trHeight w:val="454" w:hRule="atLeast"/>
          <w:jc w:val="center"/>
        </w:trPr>
        <w:tc>
          <w:tcPr>
            <w:tcW w:w="652" w:type="dxa"/>
            <w:vMerge w:val="continue"/>
            <w:noWrap w:val="0"/>
            <w:vAlign w:val="center"/>
          </w:tcPr>
          <w:p w14:paraId="592D4FDB">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09809054">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平台维护</w:t>
            </w:r>
          </w:p>
        </w:tc>
        <w:tc>
          <w:tcPr>
            <w:tcW w:w="5596" w:type="dxa"/>
            <w:noWrap w:val="0"/>
            <w:vAlign w:val="center"/>
          </w:tcPr>
          <w:p w14:paraId="1203A84D">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能定期升级数字孪生平台的软硬件</w:t>
            </w:r>
          </w:p>
          <w:p w14:paraId="320C8B11">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能记录数字孪生平台升级日志</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定期备份升级日志</w:t>
            </w:r>
          </w:p>
          <w:p w14:paraId="703768BB">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能撰写数字孪生平台维护报告</w:t>
            </w:r>
          </w:p>
        </w:tc>
        <w:tc>
          <w:tcPr>
            <w:tcW w:w="1083" w:type="dxa"/>
            <w:vMerge w:val="continue"/>
            <w:noWrap w:val="0"/>
            <w:vAlign w:val="center"/>
          </w:tcPr>
          <w:p w14:paraId="420D66FB">
            <w:pPr>
              <w:pStyle w:val="5"/>
              <w:spacing w:line="0" w:lineRule="atLeast"/>
              <w:jc w:val="center"/>
              <w:textAlignment w:val="center"/>
              <w:rPr>
                <w:rFonts w:hint="eastAsia" w:ascii="仿宋_GB2312" w:hAnsi="仿宋_GB2312" w:cs="仿宋_GB2312"/>
                <w:b w:val="0"/>
                <w:bCs w:val="0"/>
                <w:color w:val="auto"/>
                <w:sz w:val="24"/>
                <w:szCs w:val="24"/>
              </w:rPr>
            </w:pPr>
          </w:p>
        </w:tc>
      </w:tr>
      <w:tr w14:paraId="074C04E0">
        <w:trPr>
          <w:trHeight w:val="454" w:hRule="atLeast"/>
          <w:jc w:val="center"/>
        </w:trPr>
        <w:tc>
          <w:tcPr>
            <w:tcW w:w="652" w:type="dxa"/>
            <w:vMerge w:val="restart"/>
            <w:noWrap w:val="0"/>
            <w:vAlign w:val="center"/>
          </w:tcPr>
          <w:p w14:paraId="37E41913">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应用测试</w:t>
            </w:r>
          </w:p>
        </w:tc>
        <w:tc>
          <w:tcPr>
            <w:tcW w:w="985" w:type="dxa"/>
            <w:noWrap w:val="0"/>
            <w:vAlign w:val="center"/>
          </w:tcPr>
          <w:p w14:paraId="7A1E23AA">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eastAsia="仿宋_GB2312" w:cs="仿宋_GB2312"/>
                <w:color w:val="auto"/>
                <w:sz w:val="24"/>
                <w:szCs w:val="24"/>
                <w:lang w:val="en-US" w:eastAsia="zh-CN"/>
              </w:rPr>
              <w:t>应用测试用例编制</w:t>
            </w:r>
          </w:p>
        </w:tc>
        <w:tc>
          <w:tcPr>
            <w:tcW w:w="5596" w:type="dxa"/>
            <w:noWrap w:val="0"/>
            <w:vAlign w:val="center"/>
          </w:tcPr>
          <w:p w14:paraId="21E6F0D9">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能分析数字孪生应用测试文档</w:t>
            </w:r>
          </w:p>
          <w:p w14:paraId="462E5C6C">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能描述数字孪生应用测试任务内容与边界</w:t>
            </w:r>
          </w:p>
          <w:p w14:paraId="0A2E455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能根据应用场景设计数字孪生应用测试用例</w:t>
            </w:r>
          </w:p>
        </w:tc>
        <w:tc>
          <w:tcPr>
            <w:tcW w:w="1083" w:type="dxa"/>
            <w:vMerge w:val="restart"/>
            <w:noWrap w:val="0"/>
            <w:vAlign w:val="center"/>
          </w:tcPr>
          <w:p w14:paraId="2BA973EC">
            <w:pPr>
              <w:pStyle w:val="5"/>
              <w:spacing w:line="0" w:lineRule="atLeast"/>
              <w:jc w:val="center"/>
              <w:textAlignment w:val="center"/>
              <w:rPr>
                <w:rFonts w:hint="eastAsia" w:ascii="仿宋_GB2312" w:hAnsi="仿宋_GB2312" w:cs="仿宋_GB2312"/>
                <w:b w:val="0"/>
                <w:bCs w:val="0"/>
                <w:color w:val="auto"/>
                <w:sz w:val="24"/>
                <w:szCs w:val="24"/>
              </w:rPr>
            </w:pPr>
            <w:r>
              <w:rPr>
                <w:rFonts w:hint="eastAsia" w:ascii="仿宋_GB2312" w:hAnsi="仿宋_GB2312" w:cs="仿宋_GB2312"/>
                <w:b w:val="0"/>
                <w:bCs w:val="0"/>
                <w:color w:val="auto"/>
                <w:sz w:val="24"/>
                <w:szCs w:val="24"/>
                <w:lang w:val="en-US" w:eastAsia="zh-CN"/>
              </w:rPr>
              <w:t>25</w:t>
            </w:r>
          </w:p>
        </w:tc>
      </w:tr>
      <w:tr w14:paraId="09986432">
        <w:trPr>
          <w:trHeight w:val="454" w:hRule="atLeast"/>
          <w:jc w:val="center"/>
        </w:trPr>
        <w:tc>
          <w:tcPr>
            <w:tcW w:w="652" w:type="dxa"/>
            <w:vMerge w:val="continue"/>
            <w:noWrap w:val="0"/>
            <w:vAlign w:val="center"/>
          </w:tcPr>
          <w:p w14:paraId="2DB65059">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54279AB6">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应用测试数据处理</w:t>
            </w:r>
          </w:p>
        </w:tc>
        <w:tc>
          <w:tcPr>
            <w:tcW w:w="5596" w:type="dxa"/>
            <w:noWrap w:val="0"/>
            <w:vAlign w:val="center"/>
          </w:tcPr>
          <w:p w14:paraId="42D5A864">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能提取</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清洗和筛选数字孪生应用测试数据</w:t>
            </w:r>
          </w:p>
          <w:p w14:paraId="20C887A7">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能按要求统计</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分类与整理数字孪生应用测试数据</w:t>
            </w:r>
          </w:p>
          <w:p w14:paraId="233018C2">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能撰写数字孪生应用测试报告</w:t>
            </w:r>
          </w:p>
        </w:tc>
        <w:tc>
          <w:tcPr>
            <w:tcW w:w="1083" w:type="dxa"/>
            <w:vMerge w:val="continue"/>
            <w:noWrap w:val="0"/>
            <w:vAlign w:val="center"/>
          </w:tcPr>
          <w:p w14:paraId="66B862F1">
            <w:pPr>
              <w:pStyle w:val="5"/>
              <w:spacing w:line="0" w:lineRule="atLeast"/>
              <w:jc w:val="center"/>
              <w:textAlignment w:val="center"/>
              <w:rPr>
                <w:rFonts w:hint="eastAsia" w:ascii="仿宋_GB2312" w:hAnsi="仿宋_GB2312" w:cs="仿宋_GB2312"/>
                <w:b w:val="0"/>
                <w:bCs w:val="0"/>
                <w:color w:val="auto"/>
                <w:sz w:val="24"/>
                <w:szCs w:val="24"/>
              </w:rPr>
            </w:pPr>
          </w:p>
        </w:tc>
      </w:tr>
      <w:tr w14:paraId="312AB64D">
        <w:trPr>
          <w:trHeight w:val="454" w:hRule="atLeast"/>
          <w:jc w:val="center"/>
        </w:trPr>
        <w:tc>
          <w:tcPr>
            <w:tcW w:w="652" w:type="dxa"/>
            <w:vMerge w:val="restart"/>
            <w:noWrap w:val="0"/>
            <w:vAlign w:val="center"/>
          </w:tcPr>
          <w:p w14:paraId="42B213C2">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应用操作</w:t>
            </w:r>
          </w:p>
        </w:tc>
        <w:tc>
          <w:tcPr>
            <w:tcW w:w="985" w:type="dxa"/>
            <w:noWrap w:val="0"/>
            <w:vAlign w:val="center"/>
          </w:tcPr>
          <w:p w14:paraId="25EE1932">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应用控制</w:t>
            </w:r>
          </w:p>
        </w:tc>
        <w:tc>
          <w:tcPr>
            <w:tcW w:w="5596" w:type="dxa"/>
            <w:noWrap w:val="0"/>
            <w:vAlign w:val="center"/>
          </w:tcPr>
          <w:p w14:paraId="0B6F1009">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能设定数字孪生应用的控制参数</w:t>
            </w:r>
          </w:p>
          <w:p w14:paraId="11FF1A07">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能采用急停操作等安全控制措施</w:t>
            </w:r>
          </w:p>
        </w:tc>
        <w:tc>
          <w:tcPr>
            <w:tcW w:w="1083" w:type="dxa"/>
            <w:vMerge w:val="restart"/>
            <w:noWrap w:val="0"/>
            <w:vAlign w:val="center"/>
          </w:tcPr>
          <w:p w14:paraId="34B7D4F7">
            <w:pPr>
              <w:pStyle w:val="5"/>
              <w:spacing w:line="0" w:lineRule="atLeast"/>
              <w:jc w:val="center"/>
              <w:textAlignment w:val="center"/>
              <w:rPr>
                <w:rFonts w:hint="eastAsia" w:ascii="仿宋_GB2312" w:hAnsi="仿宋_GB2312" w:cs="仿宋_GB2312"/>
                <w:b w:val="0"/>
                <w:bCs w:val="0"/>
                <w:color w:val="auto"/>
                <w:sz w:val="24"/>
                <w:szCs w:val="24"/>
              </w:rPr>
            </w:pPr>
            <w:r>
              <w:rPr>
                <w:rFonts w:hint="eastAsia" w:ascii="仿宋_GB2312" w:hAnsi="仿宋_GB2312" w:cs="仿宋_GB2312"/>
                <w:b w:val="0"/>
                <w:bCs w:val="0"/>
                <w:color w:val="auto"/>
                <w:sz w:val="24"/>
                <w:szCs w:val="24"/>
                <w:lang w:val="en-US" w:eastAsia="zh-CN"/>
              </w:rPr>
              <w:t>45</w:t>
            </w:r>
          </w:p>
        </w:tc>
      </w:tr>
      <w:tr w14:paraId="4453625E">
        <w:trPr>
          <w:trHeight w:val="454" w:hRule="atLeast"/>
          <w:jc w:val="center"/>
        </w:trPr>
        <w:tc>
          <w:tcPr>
            <w:tcW w:w="652" w:type="dxa"/>
            <w:vMerge w:val="continue"/>
            <w:noWrap w:val="0"/>
            <w:vAlign w:val="center"/>
          </w:tcPr>
          <w:p w14:paraId="47DF811D">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442714E5">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应用状态跟踪</w:t>
            </w:r>
          </w:p>
        </w:tc>
        <w:tc>
          <w:tcPr>
            <w:tcW w:w="5596" w:type="dxa"/>
            <w:noWrap w:val="0"/>
            <w:vAlign w:val="center"/>
          </w:tcPr>
          <w:p w14:paraId="17F0361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能设定和实时调控数字孪生应用状态</w:t>
            </w:r>
          </w:p>
          <w:p w14:paraId="63D1F2CA">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能跟踪和判断数字孪生应用状态</w:t>
            </w:r>
          </w:p>
          <w:p w14:paraId="741D670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能撰写数字孪生应用状态记录报告</w:t>
            </w:r>
          </w:p>
        </w:tc>
        <w:tc>
          <w:tcPr>
            <w:tcW w:w="1083" w:type="dxa"/>
            <w:vMerge w:val="continue"/>
            <w:noWrap w:val="0"/>
            <w:vAlign w:val="center"/>
          </w:tcPr>
          <w:p w14:paraId="2A4FE977">
            <w:pPr>
              <w:pStyle w:val="5"/>
              <w:spacing w:line="0" w:lineRule="atLeast"/>
              <w:jc w:val="center"/>
              <w:textAlignment w:val="center"/>
              <w:rPr>
                <w:rFonts w:hint="eastAsia" w:ascii="仿宋_GB2312" w:hAnsi="仿宋_GB2312" w:cs="仿宋_GB2312"/>
                <w:color w:val="auto"/>
                <w:sz w:val="24"/>
                <w:szCs w:val="24"/>
              </w:rPr>
            </w:pPr>
          </w:p>
        </w:tc>
      </w:tr>
      <w:tr w14:paraId="5FD6742B">
        <w:trPr>
          <w:trHeight w:val="454" w:hRule="atLeast"/>
          <w:jc w:val="center"/>
        </w:trPr>
        <w:tc>
          <w:tcPr>
            <w:tcW w:w="652" w:type="dxa"/>
            <w:vMerge w:val="continue"/>
            <w:noWrap w:val="0"/>
            <w:vAlign w:val="center"/>
          </w:tcPr>
          <w:p w14:paraId="1BD0EAEA">
            <w:pPr>
              <w:pStyle w:val="5"/>
              <w:spacing w:line="0" w:lineRule="atLeast"/>
              <w:jc w:val="center"/>
              <w:textAlignment w:val="center"/>
              <w:rPr>
                <w:rFonts w:hint="eastAsia" w:ascii="仿宋_GB2312" w:hAnsi="仿宋_GB2312" w:cs="仿宋_GB2312"/>
                <w:color w:val="auto"/>
                <w:sz w:val="24"/>
                <w:szCs w:val="24"/>
              </w:rPr>
            </w:pPr>
          </w:p>
        </w:tc>
        <w:tc>
          <w:tcPr>
            <w:tcW w:w="985" w:type="dxa"/>
            <w:noWrap w:val="0"/>
            <w:vAlign w:val="center"/>
          </w:tcPr>
          <w:p w14:paraId="3E681D75">
            <w:pPr>
              <w:pStyle w:val="5"/>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应用操作问题收集</w:t>
            </w:r>
          </w:p>
        </w:tc>
        <w:tc>
          <w:tcPr>
            <w:tcW w:w="5596" w:type="dxa"/>
            <w:noWrap w:val="0"/>
            <w:vAlign w:val="center"/>
          </w:tcPr>
          <w:p w14:paraId="2B5862B3">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能收集</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分类和汇总数字孪生应用操作问题</w:t>
            </w:r>
          </w:p>
          <w:p w14:paraId="266DA428">
            <w:pPr>
              <w:pStyle w:val="5"/>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能撰写数字孪生应用操作问题总结报告</w:t>
            </w:r>
          </w:p>
        </w:tc>
        <w:tc>
          <w:tcPr>
            <w:tcW w:w="1083" w:type="dxa"/>
            <w:vMerge w:val="continue"/>
            <w:noWrap w:val="0"/>
            <w:vAlign w:val="center"/>
          </w:tcPr>
          <w:p w14:paraId="1FD9F1E9">
            <w:pPr>
              <w:pStyle w:val="5"/>
              <w:spacing w:line="0" w:lineRule="atLeast"/>
              <w:jc w:val="center"/>
              <w:textAlignment w:val="center"/>
              <w:rPr>
                <w:rFonts w:hint="eastAsia" w:ascii="仿宋_GB2312" w:hAnsi="仿宋_GB2312" w:cs="仿宋_GB2312"/>
                <w:color w:val="auto"/>
                <w:sz w:val="24"/>
                <w:szCs w:val="24"/>
              </w:rPr>
            </w:pPr>
          </w:p>
        </w:tc>
      </w:tr>
      <w:tr w14:paraId="6BC05F9B">
        <w:trPr>
          <w:trHeight w:val="454" w:hRule="atLeast"/>
          <w:jc w:val="center"/>
        </w:trPr>
        <w:tc>
          <w:tcPr>
            <w:tcW w:w="7233" w:type="dxa"/>
            <w:gridSpan w:val="3"/>
            <w:noWrap w:val="0"/>
            <w:vAlign w:val="center"/>
          </w:tcPr>
          <w:p w14:paraId="2B0D7568">
            <w:pPr>
              <w:pStyle w:val="5"/>
              <w:spacing w:line="0" w:lineRule="atLeast"/>
              <w:jc w:val="center"/>
              <w:textAlignment w:val="center"/>
              <w:rPr>
                <w:rFonts w:hint="eastAsia" w:ascii="仿宋_GB2312" w:hAnsi="仿宋_GB2312" w:cs="仿宋_GB2312"/>
                <w:b/>
                <w:bCs/>
                <w:color w:val="auto"/>
                <w:sz w:val="24"/>
                <w:szCs w:val="24"/>
              </w:rPr>
            </w:pPr>
            <w:r>
              <w:rPr>
                <w:rFonts w:hint="eastAsia" w:ascii="仿宋_GB2312" w:hAnsi="仿宋_GB2312" w:cs="仿宋_GB2312"/>
                <w:b/>
                <w:bCs/>
                <w:color w:val="auto"/>
                <w:sz w:val="24"/>
                <w:szCs w:val="24"/>
              </w:rPr>
              <w:t>合计</w:t>
            </w:r>
          </w:p>
        </w:tc>
        <w:tc>
          <w:tcPr>
            <w:tcW w:w="1083" w:type="dxa"/>
            <w:noWrap w:val="0"/>
            <w:vAlign w:val="center"/>
          </w:tcPr>
          <w:p w14:paraId="6A821C45">
            <w:pPr>
              <w:pStyle w:val="5"/>
              <w:spacing w:line="0" w:lineRule="atLeast"/>
              <w:jc w:val="center"/>
              <w:textAlignment w:val="center"/>
              <w:rPr>
                <w:rFonts w:hint="eastAsia" w:ascii="仿宋_GB2312" w:hAnsi="仿宋_GB2312" w:cs="仿宋_GB2312"/>
                <w:b/>
                <w:bCs/>
                <w:color w:val="auto"/>
                <w:sz w:val="24"/>
                <w:szCs w:val="24"/>
              </w:rPr>
            </w:pPr>
            <w:r>
              <w:rPr>
                <w:rFonts w:hint="eastAsia" w:ascii="仿宋_GB2312" w:hAnsi="仿宋_GB2312" w:cs="仿宋_GB2312"/>
                <w:b/>
                <w:bCs/>
                <w:color w:val="auto"/>
                <w:sz w:val="24"/>
                <w:szCs w:val="24"/>
              </w:rPr>
              <w:t>100</w:t>
            </w:r>
          </w:p>
        </w:tc>
      </w:tr>
    </w:tbl>
    <w:p w14:paraId="64A714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14:paraId="21CE58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（一）试题</w:t>
      </w:r>
    </w:p>
    <w:p w14:paraId="73151404">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1.初赛采用</w:t>
      </w:r>
      <w:r>
        <w:rPr>
          <w:rFonts w:hint="eastAsia" w:ascii="仿宋_GB2312" w:hAnsi="仿宋_GB2312" w:cs="仿宋_GB2312"/>
          <w:color w:val="auto"/>
          <w:highlight w:val="none"/>
          <w:lang w:val="en-US" w:eastAsia="zh-CN"/>
        </w:rPr>
        <w:t>半</w:t>
      </w:r>
      <w:r>
        <w:rPr>
          <w:rFonts w:hint="eastAsia" w:ascii="仿宋_GB2312" w:hAnsi="仿宋_GB2312" w:eastAsia="仿宋_GB2312" w:cs="仿宋_GB2312"/>
          <w:color w:val="auto"/>
          <w:highlight w:val="none"/>
          <w:lang w:val="en-US" w:eastAsia="zh-CN"/>
        </w:rPr>
        <w:t>公开试题的命题方式进行。报名开始后执委会在微信公众号“Q学友”→“</w:t>
      </w:r>
      <w:r>
        <w:rPr>
          <w:rFonts w:hint="eastAsia" w:ascii="仿宋_GB2312" w:hAnsi="仿宋_GB2312" w:cs="仿宋_GB2312"/>
          <w:color w:val="auto"/>
          <w:highlight w:val="none"/>
          <w:lang w:val="en-US" w:eastAsia="zh-CN"/>
        </w:rPr>
        <w:t>更多</w:t>
      </w:r>
      <w:r>
        <w:rPr>
          <w:rFonts w:hint="eastAsia" w:ascii="仿宋_GB2312" w:hAnsi="仿宋_GB2312" w:eastAsia="仿宋_GB2312" w:cs="仿宋_GB2312"/>
          <w:color w:val="auto"/>
          <w:highlight w:val="none"/>
          <w:lang w:val="en-US" w:eastAsia="zh-CN"/>
        </w:rPr>
        <w:t>”→“</w:t>
      </w:r>
      <w:r>
        <w:rPr>
          <w:rFonts w:hint="eastAsia" w:ascii="仿宋_GB2312" w:hAnsi="仿宋_GB2312" w:cs="仿宋_GB2312"/>
          <w:color w:val="auto"/>
          <w:highlight w:val="none"/>
          <w:lang w:val="en-US" w:eastAsia="zh-CN"/>
        </w:rPr>
        <w:t>南山</w:t>
      </w:r>
      <w:r>
        <w:rPr>
          <w:rFonts w:hint="eastAsia" w:ascii="仿宋_GB2312" w:hAnsi="仿宋_GB2312" w:eastAsia="仿宋_GB2312" w:cs="仿宋_GB2312"/>
          <w:color w:val="auto"/>
          <w:highlight w:val="none"/>
          <w:lang w:val="en-US" w:eastAsia="zh-CN"/>
        </w:rPr>
        <w:t>竞赛”栏目对应项目下公布</w:t>
      </w:r>
      <w:r>
        <w:rPr>
          <w:rFonts w:hint="eastAsia" w:ascii="仿宋_GB2312" w:hAnsi="仿宋_GB2312" w:cs="仿宋_GB2312"/>
          <w:color w:val="auto"/>
          <w:highlight w:val="none"/>
          <w:lang w:val="en-US" w:eastAsia="zh-CN"/>
        </w:rPr>
        <w:t>200</w:t>
      </w:r>
      <w:r>
        <w:rPr>
          <w:rFonts w:hint="eastAsia" w:ascii="仿宋_GB2312" w:hAnsi="仿宋_GB2312" w:eastAsia="仿宋_GB2312" w:cs="仿宋_GB2312"/>
          <w:color w:val="auto"/>
          <w:highlight w:val="none"/>
          <w:lang w:val="en-US" w:eastAsia="zh-CN"/>
        </w:rPr>
        <w:t>道理论题库，供参赛</w:t>
      </w:r>
      <w:r>
        <w:rPr>
          <w:rFonts w:hint="eastAsia" w:ascii="仿宋_GB2312" w:hAnsi="仿宋_GB2312" w:cs="仿宋_GB2312"/>
          <w:color w:val="auto"/>
          <w:highlight w:val="none"/>
          <w:lang w:val="en-US" w:eastAsia="zh-CN"/>
        </w:rPr>
        <w:t>选手</w:t>
      </w:r>
      <w:r>
        <w:rPr>
          <w:rFonts w:hint="eastAsia" w:ascii="仿宋_GB2312" w:hAnsi="仿宋_GB2312" w:eastAsia="仿宋_GB2312" w:cs="仿宋_GB2312"/>
          <w:color w:val="auto"/>
          <w:highlight w:val="none"/>
          <w:lang w:val="en-US" w:eastAsia="zh-CN"/>
        </w:rPr>
        <w:t>自主学习使用。</w:t>
      </w:r>
    </w:p>
    <w:p w14:paraId="0F66A9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决赛采用</w:t>
      </w:r>
      <w:r>
        <w:rPr>
          <w:rFonts w:hint="eastAsia" w:ascii="仿宋_GB2312" w:hAnsi="仿宋_GB2312" w:cs="仿宋_GB2312"/>
          <w:color w:val="auto"/>
          <w:sz w:val="32"/>
          <w:szCs w:val="32"/>
          <w:highlight w:val="none"/>
          <w:lang w:val="en-US" w:eastAsia="zh-CN"/>
        </w:rPr>
        <w:t>半</w:t>
      </w:r>
      <w:r>
        <w:rPr>
          <w:rFonts w:hint="eastAsia" w:ascii="仿宋_GB2312" w:hAnsi="仿宋_GB2312" w:eastAsia="仿宋_GB2312" w:cs="仿宋_GB2312"/>
          <w:color w:val="auto"/>
          <w:sz w:val="32"/>
          <w:szCs w:val="32"/>
          <w:highlight w:val="none"/>
          <w:lang w:val="en-US" w:eastAsia="zh-CN"/>
        </w:rPr>
        <w:t>公开试题的方式，选手按赛场提供的实操任务书以现场实际操作的方式完成</w:t>
      </w:r>
      <w:r>
        <w:rPr>
          <w:rFonts w:hint="eastAsia" w:ascii="仿宋_GB2312" w:hAnsi="仿宋_GB2312" w:cs="仿宋_GB2312"/>
          <w:color w:val="auto"/>
          <w:sz w:val="32"/>
          <w:szCs w:val="32"/>
          <w:highlight w:val="none"/>
          <w:lang w:val="en-US" w:eastAsia="zh-CN"/>
        </w:rPr>
        <w:t>平台运维</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应用测试</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应用操作</w:t>
      </w:r>
      <w:r>
        <w:rPr>
          <w:rFonts w:hint="eastAsia" w:ascii="仿宋_GB2312" w:hAnsi="仿宋_GB2312" w:eastAsia="仿宋_GB2312" w:cs="仿宋_GB2312"/>
          <w:color w:val="auto"/>
          <w:sz w:val="32"/>
          <w:szCs w:val="32"/>
          <w:highlight w:val="none"/>
          <w:lang w:val="en-US" w:eastAsia="zh-CN"/>
        </w:rPr>
        <w:t>三个模块实操项目。要求选手遵守国家法律法规和行业规范，具有良好的职业道德和素养，爱岗敬业，恪守行业规范，掌握</w:t>
      </w:r>
      <w:r>
        <w:rPr>
          <w:rFonts w:hint="eastAsia" w:ascii="仿宋_GB2312" w:hAnsi="仿宋_GB2312" w:cs="仿宋_GB2312"/>
          <w:color w:val="auto"/>
          <w:sz w:val="32"/>
          <w:szCs w:val="32"/>
          <w:highlight w:val="none"/>
          <w:lang w:val="en-US" w:eastAsia="zh-CN"/>
        </w:rPr>
        <w:t>数字孪生应用</w:t>
      </w:r>
      <w:r>
        <w:rPr>
          <w:rFonts w:hint="eastAsia" w:ascii="仿宋_GB2312" w:hAnsi="仿宋_GB2312" w:eastAsia="仿宋_GB2312" w:cs="仿宋_GB2312"/>
          <w:color w:val="auto"/>
          <w:sz w:val="32"/>
          <w:szCs w:val="32"/>
          <w:highlight w:val="none"/>
          <w:lang w:val="en-US" w:eastAsia="zh-CN"/>
        </w:rPr>
        <w:t>基本知识，</w:t>
      </w:r>
      <w:r>
        <w:rPr>
          <w:rFonts w:hint="eastAsia" w:ascii="仿宋_GB2312" w:hAnsi="仿宋_GB2312" w:cs="仿宋_GB2312"/>
          <w:color w:val="auto"/>
          <w:sz w:val="32"/>
          <w:szCs w:val="32"/>
          <w:highlight w:val="none"/>
          <w:lang w:val="en-US" w:eastAsia="zh-CN"/>
        </w:rPr>
        <w:t>数字孪生平台运维</w:t>
      </w:r>
      <w:r>
        <w:rPr>
          <w:rFonts w:hint="eastAsia" w:ascii="仿宋_GB2312" w:hAnsi="仿宋_GB2312" w:eastAsia="仿宋_GB2312" w:cs="仿宋_GB2312"/>
          <w:color w:val="auto"/>
          <w:sz w:val="32"/>
          <w:szCs w:val="32"/>
          <w:highlight w:val="none"/>
          <w:lang w:val="en-US" w:eastAsia="zh-CN"/>
        </w:rPr>
        <w:t>基本技能，具备良好的沟通能力、</w:t>
      </w:r>
      <w:r>
        <w:rPr>
          <w:rFonts w:hint="eastAsia" w:ascii="仿宋_GB2312" w:hAnsi="仿宋_GB2312" w:cs="仿宋_GB2312"/>
          <w:color w:val="auto"/>
          <w:sz w:val="32"/>
          <w:szCs w:val="32"/>
          <w:highlight w:val="none"/>
          <w:lang w:val="en-US" w:eastAsia="zh-CN"/>
        </w:rPr>
        <w:t>技术运维能力、平台应用实践能力</w:t>
      </w:r>
      <w:r>
        <w:rPr>
          <w:rFonts w:hint="eastAsia" w:ascii="仿宋_GB2312" w:hAnsi="仿宋_GB2312" w:eastAsia="仿宋_GB2312" w:cs="仿宋_GB2312"/>
          <w:color w:val="auto"/>
          <w:sz w:val="32"/>
          <w:szCs w:val="32"/>
          <w:highlight w:val="none"/>
          <w:lang w:val="en-US" w:eastAsia="zh-CN"/>
        </w:rPr>
        <w:t>等。</w:t>
      </w:r>
    </w:p>
    <w:p w14:paraId="129C1C92">
      <w:pPr>
        <w:keepNext w:val="0"/>
        <w:keepLines w:val="0"/>
        <w:widowControl/>
        <w:suppressLineNumbers w:val="0"/>
        <w:ind w:firstLine="640" w:firstLineChars="200"/>
        <w:jc w:val="left"/>
        <w:rPr>
          <w:rFonts w:hint="default" w:ascii="仿宋_GB2312" w:hAnsi="仿宋_GB2312" w:eastAsia="仿宋_GB2312" w:cs="仿宋_GB2312"/>
          <w:color w:val="FF0000"/>
          <w:sz w:val="32"/>
          <w:szCs w:val="32"/>
          <w:highlight w:val="yellow"/>
          <w:lang w:val="en-US" w:eastAsia="zh-CN"/>
        </w:rPr>
      </w:pPr>
      <w:r>
        <w:rPr>
          <w:rFonts w:ascii="Helvetica Neue" w:hAnsi="Helvetica Neue" w:eastAsia="Helvetica Neue" w:cs="Helvetica Neue"/>
          <w:i w:val="0"/>
          <w:iCs w:val="0"/>
          <w:caps w:val="0"/>
          <w:color w:val="0F1115"/>
          <w:spacing w:val="0"/>
          <w:kern w:val="0"/>
          <w:sz w:val="32"/>
          <w:szCs w:val="32"/>
          <w:shd w:val="clear" w:fill="FFFFFF"/>
          <w:lang w:val="en-US" w:eastAsia="zh-CN" w:bidi="ar"/>
        </w:rPr>
        <w:t>样题在</w:t>
      </w:r>
      <w:r>
        <w:rPr>
          <w:rFonts w:hint="default" w:ascii="Helvetica Neue" w:hAnsi="Helvetica Neue" w:eastAsia="Helvetica Neue" w:cs="Helvetica Neue"/>
          <w:b/>
          <w:bCs/>
          <w:i w:val="0"/>
          <w:iCs w:val="0"/>
          <w:caps w:val="0"/>
          <w:color w:val="0F1115"/>
          <w:spacing w:val="0"/>
          <w:kern w:val="0"/>
          <w:sz w:val="32"/>
          <w:szCs w:val="32"/>
          <w:shd w:val="clear" w:fill="FFFFFF"/>
          <w:lang w:val="en-US" w:eastAsia="zh-CN" w:bidi="ar"/>
        </w:rPr>
        <w:t>初赛结束后的2个工作日内</w:t>
      </w:r>
      <w:r>
        <w:rPr>
          <w:rFonts w:hint="default" w:ascii="Helvetica Neue" w:hAnsi="Helvetica Neue" w:eastAsia="Helvetica Neue" w:cs="Helvetica Neue"/>
          <w:i w:val="0"/>
          <w:iCs w:val="0"/>
          <w:caps w:val="0"/>
          <w:color w:val="0F1115"/>
          <w:spacing w:val="0"/>
          <w:kern w:val="0"/>
          <w:sz w:val="32"/>
          <w:szCs w:val="32"/>
          <w:shd w:val="clear" w:fill="FFFFFF"/>
          <w:lang w:val="en-US" w:eastAsia="zh-CN" w:bidi="ar"/>
        </w:rPr>
        <w:t>，由执委会通过</w:t>
      </w:r>
      <w:r>
        <w:rPr>
          <w:rFonts w:hint="default" w:ascii="Helvetica Neue" w:hAnsi="Helvetica Neue" w:eastAsia="Helvetica Neue" w:cs="Helvetica Neue"/>
          <w:b/>
          <w:bCs/>
          <w:i w:val="0"/>
          <w:iCs w:val="0"/>
          <w:caps w:val="0"/>
          <w:color w:val="0F1115"/>
          <w:spacing w:val="0"/>
          <w:kern w:val="0"/>
          <w:sz w:val="32"/>
          <w:szCs w:val="32"/>
          <w:shd w:val="clear" w:fill="FFFFFF"/>
          <w:lang w:val="en-US" w:eastAsia="zh-CN" w:bidi="ar"/>
        </w:rPr>
        <w:t>群通知的方式</w:t>
      </w:r>
      <w:r>
        <w:rPr>
          <w:rFonts w:hint="default" w:ascii="Helvetica Neue" w:hAnsi="Helvetica Neue" w:eastAsia="Helvetica Neue" w:cs="Helvetica Neue"/>
          <w:i w:val="0"/>
          <w:iCs w:val="0"/>
          <w:caps w:val="0"/>
          <w:color w:val="0F1115"/>
          <w:spacing w:val="0"/>
          <w:kern w:val="0"/>
          <w:sz w:val="32"/>
          <w:szCs w:val="32"/>
          <w:shd w:val="clear" w:fill="FFFFFF"/>
          <w:lang w:val="en-US" w:eastAsia="zh-CN" w:bidi="ar"/>
        </w:rPr>
        <w:t>统一提供给进入决赛的选手。决赛正式赛题，赛前裁判长组织专家对样题做不超过30%的修改。</w:t>
      </w:r>
      <w:bookmarkStart w:id="0" w:name="_GoBack"/>
      <w:bookmarkEnd w:id="0"/>
    </w:p>
    <w:p w14:paraId="47B1A2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（二）比赛时间及试题具体内容</w:t>
      </w:r>
    </w:p>
    <w:p w14:paraId="5CA70FFE">
      <w:pPr>
        <w:keepNext w:val="0"/>
        <w:keepLines w:val="0"/>
        <w:pageBreakBefore w:val="0"/>
        <w:widowControl/>
        <w:suppressLineNumbers w:val="0"/>
        <w:kinsoku/>
        <w:wordWrap w:val="0"/>
        <w:overflowPunct/>
        <w:topLinePunct w:val="0"/>
        <w:autoSpaceDE/>
        <w:autoSpaceDN/>
        <w:bidi w:val="0"/>
        <w:spacing w:line="580" w:lineRule="exact"/>
        <w:ind w:firstLine="643" w:firstLineChars="200"/>
        <w:jc w:val="left"/>
        <w:textAlignment w:val="auto"/>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lang w:eastAsia="zh-CN"/>
        </w:rPr>
        <w:t>比赛时间安排</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1391"/>
        <w:gridCol w:w="3056"/>
        <w:gridCol w:w="815"/>
        <w:gridCol w:w="920"/>
      </w:tblGrid>
      <w:tr w14:paraId="1D0EA00E">
        <w:trPr>
          <w:trHeight w:val="454" w:hRule="atLeast"/>
          <w:jc w:val="center"/>
        </w:trPr>
        <w:tc>
          <w:tcPr>
            <w:tcW w:w="1371" w:type="pct"/>
            <w:noWrap w:val="0"/>
            <w:vAlign w:val="center"/>
          </w:tcPr>
          <w:p w14:paraId="4EEE3347">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赛程</w:t>
            </w:r>
          </w:p>
        </w:tc>
        <w:tc>
          <w:tcPr>
            <w:tcW w:w="816" w:type="pct"/>
            <w:noWrap w:val="0"/>
            <w:vAlign w:val="center"/>
          </w:tcPr>
          <w:p w14:paraId="2B42463A">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方式</w:t>
            </w:r>
          </w:p>
        </w:tc>
        <w:tc>
          <w:tcPr>
            <w:tcW w:w="2811" w:type="pct"/>
            <w:gridSpan w:val="3"/>
            <w:noWrap w:val="0"/>
            <w:vAlign w:val="center"/>
          </w:tcPr>
          <w:p w14:paraId="6E546BF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时间（分钟）</w:t>
            </w:r>
          </w:p>
        </w:tc>
      </w:tr>
      <w:tr w14:paraId="4ED62CE8">
        <w:trPr>
          <w:trHeight w:val="454" w:hRule="atLeast"/>
          <w:jc w:val="center"/>
        </w:trPr>
        <w:tc>
          <w:tcPr>
            <w:tcW w:w="1371" w:type="pct"/>
            <w:noWrap w:val="0"/>
            <w:vAlign w:val="center"/>
          </w:tcPr>
          <w:p w14:paraId="51EF7723">
            <w:pPr>
              <w:spacing w:line="0" w:lineRule="atLeast"/>
              <w:jc w:val="center"/>
              <w:rPr>
                <w:rFonts w:hint="eastAsia" w:ascii="仿宋_GB2312" w:hAnsi="仿宋_GB2312" w:cs="仿宋_GB2312"/>
                <w:b/>
                <w:bCs/>
                <w:sz w:val="24"/>
                <w:szCs w:val="24"/>
                <w:lang w:val="en-US" w:eastAsia="zh-CN"/>
              </w:rPr>
            </w:pPr>
            <w:r>
              <w:rPr>
                <w:rFonts w:hint="default" w:ascii="仿宋_GB2312" w:hAnsi="仿宋_GB2312" w:cs="仿宋_GB2312"/>
                <w:b/>
                <w:bCs/>
                <w:sz w:val="30"/>
                <w:szCs w:val="30"/>
                <w:lang w:val="en-US" w:eastAsia="zh-CN"/>
              </w:rPr>
              <w:t>初赛</w:t>
            </w:r>
          </w:p>
          <w:p w14:paraId="3B495DFA">
            <w:pPr>
              <w:spacing w:line="0" w:lineRule="atLeast"/>
              <w:jc w:val="center"/>
              <w:rPr>
                <w:rFonts w:hint="default"/>
                <w:sz w:val="24"/>
                <w:szCs w:val="24"/>
                <w:lang w:val="en" w:eastAsia="zh-CN"/>
              </w:rPr>
            </w:pPr>
            <w:r>
              <w:rPr>
                <w:rFonts w:hint="eastAsia" w:ascii="仿宋_GB2312" w:hAnsi="仿宋_GB2312" w:cs="仿宋_GB2312"/>
                <w:sz w:val="24"/>
                <w:szCs w:val="24"/>
                <w:lang w:val="en-US" w:eastAsia="zh-CN"/>
              </w:rPr>
              <w:t>（理论知识）</w:t>
            </w:r>
          </w:p>
        </w:tc>
        <w:tc>
          <w:tcPr>
            <w:tcW w:w="816" w:type="pct"/>
            <w:noWrap w:val="0"/>
            <w:vAlign w:val="center"/>
          </w:tcPr>
          <w:p w14:paraId="6636483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上机考核</w:t>
            </w:r>
          </w:p>
        </w:tc>
        <w:tc>
          <w:tcPr>
            <w:tcW w:w="2811" w:type="pct"/>
            <w:gridSpan w:val="3"/>
            <w:noWrap w:val="0"/>
            <w:vAlign w:val="center"/>
          </w:tcPr>
          <w:p w14:paraId="196EDC2A">
            <w:pPr>
              <w:spacing w:line="0" w:lineRule="atLeas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b/>
                <w:bCs/>
                <w:sz w:val="30"/>
                <w:szCs w:val="30"/>
                <w:lang w:val="en-US" w:eastAsia="zh-CN"/>
              </w:rPr>
              <w:t>90</w:t>
            </w:r>
          </w:p>
        </w:tc>
      </w:tr>
      <w:tr w14:paraId="67EC30CB">
        <w:trPr>
          <w:trHeight w:val="454" w:hRule="atLeast"/>
          <w:jc w:val="center"/>
        </w:trPr>
        <w:tc>
          <w:tcPr>
            <w:tcW w:w="1371" w:type="pct"/>
            <w:vMerge w:val="restart"/>
            <w:noWrap w:val="0"/>
            <w:vAlign w:val="center"/>
          </w:tcPr>
          <w:p w14:paraId="691F84A4">
            <w:pPr>
              <w:spacing w:line="0" w:lineRule="atLeast"/>
              <w:jc w:val="center"/>
              <w:rPr>
                <w:rFonts w:hint="default" w:ascii="仿宋_GB2312" w:hAnsi="仿宋_GB2312" w:cs="仿宋_GB2312"/>
                <w:b/>
                <w:bCs/>
                <w:sz w:val="30"/>
                <w:szCs w:val="30"/>
                <w:lang w:val="en-US" w:eastAsia="zh-CN"/>
              </w:rPr>
            </w:pPr>
            <w:r>
              <w:rPr>
                <w:rFonts w:hint="default" w:ascii="仿宋_GB2312" w:hAnsi="仿宋_GB2312" w:cs="仿宋_GB2312"/>
                <w:b/>
                <w:bCs/>
                <w:sz w:val="30"/>
                <w:szCs w:val="30"/>
                <w:lang w:val="en-US" w:eastAsia="zh-CN"/>
              </w:rPr>
              <w:t>决赛</w:t>
            </w:r>
          </w:p>
          <w:p w14:paraId="145E68C7">
            <w:pPr>
              <w:pStyle w:val="5"/>
              <w:wordWrap w:val="0"/>
              <w:spacing w:line="0" w:lineRule="atLeast"/>
              <w:jc w:val="center"/>
              <w:rPr>
                <w:rFonts w:hint="eastAsia"/>
                <w:sz w:val="24"/>
                <w:szCs w:val="24"/>
                <w:highlight w:val="none"/>
                <w:lang w:val="en-US" w:eastAsia="zh-CN"/>
              </w:rPr>
            </w:pPr>
            <w:r>
              <w:rPr>
                <w:rFonts w:hint="eastAsia" w:ascii="仿宋_GB2312" w:hAnsi="仿宋_GB2312" w:cs="仿宋_GB2312"/>
                <w:kern w:val="2"/>
                <w:sz w:val="24"/>
                <w:szCs w:val="24"/>
                <w:highlight w:val="none"/>
                <w:lang w:val="en-US" w:eastAsia="zh-CN" w:bidi="ar-SA"/>
              </w:rPr>
              <w:t>（</w:t>
            </w:r>
            <w:r>
              <w:rPr>
                <w:rFonts w:hint="eastAsia" w:ascii="仿宋_GB2312" w:hAnsi="仿宋_GB2312" w:eastAsia="仿宋_GB2312" w:cs="仿宋_GB2312"/>
                <w:kern w:val="2"/>
                <w:sz w:val="24"/>
                <w:szCs w:val="24"/>
                <w:highlight w:val="none"/>
                <w:lang w:val="en-US" w:eastAsia="zh-CN" w:bidi="ar-SA"/>
              </w:rPr>
              <w:t>实际操作</w:t>
            </w:r>
            <w:r>
              <w:rPr>
                <w:rFonts w:hint="eastAsia" w:ascii="仿宋_GB2312" w:hAnsi="仿宋_GB2312" w:cs="仿宋_GB2312"/>
                <w:kern w:val="2"/>
                <w:sz w:val="24"/>
                <w:szCs w:val="24"/>
                <w:highlight w:val="none"/>
                <w:lang w:val="en-US" w:eastAsia="zh-CN" w:bidi="ar-SA"/>
              </w:rPr>
              <w:t>）</w:t>
            </w:r>
          </w:p>
        </w:tc>
        <w:tc>
          <w:tcPr>
            <w:tcW w:w="816" w:type="pct"/>
            <w:vMerge w:val="restart"/>
            <w:noWrap w:val="0"/>
            <w:vAlign w:val="center"/>
          </w:tcPr>
          <w:p w14:paraId="5135C39A">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现场实操</w:t>
            </w:r>
          </w:p>
        </w:tc>
        <w:tc>
          <w:tcPr>
            <w:tcW w:w="1793" w:type="pct"/>
            <w:noWrap w:val="0"/>
            <w:vAlign w:val="center"/>
          </w:tcPr>
          <w:p w14:paraId="2DD6EA14">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 w:eastAsia="zh-CN" w:bidi="ar-SA"/>
              </w:rPr>
              <w:t>模块A：</w:t>
            </w:r>
            <w:r>
              <w:rPr>
                <w:rFonts w:hint="eastAsia" w:ascii="仿宋_GB2312" w:hAnsi="仿宋_GB2312" w:eastAsia="仿宋_GB2312" w:cs="仿宋_GB2312"/>
                <w:color w:val="auto"/>
                <w:kern w:val="2"/>
                <w:sz w:val="24"/>
                <w:szCs w:val="24"/>
                <w:highlight w:val="none"/>
                <w:lang w:val="en-US" w:eastAsia="zh-CN" w:bidi="ar-SA"/>
              </w:rPr>
              <w:t>平台运维</w:t>
            </w:r>
          </w:p>
        </w:tc>
        <w:tc>
          <w:tcPr>
            <w:tcW w:w="478" w:type="pct"/>
            <w:noWrap w:val="0"/>
            <w:vAlign w:val="center"/>
          </w:tcPr>
          <w:p w14:paraId="4F4AC8C2">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30</w:t>
            </w:r>
          </w:p>
        </w:tc>
        <w:tc>
          <w:tcPr>
            <w:tcW w:w="539" w:type="pct"/>
            <w:vMerge w:val="restart"/>
            <w:noWrap w:val="0"/>
            <w:vAlign w:val="center"/>
          </w:tcPr>
          <w:p w14:paraId="323A4515">
            <w:pPr>
              <w:spacing w:line="0" w:lineRule="atLeast"/>
              <w:jc w:val="center"/>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b w:val="0"/>
                <w:bCs w:val="0"/>
                <w:sz w:val="30"/>
                <w:szCs w:val="30"/>
                <w:lang w:val="en-US" w:eastAsia="zh-CN"/>
              </w:rPr>
              <w:t>120</w:t>
            </w:r>
          </w:p>
        </w:tc>
      </w:tr>
      <w:tr w14:paraId="7FB16F0E">
        <w:trPr>
          <w:trHeight w:val="454" w:hRule="atLeast"/>
          <w:jc w:val="center"/>
        </w:trPr>
        <w:tc>
          <w:tcPr>
            <w:tcW w:w="1371" w:type="pct"/>
            <w:vMerge w:val="continue"/>
            <w:noWrap w:val="0"/>
            <w:vAlign w:val="center"/>
          </w:tcPr>
          <w:p w14:paraId="3F28197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816" w:type="pct"/>
            <w:vMerge w:val="continue"/>
            <w:noWrap w:val="0"/>
            <w:vAlign w:val="center"/>
          </w:tcPr>
          <w:p w14:paraId="345404F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1793" w:type="pct"/>
            <w:noWrap w:val="0"/>
            <w:vAlign w:val="center"/>
          </w:tcPr>
          <w:p w14:paraId="3F7F4C0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 w:eastAsia="zh-CN" w:bidi="ar-SA"/>
              </w:rPr>
              <w:t>模块B：</w:t>
            </w:r>
            <w:r>
              <w:rPr>
                <w:rFonts w:hint="eastAsia" w:ascii="仿宋_GB2312" w:hAnsi="仿宋_GB2312" w:eastAsia="仿宋_GB2312" w:cs="仿宋_GB2312"/>
                <w:color w:val="auto"/>
                <w:kern w:val="2"/>
                <w:sz w:val="24"/>
                <w:szCs w:val="24"/>
                <w:highlight w:val="none"/>
                <w:lang w:val="en-US" w:eastAsia="zh-CN" w:bidi="ar-SA"/>
              </w:rPr>
              <w:t>应用测试</w:t>
            </w:r>
          </w:p>
        </w:tc>
        <w:tc>
          <w:tcPr>
            <w:tcW w:w="478" w:type="pct"/>
            <w:noWrap w:val="0"/>
            <w:vAlign w:val="center"/>
          </w:tcPr>
          <w:p w14:paraId="3C87F448">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30</w:t>
            </w:r>
          </w:p>
        </w:tc>
        <w:tc>
          <w:tcPr>
            <w:tcW w:w="539" w:type="pct"/>
            <w:vMerge w:val="continue"/>
            <w:noWrap w:val="0"/>
            <w:vAlign w:val="center"/>
          </w:tcPr>
          <w:p w14:paraId="47A21D7A">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r>
      <w:tr w14:paraId="3B7B0CFD">
        <w:trPr>
          <w:trHeight w:val="454" w:hRule="atLeast"/>
          <w:jc w:val="center"/>
        </w:trPr>
        <w:tc>
          <w:tcPr>
            <w:tcW w:w="1371" w:type="pct"/>
            <w:vMerge w:val="continue"/>
            <w:noWrap w:val="0"/>
            <w:vAlign w:val="center"/>
          </w:tcPr>
          <w:p w14:paraId="28CC0C37">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816" w:type="pct"/>
            <w:vMerge w:val="continue"/>
            <w:noWrap w:val="0"/>
            <w:vAlign w:val="center"/>
          </w:tcPr>
          <w:p w14:paraId="5DCD87B3">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c>
          <w:tcPr>
            <w:tcW w:w="1793" w:type="pct"/>
            <w:noWrap w:val="0"/>
            <w:vAlign w:val="center"/>
          </w:tcPr>
          <w:p w14:paraId="5A19AAD4">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 w:eastAsia="zh-CN" w:bidi="ar-SA"/>
              </w:rPr>
              <w:t>模块</w:t>
            </w:r>
            <w:r>
              <w:rPr>
                <w:rFonts w:hint="eastAsia" w:ascii="仿宋_GB2312" w:hAnsi="仿宋_GB2312" w:eastAsia="仿宋_GB2312" w:cs="仿宋_GB2312"/>
                <w:color w:val="auto"/>
                <w:kern w:val="2"/>
                <w:sz w:val="24"/>
                <w:szCs w:val="24"/>
                <w:highlight w:val="none"/>
                <w:lang w:val="en-US" w:eastAsia="zh-CN" w:bidi="ar-SA"/>
              </w:rPr>
              <w:t>C：应用操作</w:t>
            </w:r>
          </w:p>
        </w:tc>
        <w:tc>
          <w:tcPr>
            <w:tcW w:w="478" w:type="pct"/>
            <w:noWrap w:val="0"/>
            <w:vAlign w:val="center"/>
          </w:tcPr>
          <w:p w14:paraId="2D8B406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60</w:t>
            </w:r>
          </w:p>
        </w:tc>
        <w:tc>
          <w:tcPr>
            <w:tcW w:w="539" w:type="pct"/>
            <w:vMerge w:val="continue"/>
            <w:noWrap w:val="0"/>
            <w:vAlign w:val="center"/>
          </w:tcPr>
          <w:p w14:paraId="5A7C25E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r>
    </w:tbl>
    <w:p w14:paraId="5A506E7D">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eastAsia="zh-CN"/>
        </w:rPr>
        <w:t>2.初赛试题。</w:t>
      </w:r>
      <w:r>
        <w:rPr>
          <w:rFonts w:hint="default" w:ascii="Times New Roman" w:hAnsi="Times New Roman" w:eastAsia="仿宋_GB2312" w:cs="Times New Roman"/>
          <w:b w:val="0"/>
          <w:bCs w:val="0"/>
          <w:color w:val="auto"/>
          <w:sz w:val="32"/>
          <w:szCs w:val="32"/>
          <w:highlight w:val="none"/>
        </w:rPr>
        <w:t>采用计算机</w:t>
      </w:r>
      <w:r>
        <w:rPr>
          <w:rFonts w:hint="eastAsia" w:cs="Times New Roman"/>
          <w:b w:val="0"/>
          <w:bCs w:val="0"/>
          <w:color w:val="auto"/>
          <w:sz w:val="32"/>
          <w:szCs w:val="32"/>
          <w:highlight w:val="none"/>
          <w:lang w:val="en-US" w:eastAsia="zh-CN"/>
        </w:rPr>
        <w:t>竞赛系统</w:t>
      </w:r>
      <w:r>
        <w:rPr>
          <w:rFonts w:hint="eastAsia" w:ascii="仿宋_GB2312" w:hAnsi="仿宋_GB2312" w:eastAsia="仿宋_GB2312" w:cs="仿宋_GB2312"/>
          <w:highlight w:val="none"/>
          <w:lang w:eastAsia="zh-CN"/>
        </w:rPr>
        <w:t>从公布的题库中随机抽取试卷题量的70%和命题专家现场编制的30%组成正式赛题。</w:t>
      </w:r>
      <w:r>
        <w:rPr>
          <w:rFonts w:hint="eastAsia" w:cs="Times New Roman"/>
          <w:b w:val="0"/>
          <w:bCs w:val="0"/>
          <w:color w:val="auto"/>
          <w:sz w:val="32"/>
          <w:szCs w:val="32"/>
          <w:highlight w:val="none"/>
          <w:lang w:val="en-US" w:eastAsia="zh-CN"/>
        </w:rPr>
        <w:t>主要考核基本要求、</w:t>
      </w:r>
      <w:r>
        <w:rPr>
          <w:rFonts w:hint="eastAsia" w:ascii="仿宋_GB2312" w:hAnsi="仿宋_GB2312" w:cs="仿宋_GB2312"/>
          <w:color w:val="auto"/>
          <w:sz w:val="32"/>
          <w:szCs w:val="32"/>
          <w:highlight w:val="none"/>
          <w:lang w:val="en-US" w:eastAsia="zh-CN"/>
        </w:rPr>
        <w:t>平台运维</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应用测试</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应用操作</w:t>
      </w:r>
      <w:r>
        <w:rPr>
          <w:rFonts w:hint="eastAsia" w:cs="Times New Roman"/>
          <w:b w:val="0"/>
          <w:bCs w:val="0"/>
          <w:color w:val="auto"/>
          <w:sz w:val="32"/>
          <w:szCs w:val="32"/>
          <w:highlight w:val="none"/>
          <w:lang w:val="en-US" w:eastAsia="zh-CN"/>
        </w:rPr>
        <w:t>的理论知识，</w:t>
      </w:r>
      <w:r>
        <w:rPr>
          <w:rFonts w:hint="eastAsia" w:ascii="仿宋_GB2312" w:hAnsi="仿宋_GB2312" w:eastAsia="仿宋_GB2312" w:cs="仿宋_GB2312"/>
          <w:highlight w:val="none"/>
          <w:lang w:eastAsia="zh-CN"/>
        </w:rPr>
        <w:t>题型为单选题、多选题、判断题，满分为100分。其中，单选题</w:t>
      </w:r>
      <w:r>
        <w:rPr>
          <w:rFonts w:hint="eastAsia" w:ascii="仿宋_GB2312" w:hAnsi="仿宋_GB2312" w:cs="仿宋_GB2312"/>
          <w:highlight w:val="none"/>
          <w:lang w:val="en-US" w:eastAsia="zh-CN"/>
        </w:rPr>
        <w:t>70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分；多选题</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题，每题</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分；判断题</w:t>
      </w:r>
      <w:r>
        <w:rPr>
          <w:rFonts w:hint="eastAsia" w:ascii="仿宋_GB2312" w:hAnsi="仿宋_GB2312" w:eastAsia="仿宋_GB2312" w:cs="仿宋_GB2312"/>
          <w:highlight w:val="none"/>
          <w:lang w:val="en-US" w:eastAsia="zh-CN"/>
        </w:rPr>
        <w:t>20</w:t>
      </w:r>
      <w:r>
        <w:rPr>
          <w:rFonts w:hint="eastAsia" w:ascii="仿宋_GB2312" w:hAnsi="仿宋_GB2312" w:eastAsia="仿宋_GB2312" w:cs="仿宋_GB2312"/>
          <w:highlight w:val="none"/>
          <w:lang w:eastAsia="zh-CN"/>
        </w:rPr>
        <w:t>题，每题</w:t>
      </w:r>
      <w:r>
        <w:rPr>
          <w:rFonts w:hint="eastAsia" w:ascii="仿宋_GB2312" w:hAnsi="仿宋_GB2312" w:cs="仿宋_GB2312"/>
          <w:highlight w:val="none"/>
          <w:lang w:val="en-US" w:eastAsia="zh-CN"/>
        </w:rPr>
        <w:t>0.5</w:t>
      </w:r>
      <w:r>
        <w:rPr>
          <w:rFonts w:hint="eastAsia" w:ascii="仿宋_GB2312" w:hAnsi="仿宋_GB2312" w:eastAsia="仿宋_GB2312" w:cs="仿宋_GB2312"/>
          <w:highlight w:val="none"/>
          <w:lang w:eastAsia="zh-CN"/>
        </w:rPr>
        <w:t>分。</w:t>
      </w:r>
    </w:p>
    <w:p w14:paraId="4B5BC71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.决赛试题。</w:t>
      </w:r>
      <w:r>
        <w:rPr>
          <w:rFonts w:hint="eastAsia" w:ascii="仿宋_GB2312" w:hAnsi="仿宋_GB2312" w:eastAsia="仿宋_GB2312" w:cs="仿宋_GB2312"/>
          <w:b w:val="0"/>
          <w:bCs/>
          <w:color w:val="000000"/>
          <w:sz w:val="32"/>
          <w:szCs w:val="32"/>
          <w:highlight w:val="none"/>
        </w:rPr>
        <w:t>选手按赛场提供的实操任务书现场完成</w:t>
      </w:r>
      <w:r>
        <w:rPr>
          <w:rFonts w:hint="eastAsia" w:ascii="仿宋_GB2312" w:hAnsi="仿宋_GB2312" w:eastAsia="仿宋_GB2312" w:cs="仿宋_GB2312"/>
          <w:highlight w:val="none"/>
          <w:lang w:eastAsia="zh-CN"/>
        </w:rPr>
        <w:t>三个模块</w:t>
      </w:r>
      <w:r>
        <w:rPr>
          <w:rFonts w:hint="eastAsia" w:ascii="仿宋_GB2312" w:hAnsi="仿宋_GB2312" w:cs="仿宋_GB2312"/>
          <w:highlight w:val="none"/>
          <w:lang w:val="en-US" w:eastAsia="zh-CN"/>
        </w:rPr>
        <w:t>的实际操作，考核范围如下：</w:t>
      </w:r>
    </w:p>
    <w:p w14:paraId="6241E4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24"/>
          <w:highlight w:val="none"/>
          <w:lang w:val="en-US" w:eastAsia="zh-CN" w:bidi="ar-SA"/>
        </w:rPr>
      </w:pPr>
      <w:r>
        <w:rPr>
          <w:rFonts w:hint="eastAsia" w:ascii="仿宋_GB2312" w:hAnsi="仿宋_GB2312" w:eastAsia="仿宋_GB2312" w:cs="仿宋_GB2312"/>
          <w:kern w:val="2"/>
          <w:sz w:val="32"/>
          <w:szCs w:val="24"/>
          <w:highlight w:val="none"/>
          <w:lang w:val="en-US" w:eastAsia="zh-CN" w:bidi="ar-SA"/>
        </w:rPr>
        <w:t>模块A：</w:t>
      </w:r>
      <w:r>
        <w:rPr>
          <w:rFonts w:hint="eastAsia" w:ascii="仿宋_GB2312" w:hAnsi="仿宋_GB2312" w:cs="仿宋_GB2312"/>
          <w:color w:val="auto"/>
          <w:sz w:val="32"/>
          <w:szCs w:val="32"/>
          <w:highlight w:val="none"/>
          <w:lang w:val="en-US" w:eastAsia="zh-CN"/>
        </w:rPr>
        <w:t>平台运维</w:t>
      </w:r>
    </w:p>
    <w:p w14:paraId="313A23ED">
      <w:pPr>
        <w:pStyle w:val="9"/>
        <w:rPr>
          <w:rFonts w:hint="default" w:ascii="仿宋_GB2312" w:hAnsi="仿宋_GB2312" w:eastAsia="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考察选手设施部署、运维数字孪生支撑平台的综合实操能力。选手需完成平台资源规划、CPU和GPU资源调度、存储网络配置、平台服务部署、故障排查、性能调优与持续稳定运维工作；保障数字孪生平台算力、存储、网络资源合理分配，支撑数字孪生场景数据接入、模型加载、实时渲染业务稳定运行。重点检验平台日常运维流程、异常故障定位处置、资源瓶颈优化、平台高可用保障等工程实践能力，考核选手搭建稳定可靠的数字孪生平台的实操水平。</w:t>
      </w:r>
    </w:p>
    <w:p w14:paraId="6A10819B">
      <w:pPr>
        <w:ind w:firstLine="640" w:firstLineChars="200"/>
        <w:rPr>
          <w:rFonts w:hint="default" w:ascii="仿宋_GB2312" w:hAnsi="仿宋_GB2312" w:eastAsia="仿宋_GB2312" w:cs="仿宋_GB2312"/>
          <w:kern w:val="2"/>
          <w:sz w:val="32"/>
          <w:szCs w:val="24"/>
          <w:highlight w:val="none"/>
          <w:lang w:val="en-US" w:eastAsia="zh-CN" w:bidi="ar-SA"/>
        </w:rPr>
      </w:pPr>
      <w:r>
        <w:rPr>
          <w:rFonts w:hint="eastAsia" w:ascii="仿宋_GB2312" w:hAnsi="仿宋_GB2312" w:eastAsia="仿宋_GB2312" w:cs="仿宋_GB2312"/>
          <w:kern w:val="2"/>
          <w:sz w:val="32"/>
          <w:szCs w:val="24"/>
          <w:highlight w:val="none"/>
          <w:lang w:val="en-US" w:eastAsia="zh-CN" w:bidi="ar-SA"/>
        </w:rPr>
        <w:t>模块</w:t>
      </w:r>
      <w:r>
        <w:rPr>
          <w:rFonts w:hint="eastAsia" w:ascii="仿宋_GB2312" w:hAnsi="仿宋_GB2312" w:cs="仿宋_GB2312"/>
          <w:kern w:val="2"/>
          <w:sz w:val="32"/>
          <w:szCs w:val="24"/>
          <w:highlight w:val="none"/>
          <w:lang w:val="en-US" w:eastAsia="zh-CN" w:bidi="ar-SA"/>
        </w:rPr>
        <w:t>B</w:t>
      </w:r>
      <w:r>
        <w:rPr>
          <w:rFonts w:hint="eastAsia" w:ascii="仿宋_GB2312" w:hAnsi="仿宋_GB2312" w:eastAsia="仿宋_GB2312" w:cs="仿宋_GB2312"/>
          <w:kern w:val="2"/>
          <w:sz w:val="32"/>
          <w:szCs w:val="24"/>
          <w:highlight w:val="none"/>
          <w:lang w:val="en-US" w:eastAsia="zh-CN" w:bidi="ar-SA"/>
        </w:rPr>
        <w:t>：</w:t>
      </w:r>
      <w:r>
        <w:rPr>
          <w:rFonts w:hint="eastAsia" w:ascii="仿宋_GB2312" w:hAnsi="仿宋_GB2312" w:cs="仿宋_GB2312"/>
          <w:color w:val="auto"/>
          <w:sz w:val="32"/>
          <w:szCs w:val="32"/>
          <w:highlight w:val="none"/>
          <w:lang w:val="en-US" w:eastAsia="zh-CN"/>
        </w:rPr>
        <w:t>应用测试</w:t>
      </w:r>
    </w:p>
    <w:p w14:paraId="6FEB0538">
      <w:pPr>
        <w:pStyle w:val="9"/>
        <w:rPr>
          <w:rFonts w:hint="eastAsia" w:ascii="仿宋_GB2312" w:hAnsi="仿宋_GB2312" w:eastAsia="仿宋_GB2312" w:cs="仿宋_GB2312"/>
          <w:kern w:val="2"/>
          <w:sz w:val="32"/>
          <w:szCs w:val="24"/>
          <w:highlight w:val="none"/>
          <w:lang w:val="en-US" w:eastAsia="zh-CN" w:bidi="ar-SA"/>
        </w:rPr>
      </w:pPr>
      <w:r>
        <w:rPr>
          <w:rFonts w:hint="eastAsia" w:ascii="仿宋_GB2312" w:hAnsi="仿宋_GB2312" w:cs="仿宋_GB2312"/>
          <w:kern w:val="2"/>
          <w:sz w:val="32"/>
          <w:szCs w:val="24"/>
          <w:highlight w:val="none"/>
          <w:lang w:val="en-US" w:eastAsia="zh-CN" w:bidi="ar-SA"/>
        </w:rPr>
        <w:t>考察选手的数字孪生应用实施系统性测试的实操能力。选手需要搭建测试环境，完成功能验证、负载压力的性能测试、稳定性评测，采集时延、渲染帧率、资源利用率等关键指标，识别应用运行缺陷与资源瓶颈，形成完整测试结论及优化建议，考核数字孪生应用功能验证、性能评估、软硬件协同调优的工程实践水平。</w:t>
      </w:r>
    </w:p>
    <w:p w14:paraId="3FF5633B">
      <w:pPr>
        <w:ind w:firstLine="640" w:firstLineChars="200"/>
        <w:rPr>
          <w:rFonts w:hint="eastAsia" w:ascii="仿宋_GB2312" w:hAnsi="仿宋_GB2312" w:cs="仿宋_GB2312"/>
          <w:kern w:val="2"/>
          <w:sz w:val="32"/>
          <w:szCs w:val="24"/>
          <w:highlight w:val="none"/>
          <w:lang w:val="en-US" w:eastAsia="zh-CN" w:bidi="ar-SA"/>
        </w:rPr>
      </w:pPr>
      <w:r>
        <w:rPr>
          <w:rFonts w:hint="eastAsia" w:ascii="仿宋_GB2312" w:hAnsi="仿宋_GB2312" w:eastAsia="仿宋_GB2312" w:cs="仿宋_GB2312"/>
          <w:kern w:val="2"/>
          <w:sz w:val="32"/>
          <w:szCs w:val="24"/>
          <w:highlight w:val="none"/>
          <w:lang w:val="en-US" w:eastAsia="zh-CN" w:bidi="ar-SA"/>
        </w:rPr>
        <w:t>模块</w:t>
      </w:r>
      <w:r>
        <w:rPr>
          <w:rFonts w:hint="eastAsia" w:ascii="仿宋_GB2312" w:hAnsi="仿宋_GB2312" w:cs="仿宋_GB2312"/>
          <w:kern w:val="2"/>
          <w:sz w:val="32"/>
          <w:szCs w:val="24"/>
          <w:highlight w:val="none"/>
          <w:lang w:val="en-US" w:eastAsia="zh-CN" w:bidi="ar-SA"/>
        </w:rPr>
        <w:t>C</w:t>
      </w:r>
      <w:r>
        <w:rPr>
          <w:rFonts w:hint="eastAsia" w:ascii="仿宋_GB2312" w:hAnsi="仿宋_GB2312" w:eastAsia="仿宋_GB2312" w:cs="仿宋_GB2312"/>
          <w:kern w:val="2"/>
          <w:sz w:val="32"/>
          <w:szCs w:val="24"/>
          <w:highlight w:val="none"/>
          <w:lang w:val="en-US" w:eastAsia="zh-CN" w:bidi="ar-SA"/>
        </w:rPr>
        <w:t>：</w:t>
      </w:r>
      <w:r>
        <w:rPr>
          <w:rFonts w:hint="eastAsia" w:ascii="仿宋_GB2312" w:hAnsi="仿宋_GB2312" w:cs="仿宋_GB2312"/>
          <w:color w:val="auto"/>
          <w:sz w:val="32"/>
          <w:szCs w:val="32"/>
          <w:highlight w:val="none"/>
          <w:lang w:val="en-US" w:eastAsia="zh-CN"/>
        </w:rPr>
        <w:t>应用操作</w:t>
      </w:r>
    </w:p>
    <w:p w14:paraId="63A8CCEF">
      <w:pPr>
        <w:pStyle w:val="9"/>
        <w:rPr>
          <w:rFonts w:hint="default"/>
          <w:highlight w:val="none"/>
          <w:lang w:val="en-US" w:eastAsia="zh-CN"/>
        </w:rPr>
      </w:pPr>
      <w:r>
        <w:rPr>
          <w:rFonts w:hint="eastAsia" w:ascii="仿宋_GB2312" w:hAnsi="仿宋_GB2312" w:cs="仿宋_GB2312"/>
          <w:kern w:val="2"/>
          <w:sz w:val="32"/>
          <w:szCs w:val="24"/>
          <w:highlight w:val="none"/>
          <w:lang w:val="en-US" w:eastAsia="zh-CN" w:bidi="ar-SA"/>
        </w:rPr>
        <w:t>考察选手在数字孪生平台上开展应用实操的能力。选手需熟练操作数字孪生可视化系统，完成三维场景交互、设备数据查看、仿真参数调控、异常告警处理、业务场景联动等操作，根据任务要求完成场景配置与交互演练，考核数字孪生应用实操、业务场景响应与可视化管控能力。</w:t>
      </w:r>
    </w:p>
    <w:p w14:paraId="37F690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（三）评判标准</w:t>
      </w:r>
    </w:p>
    <w:p w14:paraId="4EFC6AC3">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b/>
          <w:bCs/>
          <w:highlight w:val="none"/>
          <w:lang w:val="en-US" w:eastAsia="zh-CN"/>
        </w:rPr>
        <w:t>1.</w:t>
      </w:r>
      <w:r>
        <w:rPr>
          <w:rFonts w:hint="eastAsia" w:ascii="仿宋_GB2312" w:hAnsi="仿宋_GB2312" w:eastAsia="仿宋_GB2312" w:cs="仿宋_GB2312"/>
          <w:b/>
          <w:bCs/>
          <w:highlight w:val="none"/>
          <w:lang w:eastAsia="zh-CN"/>
        </w:rPr>
        <w:t>分数权重</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589"/>
        <w:gridCol w:w="1043"/>
        <w:gridCol w:w="1046"/>
        <w:gridCol w:w="1798"/>
      </w:tblGrid>
      <w:tr w14:paraId="1E1CD84F">
        <w:trPr>
          <w:trHeight w:val="454" w:hRule="atLeast"/>
          <w:jc w:val="center"/>
        </w:trPr>
        <w:tc>
          <w:tcPr>
            <w:tcW w:w="612" w:type="pct"/>
            <w:noWrap w:val="0"/>
            <w:vAlign w:val="center"/>
          </w:tcPr>
          <w:p w14:paraId="427A64D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赛程</w:t>
            </w:r>
          </w:p>
        </w:tc>
        <w:tc>
          <w:tcPr>
            <w:tcW w:w="2106" w:type="pct"/>
            <w:noWrap w:val="0"/>
            <w:vAlign w:val="center"/>
          </w:tcPr>
          <w:p w14:paraId="11F0FCD2">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考核</w:t>
            </w:r>
            <w:r>
              <w:rPr>
                <w:rFonts w:hint="eastAsia" w:ascii="仿宋_GB2312" w:hAnsi="仿宋_GB2312" w:cs="仿宋_GB2312"/>
                <w:b/>
                <w:bCs/>
                <w:kern w:val="2"/>
                <w:sz w:val="24"/>
                <w:szCs w:val="24"/>
                <w:lang w:val="en-US" w:eastAsia="zh-CN" w:bidi="ar-SA"/>
              </w:rPr>
              <w:t>内容</w:t>
            </w:r>
          </w:p>
        </w:tc>
        <w:tc>
          <w:tcPr>
            <w:tcW w:w="612" w:type="pct"/>
            <w:noWrap w:val="0"/>
            <w:vAlign w:val="center"/>
          </w:tcPr>
          <w:p w14:paraId="43B0E0D7">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配分</w:t>
            </w:r>
          </w:p>
        </w:tc>
        <w:tc>
          <w:tcPr>
            <w:tcW w:w="612" w:type="pct"/>
            <w:noWrap w:val="0"/>
            <w:vAlign w:val="center"/>
          </w:tcPr>
          <w:p w14:paraId="553E0500">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权重</w:t>
            </w:r>
          </w:p>
        </w:tc>
        <w:tc>
          <w:tcPr>
            <w:tcW w:w="1055" w:type="pct"/>
            <w:noWrap w:val="0"/>
            <w:vAlign w:val="center"/>
          </w:tcPr>
          <w:p w14:paraId="1047386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综合排名</w:t>
            </w:r>
          </w:p>
          <w:p w14:paraId="7194C2E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cs="仿宋_GB2312"/>
                <w:b/>
                <w:bCs/>
                <w:kern w:val="2"/>
                <w:sz w:val="24"/>
                <w:szCs w:val="24"/>
                <w:lang w:val="en-US" w:eastAsia="zh-CN" w:bidi="ar-SA"/>
              </w:rPr>
              <w:t>配比</w:t>
            </w:r>
          </w:p>
        </w:tc>
      </w:tr>
      <w:tr w14:paraId="291E7514">
        <w:trPr>
          <w:trHeight w:val="454" w:hRule="atLeast"/>
          <w:jc w:val="center"/>
        </w:trPr>
        <w:tc>
          <w:tcPr>
            <w:tcW w:w="612" w:type="pct"/>
            <w:noWrap w:val="0"/>
            <w:vAlign w:val="center"/>
          </w:tcPr>
          <w:p w14:paraId="1F2C72D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初赛</w:t>
            </w:r>
          </w:p>
        </w:tc>
        <w:tc>
          <w:tcPr>
            <w:tcW w:w="2106" w:type="pct"/>
            <w:noWrap w:val="0"/>
            <w:vAlign w:val="center"/>
          </w:tcPr>
          <w:p w14:paraId="633C51A8">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理论</w:t>
            </w:r>
          </w:p>
        </w:tc>
        <w:tc>
          <w:tcPr>
            <w:tcW w:w="612" w:type="pct"/>
            <w:noWrap w:val="0"/>
            <w:vAlign w:val="center"/>
          </w:tcPr>
          <w:p w14:paraId="2525F252">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100</w:t>
            </w:r>
          </w:p>
        </w:tc>
        <w:tc>
          <w:tcPr>
            <w:tcW w:w="612" w:type="pct"/>
            <w:noWrap w:val="0"/>
            <w:vAlign w:val="center"/>
          </w:tcPr>
          <w:p w14:paraId="5BA9E3C0">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100%</w:t>
            </w:r>
          </w:p>
        </w:tc>
        <w:tc>
          <w:tcPr>
            <w:tcW w:w="1055" w:type="pct"/>
            <w:noWrap w:val="0"/>
            <w:vAlign w:val="center"/>
          </w:tcPr>
          <w:p w14:paraId="2364E42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30%</w:t>
            </w:r>
          </w:p>
        </w:tc>
      </w:tr>
      <w:tr w14:paraId="4EBF8B25">
        <w:trPr>
          <w:trHeight w:val="454" w:hRule="atLeast"/>
          <w:jc w:val="center"/>
        </w:trPr>
        <w:tc>
          <w:tcPr>
            <w:tcW w:w="612" w:type="pct"/>
            <w:vMerge w:val="restart"/>
            <w:noWrap w:val="0"/>
            <w:vAlign w:val="center"/>
          </w:tcPr>
          <w:p w14:paraId="13D1578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决赛</w:t>
            </w:r>
          </w:p>
        </w:tc>
        <w:tc>
          <w:tcPr>
            <w:tcW w:w="2106" w:type="pct"/>
            <w:noWrap w:val="0"/>
            <w:vAlign w:val="center"/>
          </w:tcPr>
          <w:p w14:paraId="3D1E086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模块A：</w:t>
            </w:r>
            <w:r>
              <w:rPr>
                <w:rFonts w:hint="eastAsia" w:ascii="仿宋_GB2312" w:hAnsi="仿宋_GB2312" w:cs="仿宋_GB2312"/>
                <w:color w:val="auto"/>
                <w:sz w:val="24"/>
                <w:szCs w:val="24"/>
                <w:highlight w:val="none"/>
                <w:lang w:val="en-US" w:eastAsia="zh-CN"/>
              </w:rPr>
              <w:t>平台运维</w:t>
            </w:r>
          </w:p>
        </w:tc>
        <w:tc>
          <w:tcPr>
            <w:tcW w:w="612" w:type="pct"/>
            <w:noWrap w:val="0"/>
            <w:vAlign w:val="center"/>
          </w:tcPr>
          <w:p w14:paraId="2B4EBFC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612" w:type="pct"/>
            <w:noWrap w:val="0"/>
            <w:vAlign w:val="center"/>
          </w:tcPr>
          <w:p w14:paraId="4340789E">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30</w:t>
            </w:r>
            <w:r>
              <w:rPr>
                <w:rFonts w:hint="eastAsia" w:ascii="仿宋_GB2312" w:hAnsi="仿宋_GB2312" w:eastAsia="仿宋_GB2312" w:cs="仿宋_GB2312"/>
                <w:kern w:val="2"/>
                <w:sz w:val="24"/>
                <w:szCs w:val="24"/>
                <w:highlight w:val="none"/>
                <w:lang w:val="en-US" w:eastAsia="zh-CN" w:bidi="ar-SA"/>
              </w:rPr>
              <w:t>%</w:t>
            </w:r>
          </w:p>
        </w:tc>
        <w:tc>
          <w:tcPr>
            <w:tcW w:w="1055" w:type="pct"/>
            <w:vMerge w:val="restart"/>
            <w:noWrap w:val="0"/>
            <w:vAlign w:val="center"/>
          </w:tcPr>
          <w:p w14:paraId="79368F5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70%</w:t>
            </w:r>
          </w:p>
        </w:tc>
      </w:tr>
      <w:tr w14:paraId="54AC2EF0">
        <w:trPr>
          <w:trHeight w:val="454" w:hRule="atLeast"/>
          <w:jc w:val="center"/>
        </w:trPr>
        <w:tc>
          <w:tcPr>
            <w:tcW w:w="612" w:type="pct"/>
            <w:vMerge w:val="continue"/>
            <w:noWrap w:val="0"/>
            <w:vAlign w:val="center"/>
          </w:tcPr>
          <w:p w14:paraId="3C340BAF">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p>
        </w:tc>
        <w:tc>
          <w:tcPr>
            <w:tcW w:w="2106" w:type="pct"/>
            <w:noWrap w:val="0"/>
            <w:vAlign w:val="center"/>
          </w:tcPr>
          <w:p w14:paraId="18EBAD1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模块B：</w:t>
            </w:r>
            <w:r>
              <w:rPr>
                <w:rFonts w:hint="eastAsia" w:ascii="仿宋_GB2312" w:hAnsi="仿宋_GB2312" w:cs="仿宋_GB2312"/>
                <w:color w:val="auto"/>
                <w:sz w:val="24"/>
                <w:szCs w:val="24"/>
                <w:highlight w:val="none"/>
                <w:lang w:val="en-US" w:eastAsia="zh-CN"/>
              </w:rPr>
              <w:t>应用测试</w:t>
            </w:r>
          </w:p>
        </w:tc>
        <w:tc>
          <w:tcPr>
            <w:tcW w:w="612" w:type="pct"/>
            <w:noWrap w:val="0"/>
            <w:vAlign w:val="center"/>
          </w:tcPr>
          <w:p w14:paraId="70E3067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612" w:type="pct"/>
            <w:noWrap w:val="0"/>
            <w:vAlign w:val="center"/>
          </w:tcPr>
          <w:p w14:paraId="293A4A3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25</w:t>
            </w:r>
            <w:r>
              <w:rPr>
                <w:rFonts w:hint="eastAsia" w:ascii="仿宋_GB2312" w:hAnsi="仿宋_GB2312" w:eastAsia="仿宋_GB2312" w:cs="仿宋_GB2312"/>
                <w:kern w:val="2"/>
                <w:sz w:val="24"/>
                <w:szCs w:val="24"/>
                <w:highlight w:val="none"/>
                <w:lang w:val="en-US" w:eastAsia="zh-CN" w:bidi="ar-SA"/>
              </w:rPr>
              <w:t>%</w:t>
            </w:r>
          </w:p>
        </w:tc>
        <w:tc>
          <w:tcPr>
            <w:tcW w:w="1055" w:type="pct"/>
            <w:vMerge w:val="continue"/>
            <w:noWrap w:val="0"/>
            <w:vAlign w:val="center"/>
          </w:tcPr>
          <w:p w14:paraId="765E6BC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p>
        </w:tc>
      </w:tr>
      <w:tr w14:paraId="21467AA6">
        <w:trPr>
          <w:trHeight w:val="479" w:hRule="atLeast"/>
          <w:jc w:val="center"/>
        </w:trPr>
        <w:tc>
          <w:tcPr>
            <w:tcW w:w="612" w:type="pct"/>
            <w:vMerge w:val="continue"/>
            <w:noWrap w:val="0"/>
            <w:vAlign w:val="center"/>
          </w:tcPr>
          <w:p w14:paraId="1321792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lang w:val="en-US" w:eastAsia="zh-CN" w:bidi="ar-SA"/>
              </w:rPr>
            </w:pPr>
          </w:p>
        </w:tc>
        <w:tc>
          <w:tcPr>
            <w:tcW w:w="2106" w:type="pct"/>
            <w:noWrap w:val="0"/>
            <w:vAlign w:val="center"/>
          </w:tcPr>
          <w:p w14:paraId="06AC34E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模块C：</w:t>
            </w:r>
            <w:r>
              <w:rPr>
                <w:rFonts w:hint="eastAsia" w:ascii="仿宋_GB2312" w:hAnsi="仿宋_GB2312" w:cs="仿宋_GB2312"/>
                <w:color w:val="auto"/>
                <w:sz w:val="24"/>
                <w:szCs w:val="24"/>
                <w:highlight w:val="none"/>
                <w:lang w:val="en-US" w:eastAsia="zh-CN"/>
              </w:rPr>
              <w:t>应用操作</w:t>
            </w:r>
          </w:p>
        </w:tc>
        <w:tc>
          <w:tcPr>
            <w:tcW w:w="612" w:type="pct"/>
            <w:noWrap w:val="0"/>
            <w:vAlign w:val="center"/>
          </w:tcPr>
          <w:p w14:paraId="7FC0E734">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c>
          <w:tcPr>
            <w:tcW w:w="612" w:type="pct"/>
            <w:noWrap w:val="0"/>
            <w:vAlign w:val="center"/>
          </w:tcPr>
          <w:p w14:paraId="4521731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45</w:t>
            </w:r>
            <w:r>
              <w:rPr>
                <w:rFonts w:hint="eastAsia" w:ascii="仿宋_GB2312" w:hAnsi="仿宋_GB2312" w:eastAsia="仿宋_GB2312" w:cs="仿宋_GB2312"/>
                <w:kern w:val="2"/>
                <w:sz w:val="24"/>
                <w:szCs w:val="24"/>
                <w:highlight w:val="none"/>
                <w:lang w:val="en-US" w:eastAsia="zh-CN" w:bidi="ar-SA"/>
              </w:rPr>
              <w:t>%</w:t>
            </w:r>
          </w:p>
        </w:tc>
        <w:tc>
          <w:tcPr>
            <w:tcW w:w="1055" w:type="pct"/>
            <w:vMerge w:val="continue"/>
            <w:noWrap w:val="0"/>
            <w:vAlign w:val="center"/>
          </w:tcPr>
          <w:p w14:paraId="17F8FA2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p>
        </w:tc>
      </w:tr>
      <w:tr w14:paraId="4DD003FB">
        <w:trPr>
          <w:trHeight w:val="454" w:hRule="atLeast"/>
          <w:jc w:val="center"/>
        </w:trPr>
        <w:tc>
          <w:tcPr>
            <w:tcW w:w="3944" w:type="pct"/>
            <w:gridSpan w:val="4"/>
            <w:noWrap w:val="0"/>
            <w:vAlign w:val="center"/>
          </w:tcPr>
          <w:p w14:paraId="5400B0CD">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总计</w:t>
            </w:r>
          </w:p>
        </w:tc>
        <w:tc>
          <w:tcPr>
            <w:tcW w:w="1055" w:type="pct"/>
            <w:noWrap w:val="0"/>
            <w:vAlign w:val="center"/>
          </w:tcPr>
          <w:p w14:paraId="475BEB0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100%</w:t>
            </w:r>
          </w:p>
        </w:tc>
      </w:tr>
    </w:tbl>
    <w:p w14:paraId="6555DC82">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kern w:val="2"/>
          <w:sz w:val="32"/>
          <w:szCs w:val="24"/>
          <w:lang w:val="en-US" w:eastAsia="zh-CN" w:bidi="ar-SA"/>
        </w:rPr>
        <w:t>2.</w:t>
      </w:r>
      <w:r>
        <w:rPr>
          <w:rFonts w:hint="eastAsia" w:ascii="仿宋_GB2312" w:hAnsi="仿宋_GB2312" w:eastAsia="仿宋_GB2312" w:cs="仿宋_GB2312"/>
          <w:b/>
          <w:bCs/>
          <w:highlight w:val="none"/>
          <w:lang w:eastAsia="zh-CN"/>
        </w:rPr>
        <w:t>评判标准</w:t>
      </w:r>
    </w:p>
    <w:p w14:paraId="1484901A">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kern w:val="2"/>
          <w:sz w:val="32"/>
          <w:szCs w:val="24"/>
          <w:lang w:val="en-US" w:eastAsia="zh-CN" w:bidi="ar-SA"/>
        </w:rPr>
        <w:t>（1）</w:t>
      </w:r>
      <w:r>
        <w:rPr>
          <w:rFonts w:hint="eastAsia" w:ascii="仿宋_GB2312" w:hAnsi="仿宋_GB2312" w:eastAsia="仿宋_GB2312" w:cs="仿宋_GB2312"/>
          <w:highlight w:val="none"/>
          <w:lang w:eastAsia="zh-CN"/>
        </w:rPr>
        <w:t>初赛由计算机</w:t>
      </w:r>
      <w:r>
        <w:rPr>
          <w:rFonts w:hint="eastAsia" w:ascii="仿宋_GB2312" w:hAnsi="仿宋_GB2312" w:cs="仿宋_GB2312"/>
          <w:highlight w:val="none"/>
          <w:lang w:val="en-US" w:eastAsia="zh-CN"/>
        </w:rPr>
        <w:t>竞赛</w:t>
      </w:r>
      <w:r>
        <w:rPr>
          <w:rFonts w:hint="eastAsia" w:ascii="仿宋_GB2312" w:hAnsi="仿宋_GB2312" w:eastAsia="仿宋_GB2312" w:cs="仿宋_GB2312"/>
          <w:highlight w:val="none"/>
          <w:lang w:eastAsia="zh-CN"/>
        </w:rPr>
        <w:t>系统</w:t>
      </w:r>
      <w:r>
        <w:rPr>
          <w:rFonts w:hint="eastAsia" w:ascii="仿宋_GB2312" w:hAnsi="仿宋_GB2312" w:cs="仿宋_GB2312"/>
          <w:highlight w:val="none"/>
          <w:lang w:val="en-US" w:eastAsia="zh-CN"/>
        </w:rPr>
        <w:t>按</w:t>
      </w:r>
      <w:r>
        <w:rPr>
          <w:rFonts w:hint="eastAsia" w:ascii="仿宋_GB2312" w:hAnsi="仿宋_GB2312" w:eastAsia="仿宋_GB2312" w:cs="仿宋_GB2312"/>
          <w:highlight w:val="none"/>
          <w:lang w:eastAsia="zh-CN"/>
        </w:rPr>
        <w:t>单选题每题</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多选题每题</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判断题每题</w:t>
      </w:r>
      <w:r>
        <w:rPr>
          <w:rFonts w:hint="eastAsia" w:ascii="仿宋_GB2312" w:hAnsi="仿宋_GB2312" w:cs="仿宋_GB2312"/>
          <w:highlight w:val="none"/>
          <w:lang w:val="en-US" w:eastAsia="zh-CN"/>
        </w:rPr>
        <w:t>0.5</w:t>
      </w:r>
      <w:r>
        <w:rPr>
          <w:rFonts w:hint="eastAsia" w:ascii="仿宋_GB2312" w:hAnsi="仿宋_GB2312" w:eastAsia="仿宋_GB2312" w:cs="仿宋_GB2312"/>
          <w:highlight w:val="none"/>
          <w:lang w:eastAsia="zh-CN"/>
        </w:rPr>
        <w:t>分</w:t>
      </w:r>
      <w:r>
        <w:rPr>
          <w:rFonts w:hint="eastAsia" w:ascii="仿宋_GB2312" w:hAnsi="仿宋_GB2312" w:cs="仿宋_GB2312"/>
          <w:highlight w:val="none"/>
          <w:lang w:val="en-US" w:eastAsia="zh-CN"/>
        </w:rPr>
        <w:t>自动判分</w:t>
      </w:r>
      <w:r>
        <w:rPr>
          <w:rFonts w:hint="eastAsia" w:ascii="仿宋_GB2312" w:hAnsi="仿宋_GB2312" w:cs="仿宋_GB2312"/>
          <w:highlight w:val="none"/>
          <w:lang w:eastAsia="zh-CN"/>
        </w:rPr>
        <w:t>，</w:t>
      </w:r>
      <w:r>
        <w:rPr>
          <w:rFonts w:hint="eastAsia" w:ascii="仿宋_GB2312" w:hAnsi="仿宋_GB2312" w:eastAsia="仿宋_GB2312" w:cs="仿宋_GB2312"/>
          <w:highlight w:val="none"/>
          <w:lang w:eastAsia="zh-CN"/>
        </w:rPr>
        <w:t>各题型错选、多选或少选均不得分。</w:t>
      </w:r>
    </w:p>
    <w:p w14:paraId="69DDA911">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cs="仿宋_GB2312"/>
          <w:highlight w:val="none"/>
          <w:lang w:val="en-US" w:eastAsia="zh-CN"/>
        </w:rPr>
        <w:t>（2）</w:t>
      </w:r>
      <w:r>
        <w:rPr>
          <w:rFonts w:hint="eastAsia" w:ascii="仿宋_GB2312" w:hAnsi="仿宋_GB2312" w:eastAsia="仿宋_GB2312" w:cs="仿宋_GB2312"/>
          <w:highlight w:val="none"/>
          <w:lang w:val="en-US" w:eastAsia="zh-CN"/>
        </w:rPr>
        <w:t>决赛由裁判根据现场评分表评分，评分标准配分细则以现场评分表为准，评分标准如下：</w:t>
      </w:r>
    </w:p>
    <w:p w14:paraId="3949E083">
      <w:pPr>
        <w:keepNext w:val="0"/>
        <w:keepLines w:val="0"/>
        <w:pageBreakBefore w:val="0"/>
        <w:widowControl/>
        <w:suppressLineNumbers w:val="0"/>
        <w:kinsoku/>
        <w:wordWrap w:val="0"/>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模块A</w:t>
      </w:r>
      <w:r>
        <w:rPr>
          <w:rFonts w:hint="eastAsia" w:ascii="仿宋_GB2312" w:hAnsi="仿宋_GB2312" w:eastAsia="仿宋_GB2312" w:cs="仿宋_GB2312"/>
          <w:highlight w:val="none"/>
          <w:lang w:val="zh-CN" w:eastAsia="zh-CN"/>
        </w:rPr>
        <w:t>评分标准</w:t>
      </w:r>
    </w:p>
    <w:tbl>
      <w:tblPr>
        <w:tblStyle w:val="10"/>
        <w:tblW w:w="51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461"/>
        <w:gridCol w:w="2010"/>
        <w:gridCol w:w="766"/>
        <w:gridCol w:w="3855"/>
      </w:tblGrid>
      <w:tr w14:paraId="7935E02C">
        <w:trPr>
          <w:trHeight w:val="454" w:hRule="atLeast"/>
          <w:jc w:val="center"/>
        </w:trPr>
        <w:tc>
          <w:tcPr>
            <w:tcW w:w="424" w:type="pct"/>
            <w:tcBorders>
              <w:tl2br w:val="nil"/>
              <w:tr2bl w:val="nil"/>
            </w:tcBorders>
            <w:noWrap w:val="0"/>
            <w:vAlign w:val="center"/>
          </w:tcPr>
          <w:p w14:paraId="4647AB4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序号</w:t>
            </w:r>
          </w:p>
        </w:tc>
        <w:tc>
          <w:tcPr>
            <w:tcW w:w="826" w:type="pct"/>
            <w:tcBorders>
              <w:tl2br w:val="nil"/>
              <w:tr2bl w:val="nil"/>
            </w:tcBorders>
            <w:noWrap w:val="0"/>
            <w:vAlign w:val="center"/>
          </w:tcPr>
          <w:p w14:paraId="64AE17B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考核内容</w:t>
            </w:r>
          </w:p>
        </w:tc>
        <w:tc>
          <w:tcPr>
            <w:tcW w:w="1136" w:type="pct"/>
            <w:tcBorders>
              <w:tl2br w:val="nil"/>
              <w:tr2bl w:val="nil"/>
            </w:tcBorders>
            <w:noWrap w:val="0"/>
            <w:vAlign w:val="center"/>
          </w:tcPr>
          <w:p w14:paraId="05E47F0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考核要点</w:t>
            </w:r>
          </w:p>
        </w:tc>
        <w:tc>
          <w:tcPr>
            <w:tcW w:w="433" w:type="pct"/>
            <w:tcBorders>
              <w:tl2br w:val="nil"/>
              <w:tr2bl w:val="nil"/>
            </w:tcBorders>
            <w:noWrap w:val="0"/>
            <w:vAlign w:val="center"/>
          </w:tcPr>
          <w:p w14:paraId="6EFF265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配分</w:t>
            </w:r>
          </w:p>
        </w:tc>
        <w:tc>
          <w:tcPr>
            <w:tcW w:w="2179" w:type="pct"/>
            <w:tcBorders>
              <w:tl2br w:val="nil"/>
              <w:tr2bl w:val="nil"/>
            </w:tcBorders>
            <w:noWrap w:val="0"/>
            <w:vAlign w:val="center"/>
          </w:tcPr>
          <w:p w14:paraId="3B4DBF2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评分标准</w:t>
            </w:r>
          </w:p>
        </w:tc>
      </w:tr>
      <w:tr w14:paraId="7E03EB42">
        <w:trPr>
          <w:trHeight w:val="1626" w:hRule="atLeast"/>
          <w:jc w:val="center"/>
        </w:trPr>
        <w:tc>
          <w:tcPr>
            <w:tcW w:w="424" w:type="pct"/>
            <w:tcBorders>
              <w:tl2br w:val="nil"/>
              <w:tr2bl w:val="nil"/>
            </w:tcBorders>
            <w:noWrap w:val="0"/>
            <w:vAlign w:val="center"/>
          </w:tcPr>
          <w:p w14:paraId="6CDFE93F">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826" w:type="pct"/>
            <w:tcBorders>
              <w:tl2br w:val="nil"/>
              <w:tr2bl w:val="nil"/>
            </w:tcBorders>
            <w:noWrap w:val="0"/>
            <w:vAlign w:val="center"/>
          </w:tcPr>
          <w:p w14:paraId="26CEC1C5">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平台调试</w:t>
            </w:r>
          </w:p>
        </w:tc>
        <w:tc>
          <w:tcPr>
            <w:tcW w:w="1136" w:type="pct"/>
            <w:tcBorders>
              <w:tl2br w:val="nil"/>
              <w:tr2bl w:val="nil"/>
            </w:tcBorders>
            <w:noWrap w:val="0"/>
            <w:vAlign w:val="center"/>
          </w:tcPr>
          <w:p w14:paraId="5C0E5514">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rPr>
              <w:t>能在离线和在线模式下调试数字孪生平台</w:t>
            </w:r>
          </w:p>
        </w:tc>
        <w:tc>
          <w:tcPr>
            <w:tcW w:w="433" w:type="pct"/>
            <w:tcBorders>
              <w:tl2br w:val="nil"/>
              <w:tr2bl w:val="nil"/>
            </w:tcBorders>
            <w:noWrap w:val="0"/>
            <w:vAlign w:val="center"/>
          </w:tcPr>
          <w:p w14:paraId="08CB0481">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2179" w:type="pct"/>
            <w:tcBorders>
              <w:tl2br w:val="nil"/>
              <w:tr2bl w:val="nil"/>
            </w:tcBorders>
            <w:noWrap w:val="0"/>
            <w:vAlign w:val="center"/>
          </w:tcPr>
          <w:p w14:paraId="5DB1B213">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完成离线模式平台基础调试得 </w:t>
            </w:r>
            <w:r>
              <w:rPr>
                <w:rFonts w:hint="eastAsia" w:ascii="仿宋_GB2312" w:hAnsi="仿宋_GB2312" w:cs="仿宋_GB2312"/>
                <w:color w:val="auto"/>
                <w:kern w:val="2"/>
                <w:sz w:val="24"/>
                <w:szCs w:val="24"/>
                <w:lang w:val="en-US" w:eastAsia="zh-CN" w:bidi="ar-SA"/>
              </w:rPr>
              <w:t>1.5</w:t>
            </w:r>
            <w:r>
              <w:rPr>
                <w:rFonts w:hint="eastAsia" w:ascii="仿宋_GB2312" w:hAnsi="仿宋_GB2312" w:eastAsia="仿宋_GB2312" w:cs="仿宋_GB2312"/>
                <w:color w:val="auto"/>
                <w:kern w:val="2"/>
                <w:sz w:val="24"/>
                <w:szCs w:val="24"/>
                <w:lang w:val="en-US" w:eastAsia="zh-CN" w:bidi="ar-SA"/>
              </w:rPr>
              <w:t xml:space="preserve"> 分；完成在线模式连通调试得 </w:t>
            </w:r>
            <w:r>
              <w:rPr>
                <w:rFonts w:hint="eastAsia" w:ascii="仿宋_GB2312" w:hAnsi="仿宋_GB2312" w:cs="仿宋_GB2312"/>
                <w:color w:val="auto"/>
                <w:kern w:val="2"/>
                <w:sz w:val="24"/>
                <w:szCs w:val="24"/>
                <w:lang w:val="en-US" w:eastAsia="zh-CN" w:bidi="ar-SA"/>
              </w:rPr>
              <w:t>1.5</w:t>
            </w:r>
            <w:r>
              <w:rPr>
                <w:rFonts w:hint="eastAsia" w:ascii="仿宋_GB2312" w:hAnsi="仿宋_GB2312" w:eastAsia="仿宋_GB2312" w:cs="仿宋_GB2312"/>
                <w:color w:val="auto"/>
                <w:kern w:val="2"/>
                <w:sz w:val="24"/>
                <w:szCs w:val="24"/>
                <w:lang w:val="en-US" w:eastAsia="zh-CN" w:bidi="ar-SA"/>
              </w:rPr>
              <w:t>分；</w:t>
            </w:r>
          </w:p>
          <w:p w14:paraId="0E88C185">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调试失败、平台无法启动酌情扣分，完全未操作 0 分</w:t>
            </w:r>
          </w:p>
        </w:tc>
      </w:tr>
      <w:tr w14:paraId="062CC34C">
        <w:trPr>
          <w:trHeight w:val="454" w:hRule="atLeast"/>
          <w:jc w:val="center"/>
        </w:trPr>
        <w:tc>
          <w:tcPr>
            <w:tcW w:w="424" w:type="pct"/>
            <w:tcBorders>
              <w:tl2br w:val="nil"/>
              <w:tr2bl w:val="nil"/>
            </w:tcBorders>
            <w:noWrap w:val="0"/>
            <w:vAlign w:val="center"/>
          </w:tcPr>
          <w:p w14:paraId="31BB69AC">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826" w:type="pct"/>
            <w:tcBorders>
              <w:tl2br w:val="nil"/>
              <w:tr2bl w:val="nil"/>
            </w:tcBorders>
            <w:noWrap w:val="0"/>
            <w:vAlign w:val="center"/>
          </w:tcPr>
          <w:p w14:paraId="73ADFDAF">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平台记录</w:t>
            </w:r>
          </w:p>
        </w:tc>
        <w:tc>
          <w:tcPr>
            <w:tcW w:w="1136" w:type="pct"/>
            <w:tcBorders>
              <w:tl2br w:val="nil"/>
              <w:tr2bl w:val="nil"/>
            </w:tcBorders>
            <w:noWrap w:val="0"/>
            <w:vAlign w:val="center"/>
          </w:tcPr>
          <w:p w14:paraId="6262341F">
            <w:pPr>
              <w:keepNext w:val="0"/>
              <w:keepLines w:val="0"/>
              <w:pageBreakBefore w:val="0"/>
              <w:kinsoku/>
              <w:wordWrap w:val="0"/>
              <w:overflowPunct/>
              <w:topLinePunct w:val="0"/>
              <w:autoSpaceDE/>
              <w:autoSpaceDN/>
              <w:bidi w:val="0"/>
              <w:spacing w:line="0" w:lineRule="atLeast"/>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sz w:val="24"/>
                <w:szCs w:val="24"/>
              </w:rPr>
              <w:t>能填写数字孪生平台调试记录单</w:t>
            </w:r>
          </w:p>
        </w:tc>
        <w:tc>
          <w:tcPr>
            <w:tcW w:w="433" w:type="pct"/>
            <w:tcBorders>
              <w:tl2br w:val="nil"/>
              <w:tr2bl w:val="nil"/>
            </w:tcBorders>
            <w:noWrap w:val="0"/>
            <w:vAlign w:val="center"/>
          </w:tcPr>
          <w:p w14:paraId="34E6D32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2179" w:type="pct"/>
            <w:tcBorders>
              <w:tl2br w:val="nil"/>
              <w:tr2bl w:val="nil"/>
            </w:tcBorders>
            <w:noWrap w:val="0"/>
            <w:vAlign w:val="center"/>
          </w:tcPr>
          <w:p w14:paraId="7D860DC3">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记录要素完整、参数填写准确得满分；缺一项核心参数扣 </w:t>
            </w:r>
            <w:r>
              <w:rPr>
                <w:rFonts w:hint="eastAsia" w:ascii="仿宋_GB2312" w:hAnsi="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zh-CN" w:bidi="ar-SA"/>
              </w:rPr>
              <w:t xml:space="preserve"> 分，记录虚假、空白不得分</w:t>
            </w:r>
            <w:r>
              <w:rPr>
                <w:rFonts w:hint="eastAsia" w:ascii="仿宋_GB2312" w:hAnsi="仿宋_GB2312" w:cs="仿宋_GB2312"/>
                <w:color w:val="auto"/>
                <w:kern w:val="2"/>
                <w:sz w:val="24"/>
                <w:szCs w:val="24"/>
                <w:lang w:val="en-US" w:eastAsia="zh-CN" w:bidi="ar-SA"/>
              </w:rPr>
              <w:t>。</w:t>
            </w:r>
          </w:p>
        </w:tc>
      </w:tr>
      <w:tr w14:paraId="494F26B4">
        <w:trPr>
          <w:trHeight w:val="454" w:hRule="atLeast"/>
          <w:jc w:val="center"/>
        </w:trPr>
        <w:tc>
          <w:tcPr>
            <w:tcW w:w="424" w:type="pct"/>
            <w:vMerge w:val="restart"/>
            <w:tcBorders>
              <w:tl2br w:val="nil"/>
              <w:tr2bl w:val="nil"/>
            </w:tcBorders>
            <w:noWrap w:val="0"/>
            <w:vAlign w:val="center"/>
          </w:tcPr>
          <w:p w14:paraId="12DCF5AA">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826" w:type="pct"/>
            <w:vMerge w:val="restart"/>
            <w:tcBorders>
              <w:tl2br w:val="nil"/>
              <w:tr2bl w:val="nil"/>
            </w:tcBorders>
            <w:noWrap w:val="0"/>
            <w:vAlign w:val="center"/>
          </w:tcPr>
          <w:p w14:paraId="3F24C154">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平台测试</w:t>
            </w:r>
          </w:p>
        </w:tc>
        <w:tc>
          <w:tcPr>
            <w:tcW w:w="1136" w:type="pct"/>
            <w:tcBorders>
              <w:tl2br w:val="nil"/>
              <w:tr2bl w:val="nil"/>
            </w:tcBorders>
            <w:noWrap w:val="0"/>
            <w:vAlign w:val="center"/>
          </w:tcPr>
          <w:p w14:paraId="5626246B">
            <w:pPr>
              <w:keepNext w:val="0"/>
              <w:keepLines w:val="0"/>
              <w:pageBreakBefore w:val="0"/>
              <w:kinsoku/>
              <w:wordWrap w:val="0"/>
              <w:overflowPunct/>
              <w:topLinePunct w:val="0"/>
              <w:autoSpaceDE/>
              <w:autoSpaceDN/>
              <w:bidi w:val="0"/>
              <w:spacing w:line="0" w:lineRule="atLeast"/>
              <w:jc w:val="left"/>
              <w:rPr>
                <w:rFonts w:hint="eastAsia" w:ascii="仿宋_GB2312" w:hAnsi="仿宋_GB2312" w:cs="仿宋_GB2312"/>
                <w:color w:val="auto"/>
                <w:sz w:val="24"/>
                <w:szCs w:val="24"/>
              </w:rPr>
            </w:pPr>
            <w:r>
              <w:rPr>
                <w:rFonts w:hint="eastAsia" w:ascii="仿宋_GB2312" w:hAnsi="仿宋_GB2312" w:cs="仿宋_GB2312"/>
                <w:color w:val="auto"/>
                <w:sz w:val="24"/>
                <w:szCs w:val="24"/>
              </w:rPr>
              <w:t>能对数字孪生平台进行试运行</w:t>
            </w:r>
          </w:p>
        </w:tc>
        <w:tc>
          <w:tcPr>
            <w:tcW w:w="433" w:type="pct"/>
            <w:tcBorders>
              <w:tl2br w:val="nil"/>
              <w:tr2bl w:val="nil"/>
            </w:tcBorders>
            <w:noWrap w:val="0"/>
            <w:vAlign w:val="center"/>
          </w:tcPr>
          <w:p w14:paraId="38BD4051">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2179" w:type="pct"/>
            <w:tcBorders>
              <w:tl2br w:val="nil"/>
              <w:tr2bl w:val="nil"/>
            </w:tcBorders>
            <w:noWrap w:val="0"/>
            <w:vAlign w:val="center"/>
          </w:tcPr>
          <w:p w14:paraId="6B71315B">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2"/>
                <w:sz w:val="24"/>
                <w:szCs w:val="24"/>
                <w:lang w:val="en-US" w:eastAsia="zh-CN" w:bidi="ar-SA"/>
              </w:rPr>
              <w:t xml:space="preserve">成功启动平台、基础服务正常运行得满分；平台启动报错、关键服务中断，根据故障情况扣 </w:t>
            </w:r>
            <w:r>
              <w:rPr>
                <w:rFonts w:hint="eastAsia" w:ascii="仿宋_GB2312" w:hAnsi="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en-US" w:eastAsia="zh-CN" w:bidi="ar-SA"/>
              </w:rPr>
              <w:t xml:space="preserve"> 分。</w:t>
            </w:r>
          </w:p>
        </w:tc>
      </w:tr>
      <w:tr w14:paraId="72151308">
        <w:trPr>
          <w:trHeight w:val="451" w:hRule="atLeast"/>
          <w:jc w:val="center"/>
        </w:trPr>
        <w:tc>
          <w:tcPr>
            <w:tcW w:w="424" w:type="pct"/>
            <w:vMerge w:val="continue"/>
            <w:tcBorders>
              <w:tl2br w:val="nil"/>
              <w:tr2bl w:val="nil"/>
            </w:tcBorders>
            <w:noWrap w:val="0"/>
            <w:vAlign w:val="center"/>
          </w:tcPr>
          <w:p w14:paraId="65BC4A44">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26" w:type="pct"/>
            <w:vMerge w:val="continue"/>
            <w:tcBorders>
              <w:tl2br w:val="nil"/>
              <w:tr2bl w:val="nil"/>
            </w:tcBorders>
            <w:noWrap w:val="0"/>
            <w:vAlign w:val="center"/>
          </w:tcPr>
          <w:p w14:paraId="2D8E85A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1136" w:type="pct"/>
            <w:tcBorders>
              <w:tl2br w:val="nil"/>
              <w:tr2bl w:val="nil"/>
            </w:tcBorders>
            <w:noWrap w:val="0"/>
            <w:vAlign w:val="center"/>
          </w:tcPr>
          <w:p w14:paraId="55A94022">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平台资源规划、调动，支撑数字孪生应用</w:t>
            </w:r>
          </w:p>
        </w:tc>
        <w:tc>
          <w:tcPr>
            <w:tcW w:w="433" w:type="pct"/>
            <w:tcBorders>
              <w:tl2br w:val="nil"/>
              <w:tr2bl w:val="nil"/>
            </w:tcBorders>
            <w:noWrap w:val="0"/>
            <w:vAlign w:val="center"/>
          </w:tcPr>
          <w:p w14:paraId="1F61AA44">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179" w:type="pct"/>
            <w:tcBorders>
              <w:tl2br w:val="nil"/>
              <w:tr2bl w:val="nil"/>
            </w:tcBorders>
            <w:noWrap w:val="0"/>
            <w:vAlign w:val="center"/>
          </w:tcPr>
          <w:p w14:paraId="402AD7AE">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合理分配资源，满足孪生渲染、仿真业务需求得满分；资源分配不合理导致应用卡顿扣 </w:t>
            </w:r>
            <w:r>
              <w:rPr>
                <w:rFonts w:hint="eastAsia" w:ascii="仿宋_GB2312" w:hAnsi="仿宋_GB2312" w:cs="仿宋_GB2312"/>
                <w:color w:val="auto"/>
                <w:kern w:val="2"/>
                <w:sz w:val="24"/>
                <w:szCs w:val="24"/>
                <w:lang w:val="en-US" w:eastAsia="zh-CN" w:bidi="ar-SA"/>
              </w:rPr>
              <w:t>2-5</w:t>
            </w:r>
            <w:r>
              <w:rPr>
                <w:rFonts w:hint="eastAsia" w:ascii="仿宋_GB2312" w:hAnsi="仿宋_GB2312" w:eastAsia="仿宋_GB2312" w:cs="仿宋_GB2312"/>
                <w:color w:val="auto"/>
                <w:kern w:val="2"/>
                <w:sz w:val="24"/>
                <w:szCs w:val="24"/>
                <w:lang w:val="en-US" w:eastAsia="zh-CN" w:bidi="ar-SA"/>
              </w:rPr>
              <w:t xml:space="preserve"> 分。</w:t>
            </w:r>
          </w:p>
        </w:tc>
      </w:tr>
      <w:tr w14:paraId="7A6B51B5">
        <w:trPr>
          <w:trHeight w:val="454" w:hRule="atLeast"/>
          <w:jc w:val="center"/>
        </w:trPr>
        <w:tc>
          <w:tcPr>
            <w:tcW w:w="424" w:type="pct"/>
            <w:vMerge w:val="continue"/>
            <w:tcBorders>
              <w:tl2br w:val="nil"/>
              <w:tr2bl w:val="nil"/>
            </w:tcBorders>
            <w:noWrap w:val="0"/>
            <w:vAlign w:val="center"/>
          </w:tcPr>
          <w:p w14:paraId="5EE8E5E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26" w:type="pct"/>
            <w:vMerge w:val="continue"/>
            <w:tcBorders>
              <w:tl2br w:val="nil"/>
              <w:tr2bl w:val="nil"/>
            </w:tcBorders>
            <w:noWrap w:val="0"/>
            <w:vAlign w:val="center"/>
          </w:tcPr>
          <w:p w14:paraId="0695352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1136" w:type="pct"/>
            <w:tcBorders>
              <w:tl2br w:val="nil"/>
              <w:tr2bl w:val="nil"/>
            </w:tcBorders>
            <w:noWrap w:val="0"/>
            <w:vAlign w:val="center"/>
          </w:tcPr>
          <w:p w14:paraId="3E7A41D1">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日常运维流程，输出巡检报告</w:t>
            </w:r>
          </w:p>
        </w:tc>
        <w:tc>
          <w:tcPr>
            <w:tcW w:w="433" w:type="pct"/>
            <w:tcBorders>
              <w:tl2br w:val="nil"/>
              <w:tr2bl w:val="nil"/>
            </w:tcBorders>
            <w:noWrap w:val="0"/>
            <w:vAlign w:val="center"/>
          </w:tcPr>
          <w:p w14:paraId="5B26830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highlight w:val="none"/>
                <w:lang w:val="en-US" w:eastAsia="zh-CN" w:bidi="ar-SA"/>
              </w:rPr>
              <w:t>5</w:t>
            </w:r>
          </w:p>
        </w:tc>
        <w:tc>
          <w:tcPr>
            <w:tcW w:w="2179" w:type="pct"/>
            <w:tcBorders>
              <w:tl2br w:val="nil"/>
              <w:tr2bl w:val="nil"/>
            </w:tcBorders>
            <w:noWrap w:val="0"/>
            <w:vAlign w:val="center"/>
          </w:tcPr>
          <w:p w14:paraId="174A21AC">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规范执行集群巡检流程，巡检报告数据完整、结论清晰得满分；报告缺失关键监控指标扣</w:t>
            </w:r>
            <w:r>
              <w:rPr>
                <w:rFonts w:hint="eastAsia" w:ascii="仿宋_GB2312" w:hAnsi="仿宋_GB2312" w:cs="仿宋_GB2312"/>
                <w:color w:val="auto"/>
                <w:kern w:val="2"/>
                <w:sz w:val="24"/>
                <w:szCs w:val="24"/>
                <w:lang w:val="en-US" w:eastAsia="zh-CN" w:bidi="ar-SA"/>
              </w:rPr>
              <w:t>2.5</w:t>
            </w:r>
            <w:r>
              <w:rPr>
                <w:rFonts w:hint="eastAsia" w:ascii="仿宋_GB2312" w:hAnsi="仿宋_GB2312" w:eastAsia="仿宋_GB2312" w:cs="仿宋_GB2312"/>
                <w:color w:val="auto"/>
                <w:kern w:val="2"/>
                <w:sz w:val="24"/>
                <w:szCs w:val="24"/>
                <w:lang w:val="en-US" w:eastAsia="zh-CN" w:bidi="ar-SA"/>
              </w:rPr>
              <w:t>分</w:t>
            </w:r>
            <w:r>
              <w:rPr>
                <w:rFonts w:hint="eastAsia" w:ascii="仿宋_GB2312" w:hAnsi="仿宋_GB2312" w:cs="仿宋_GB2312"/>
                <w:color w:val="auto"/>
                <w:kern w:val="2"/>
                <w:sz w:val="24"/>
                <w:szCs w:val="24"/>
                <w:lang w:val="en-US" w:eastAsia="zh-CN" w:bidi="ar-SA"/>
              </w:rPr>
              <w:t>。</w:t>
            </w:r>
          </w:p>
        </w:tc>
      </w:tr>
      <w:tr w14:paraId="03AD484F">
        <w:trPr>
          <w:trHeight w:val="454" w:hRule="atLeast"/>
          <w:jc w:val="center"/>
        </w:trPr>
        <w:tc>
          <w:tcPr>
            <w:tcW w:w="424" w:type="pct"/>
            <w:vMerge w:val="continue"/>
            <w:tcBorders>
              <w:tl2br w:val="nil"/>
              <w:tr2bl w:val="nil"/>
            </w:tcBorders>
            <w:noWrap w:val="0"/>
            <w:vAlign w:val="center"/>
          </w:tcPr>
          <w:p w14:paraId="559C7F4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26" w:type="pct"/>
            <w:vMerge w:val="continue"/>
            <w:tcBorders>
              <w:tl2br w:val="nil"/>
              <w:tr2bl w:val="nil"/>
            </w:tcBorders>
            <w:noWrap w:val="0"/>
            <w:vAlign w:val="center"/>
          </w:tcPr>
          <w:p w14:paraId="1CC5018C">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1136" w:type="pct"/>
            <w:tcBorders>
              <w:tl2br w:val="nil"/>
              <w:tr2bl w:val="nil"/>
            </w:tcBorders>
            <w:noWrap w:val="0"/>
            <w:vAlign w:val="center"/>
          </w:tcPr>
          <w:p w14:paraId="12B574D0">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异常故障定位及处理</w:t>
            </w:r>
          </w:p>
        </w:tc>
        <w:tc>
          <w:tcPr>
            <w:tcW w:w="433" w:type="pct"/>
            <w:tcBorders>
              <w:tl2br w:val="nil"/>
              <w:tr2bl w:val="nil"/>
            </w:tcBorders>
            <w:noWrap w:val="0"/>
            <w:vAlign w:val="center"/>
          </w:tcPr>
          <w:p w14:paraId="4961973E">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2179" w:type="pct"/>
            <w:tcBorders>
              <w:tl2br w:val="nil"/>
              <w:tr2bl w:val="nil"/>
            </w:tcBorders>
            <w:noWrap w:val="0"/>
            <w:vAlign w:val="center"/>
          </w:tcPr>
          <w:p w14:paraId="6141E61A">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准确识别集群故障，完成故障恢复得满分；故障定位错误</w:t>
            </w:r>
            <w:r>
              <w:rPr>
                <w:rFonts w:hint="eastAsia" w:ascii="仿宋_GB2312" w:hAnsi="仿宋_GB2312" w:cs="仿宋_GB2312"/>
                <w:color w:val="auto"/>
                <w:kern w:val="2"/>
                <w:sz w:val="24"/>
                <w:szCs w:val="24"/>
                <w:lang w:val="en-US" w:eastAsia="zh-CN" w:bidi="ar-SA"/>
              </w:rPr>
              <w:t>扣2分</w:t>
            </w:r>
            <w:r>
              <w:rPr>
                <w:rFonts w:hint="eastAsia" w:ascii="仿宋_GB2312" w:hAnsi="仿宋_GB2312" w:eastAsia="仿宋_GB2312" w:cs="仿宋_GB2312"/>
                <w:color w:val="auto"/>
                <w:kern w:val="2"/>
                <w:sz w:val="24"/>
                <w:szCs w:val="24"/>
                <w:lang w:val="en-US" w:eastAsia="zh-CN" w:bidi="ar-SA"/>
              </w:rPr>
              <w:t>、无法解决故障</w:t>
            </w:r>
            <w:r>
              <w:rPr>
                <w:rFonts w:hint="eastAsia" w:ascii="仿宋_GB2312" w:hAnsi="仿宋_GB2312" w:cs="仿宋_GB2312"/>
                <w:color w:val="auto"/>
                <w:kern w:val="2"/>
                <w:sz w:val="24"/>
                <w:szCs w:val="24"/>
                <w:lang w:val="en-US" w:eastAsia="zh-CN" w:bidi="ar-SA"/>
              </w:rPr>
              <w:t>扣2分</w:t>
            </w:r>
            <w:r>
              <w:rPr>
                <w:rFonts w:hint="eastAsia" w:ascii="仿宋_GB2312" w:hAnsi="仿宋_GB2312" w:eastAsia="仿宋_GB2312" w:cs="仿宋_GB2312"/>
                <w:color w:val="auto"/>
                <w:kern w:val="2"/>
                <w:sz w:val="24"/>
                <w:szCs w:val="24"/>
                <w:lang w:val="en-US" w:eastAsia="zh-CN" w:bidi="ar-SA"/>
              </w:rPr>
              <w:t>。</w:t>
            </w:r>
          </w:p>
        </w:tc>
      </w:tr>
      <w:tr w14:paraId="52E5F84A">
        <w:trPr>
          <w:trHeight w:val="1062" w:hRule="atLeast"/>
          <w:jc w:val="center"/>
        </w:trPr>
        <w:tc>
          <w:tcPr>
            <w:tcW w:w="424" w:type="pct"/>
            <w:vMerge w:val="continue"/>
            <w:tcBorders>
              <w:tl2br w:val="nil"/>
              <w:tr2bl w:val="nil"/>
            </w:tcBorders>
            <w:noWrap w:val="0"/>
            <w:vAlign w:val="center"/>
          </w:tcPr>
          <w:p w14:paraId="6CBD05A1">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26" w:type="pct"/>
            <w:vMerge w:val="continue"/>
            <w:tcBorders>
              <w:tl2br w:val="nil"/>
              <w:tr2bl w:val="nil"/>
            </w:tcBorders>
            <w:noWrap w:val="0"/>
            <w:vAlign w:val="center"/>
          </w:tcPr>
          <w:p w14:paraId="535D4B1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1136" w:type="pct"/>
            <w:tcBorders>
              <w:tl2br w:val="nil"/>
              <w:tr2bl w:val="nil"/>
            </w:tcBorders>
            <w:noWrap w:val="0"/>
            <w:vAlign w:val="center"/>
          </w:tcPr>
          <w:p w14:paraId="49C3B2CE">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GPU直通、虚拟化运维</w:t>
            </w:r>
          </w:p>
        </w:tc>
        <w:tc>
          <w:tcPr>
            <w:tcW w:w="433" w:type="pct"/>
            <w:tcBorders>
              <w:tl2br w:val="nil"/>
              <w:tr2bl w:val="nil"/>
            </w:tcBorders>
            <w:noWrap w:val="0"/>
            <w:vAlign w:val="center"/>
          </w:tcPr>
          <w:p w14:paraId="7D893FE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highlight w:val="none"/>
                <w:lang w:val="en-US" w:eastAsia="zh-CN" w:bidi="ar-SA"/>
              </w:rPr>
              <w:t>3</w:t>
            </w:r>
          </w:p>
        </w:tc>
        <w:tc>
          <w:tcPr>
            <w:tcW w:w="2179" w:type="pct"/>
            <w:tcBorders>
              <w:tl2br w:val="nil"/>
              <w:tr2bl w:val="nil"/>
            </w:tcBorders>
            <w:noWrap w:val="0"/>
            <w:vAlign w:val="center"/>
          </w:tcPr>
          <w:p w14:paraId="549D8E72">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正确配置 GPU直通，保障数字孪生三维渲染算力可用；配置错误、显卡资源无法调用扣</w:t>
            </w:r>
            <w:r>
              <w:rPr>
                <w:rFonts w:hint="eastAsia" w:ascii="仿宋_GB2312" w:hAnsi="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zh-CN" w:bidi="ar-SA"/>
              </w:rPr>
              <w:t>分</w:t>
            </w:r>
            <w:r>
              <w:rPr>
                <w:rFonts w:hint="eastAsia" w:ascii="仿宋_GB2312" w:hAnsi="仿宋_GB2312" w:cs="仿宋_GB2312"/>
                <w:color w:val="auto"/>
                <w:kern w:val="2"/>
                <w:sz w:val="24"/>
                <w:szCs w:val="24"/>
                <w:lang w:val="en-US" w:eastAsia="zh-CN" w:bidi="ar-SA"/>
              </w:rPr>
              <w:t>。</w:t>
            </w:r>
          </w:p>
        </w:tc>
      </w:tr>
      <w:tr w14:paraId="63F04B4E">
        <w:trPr>
          <w:trHeight w:val="454" w:hRule="atLeast"/>
          <w:jc w:val="center"/>
        </w:trPr>
        <w:tc>
          <w:tcPr>
            <w:tcW w:w="424" w:type="pct"/>
            <w:vMerge w:val="continue"/>
            <w:tcBorders>
              <w:tl2br w:val="nil"/>
              <w:tr2bl w:val="nil"/>
            </w:tcBorders>
            <w:noWrap w:val="0"/>
            <w:vAlign w:val="center"/>
          </w:tcPr>
          <w:p w14:paraId="569E091B">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26" w:type="pct"/>
            <w:vMerge w:val="continue"/>
            <w:tcBorders>
              <w:tl2br w:val="nil"/>
              <w:tr2bl w:val="nil"/>
            </w:tcBorders>
            <w:noWrap w:val="0"/>
            <w:vAlign w:val="center"/>
          </w:tcPr>
          <w:p w14:paraId="76F8280C">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1136" w:type="pct"/>
            <w:tcBorders>
              <w:tl2br w:val="nil"/>
              <w:tr2bl w:val="nil"/>
            </w:tcBorders>
            <w:noWrap w:val="0"/>
            <w:vAlign w:val="center"/>
          </w:tcPr>
          <w:p w14:paraId="6B618641">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CPU、内存、存储、网络运维</w:t>
            </w:r>
          </w:p>
        </w:tc>
        <w:tc>
          <w:tcPr>
            <w:tcW w:w="433" w:type="pct"/>
            <w:tcBorders>
              <w:tl2br w:val="nil"/>
              <w:tr2bl w:val="nil"/>
            </w:tcBorders>
            <w:noWrap w:val="0"/>
            <w:vAlign w:val="center"/>
          </w:tcPr>
          <w:p w14:paraId="73249CBE">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highlight w:val="none"/>
                <w:lang w:val="en-US" w:eastAsia="zh-CN" w:bidi="ar-SA"/>
              </w:rPr>
              <w:t>4</w:t>
            </w:r>
          </w:p>
        </w:tc>
        <w:tc>
          <w:tcPr>
            <w:tcW w:w="2179" w:type="pct"/>
            <w:tcBorders>
              <w:tl2br w:val="nil"/>
              <w:tr2bl w:val="nil"/>
            </w:tcBorders>
            <w:noWrap w:val="0"/>
            <w:vAlign w:val="center"/>
          </w:tcPr>
          <w:p w14:paraId="20FC83C3">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完成各项资源监控、性能优化，解决资源瓶颈；存在资源配置错误、网络不通等问题逐项扣</w:t>
            </w:r>
            <w:r>
              <w:rPr>
                <w:rFonts w:hint="eastAsia" w:ascii="仿宋_GB2312" w:hAnsi="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zh-CN" w:bidi="ar-SA"/>
              </w:rPr>
              <w:t>分。</w:t>
            </w:r>
          </w:p>
        </w:tc>
      </w:tr>
      <w:tr w14:paraId="48447F92">
        <w:trPr>
          <w:trHeight w:val="454" w:hRule="atLeast"/>
          <w:jc w:val="center"/>
        </w:trPr>
        <w:tc>
          <w:tcPr>
            <w:tcW w:w="2387" w:type="pct"/>
            <w:gridSpan w:val="3"/>
            <w:tcBorders>
              <w:tl2br w:val="nil"/>
              <w:tr2bl w:val="nil"/>
            </w:tcBorders>
            <w:noWrap w:val="0"/>
            <w:vAlign w:val="center"/>
          </w:tcPr>
          <w:p w14:paraId="627DDBBF">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33" w:type="pct"/>
            <w:tcBorders>
              <w:tl2br w:val="nil"/>
              <w:tr2bl w:val="nil"/>
            </w:tcBorders>
            <w:noWrap w:val="0"/>
            <w:vAlign w:val="center"/>
          </w:tcPr>
          <w:p w14:paraId="764DD0F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30</w:t>
            </w:r>
          </w:p>
        </w:tc>
        <w:tc>
          <w:tcPr>
            <w:tcW w:w="2179" w:type="pct"/>
            <w:tcBorders>
              <w:tl2br w:val="nil"/>
              <w:tr2bl w:val="nil"/>
            </w:tcBorders>
            <w:noWrap w:val="0"/>
            <w:vAlign w:val="center"/>
          </w:tcPr>
          <w:p w14:paraId="0B64B53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r w14:paraId="69DF4261">
        <w:trPr>
          <w:trHeight w:val="454" w:hRule="atLeast"/>
          <w:jc w:val="center"/>
        </w:trPr>
        <w:tc>
          <w:tcPr>
            <w:tcW w:w="5000" w:type="pct"/>
            <w:gridSpan w:val="5"/>
            <w:tcBorders>
              <w:tl2br w:val="nil"/>
              <w:tr2bl w:val="nil"/>
            </w:tcBorders>
            <w:noWrap w:val="0"/>
            <w:vAlign w:val="center"/>
          </w:tcPr>
          <w:p w14:paraId="59D06B58">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cs="仿宋_GB2312"/>
                <w:color w:val="auto"/>
                <w:sz w:val="24"/>
                <w:szCs w:val="24"/>
                <w:lang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kern w:val="2"/>
                <w:sz w:val="24"/>
                <w:szCs w:val="24"/>
                <w:lang w:val="en-US" w:eastAsia="zh-CN" w:bidi="ar-SA"/>
              </w:rPr>
              <w:t>时间要求</w:t>
            </w:r>
            <w:r>
              <w:rPr>
                <w:rFonts w:hint="eastAsia" w:ascii="仿宋_GB2312" w:hAnsi="仿宋_GB2312" w:eastAsia="仿宋_GB2312" w:cs="仿宋_GB2312"/>
                <w:color w:val="auto"/>
                <w:kern w:val="2"/>
                <w:sz w:val="24"/>
                <w:szCs w:val="24"/>
                <w:highlight w:val="none"/>
                <w:lang w:val="en-US" w:eastAsia="zh-CN" w:bidi="ar-SA"/>
              </w:rPr>
              <w:t>：</w:t>
            </w:r>
            <w:r>
              <w:rPr>
                <w:rFonts w:hint="eastAsia" w:ascii="仿宋_GB2312" w:hAnsi="仿宋_GB2312" w:eastAsia="仿宋_GB2312" w:cs="仿宋_GB2312"/>
                <w:color w:val="auto"/>
                <w:sz w:val="24"/>
                <w:szCs w:val="24"/>
                <w:highlight w:val="none"/>
              </w:rPr>
              <w:t>考核规定时间为</w:t>
            </w:r>
            <w:r>
              <w:rPr>
                <w:rFonts w:hint="eastAsia" w:ascii="仿宋_GB2312" w:hAnsi="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分钟，</w:t>
            </w:r>
            <w:r>
              <w:rPr>
                <w:rFonts w:hint="eastAsia" w:ascii="仿宋_GB2312" w:hAnsi="仿宋_GB2312" w:eastAsia="仿宋_GB2312" w:cs="仿宋_GB2312"/>
                <w:color w:val="auto"/>
                <w:sz w:val="24"/>
                <w:szCs w:val="24"/>
              </w:rPr>
              <w:t>超时立即终止操作，未完成操作</w:t>
            </w:r>
            <w:r>
              <w:rPr>
                <w:rFonts w:hint="eastAsia" w:ascii="仿宋_GB2312" w:hAnsi="仿宋_GB2312" w:cs="仿宋_GB2312"/>
                <w:color w:val="auto"/>
                <w:sz w:val="24"/>
                <w:szCs w:val="24"/>
                <w:lang w:eastAsia="zh-CN"/>
              </w:rPr>
              <w:t>的</w:t>
            </w:r>
            <w:r>
              <w:rPr>
                <w:rFonts w:hint="eastAsia" w:ascii="仿宋_GB2312" w:hAnsi="仿宋_GB2312" w:cs="仿宋_GB2312"/>
                <w:color w:val="auto"/>
                <w:sz w:val="24"/>
                <w:szCs w:val="24"/>
                <w:lang w:val="en-US" w:eastAsia="zh-CN"/>
              </w:rPr>
              <w:t>部分</w:t>
            </w:r>
            <w:r>
              <w:rPr>
                <w:rFonts w:hint="eastAsia" w:ascii="仿宋_GB2312" w:hAnsi="仿宋_GB2312" w:eastAsia="仿宋_GB2312" w:cs="仿宋_GB2312"/>
                <w:color w:val="auto"/>
                <w:sz w:val="24"/>
                <w:szCs w:val="24"/>
              </w:rPr>
              <w:t>不计分</w:t>
            </w:r>
            <w:r>
              <w:rPr>
                <w:rFonts w:hint="eastAsia" w:ascii="仿宋_GB2312" w:hAnsi="仿宋_GB2312" w:cs="仿宋_GB2312"/>
                <w:color w:val="auto"/>
                <w:sz w:val="24"/>
                <w:szCs w:val="24"/>
                <w:lang w:eastAsia="zh-CN"/>
              </w:rPr>
              <w:t>。</w:t>
            </w:r>
          </w:p>
          <w:p w14:paraId="5B900989">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0000FF"/>
                <w:sz w:val="24"/>
                <w:szCs w:val="24"/>
                <w:lang w:val="en-US" w:eastAsia="zh-CN"/>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rPr>
              <w:t>特殊扣分项</w:t>
            </w:r>
            <w:r>
              <w:rPr>
                <w:rFonts w:hint="eastAsia" w:ascii="仿宋_GB2312" w:hAnsi="仿宋_GB2312" w:cs="仿宋_GB2312"/>
                <w:color w:val="auto"/>
                <w:sz w:val="24"/>
                <w:szCs w:val="24"/>
                <w:lang w:eastAsia="zh-CN"/>
              </w:rPr>
              <w:t>：</w:t>
            </w:r>
            <w:r>
              <w:rPr>
                <w:rFonts w:hint="eastAsia" w:ascii="仿宋_GB2312" w:hAnsi="仿宋_GB2312" w:cs="仿宋_GB2312"/>
                <w:color w:val="auto"/>
                <w:kern w:val="2"/>
                <w:sz w:val="24"/>
                <w:szCs w:val="24"/>
                <w:lang w:val="en-US" w:eastAsia="zh-CN" w:bidi="ar-SA"/>
              </w:rPr>
              <w:t>干扰其他选手比赛、配置、环境、出现删除系统关键文件、修改系统权限、破坏系统等违规操作。根据是否属于意外、无意、有意、情节严重性酌情扣分。</w:t>
            </w:r>
          </w:p>
        </w:tc>
      </w:tr>
      <w:tr w14:paraId="5A18A383">
        <w:trPr>
          <w:trHeight w:val="454" w:hRule="atLeast"/>
          <w:jc w:val="center"/>
        </w:trPr>
        <w:tc>
          <w:tcPr>
            <w:tcW w:w="5000" w:type="pct"/>
            <w:gridSpan w:val="5"/>
            <w:tcBorders>
              <w:tl2br w:val="nil"/>
              <w:tr2bl w:val="nil"/>
            </w:tcBorders>
            <w:noWrap w:val="0"/>
            <w:vAlign w:val="center"/>
          </w:tcPr>
          <w:p w14:paraId="29E26E48">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否定项说明：若选手</w:t>
            </w:r>
            <w:r>
              <w:rPr>
                <w:rFonts w:hint="eastAsia" w:ascii="仿宋_GB2312" w:hAnsi="仿宋_GB2312" w:eastAsia="仿宋_GB2312" w:cs="仿宋_GB2312"/>
                <w:color w:val="auto"/>
                <w:sz w:val="24"/>
                <w:szCs w:val="24"/>
                <w:highlight w:val="none"/>
              </w:rPr>
              <w:t>发生下列情况之一，则应及时终止其竞赛。</w:t>
            </w:r>
          </w:p>
          <w:p w14:paraId="16CCDEA6">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(1)在操作过程中，</w:t>
            </w:r>
            <w:r>
              <w:rPr>
                <w:rFonts w:hint="eastAsia" w:ascii="仿宋_GB2312" w:hAnsi="仿宋_GB2312" w:cs="仿宋_GB2312"/>
                <w:color w:val="auto"/>
                <w:sz w:val="24"/>
                <w:szCs w:val="24"/>
                <w:highlight w:val="none"/>
                <w:lang w:val="en-US" w:eastAsia="zh-CN"/>
              </w:rPr>
              <w:t>恶意破坏软硬件设备导致平台崩溃</w:t>
            </w:r>
            <w:r>
              <w:rPr>
                <w:rFonts w:hint="eastAsia" w:ascii="仿宋_GB2312" w:hAnsi="仿宋_GB2312" w:eastAsia="仿宋_GB2312" w:cs="仿宋_GB2312"/>
                <w:color w:val="auto"/>
                <w:sz w:val="24"/>
                <w:szCs w:val="24"/>
                <w:highlight w:val="none"/>
              </w:rPr>
              <w:t>；</w:t>
            </w:r>
          </w:p>
          <w:p w14:paraId="41890C7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highlight w:val="none"/>
              </w:rPr>
              <w:t>(2)在操作过程中，</w:t>
            </w:r>
            <w:r>
              <w:rPr>
                <w:rFonts w:hint="eastAsia" w:ascii="仿宋_GB2312" w:hAnsi="仿宋_GB2312" w:cs="仿宋_GB2312"/>
                <w:color w:val="auto"/>
                <w:sz w:val="24"/>
                <w:szCs w:val="24"/>
                <w:highlight w:val="none"/>
                <w:lang w:val="en-US" w:eastAsia="zh-CN"/>
              </w:rPr>
              <w:t>恶意干扰孪生应用运行、破坏测试环境</w:t>
            </w:r>
            <w:r>
              <w:rPr>
                <w:rFonts w:hint="eastAsia" w:ascii="仿宋_GB2312" w:hAnsi="仿宋_GB2312" w:eastAsia="仿宋_GB2312" w:cs="仿宋_GB2312"/>
                <w:color w:val="auto"/>
                <w:sz w:val="24"/>
                <w:szCs w:val="24"/>
                <w:highlight w:val="none"/>
              </w:rPr>
              <w:t>。</w:t>
            </w:r>
          </w:p>
        </w:tc>
      </w:tr>
    </w:tbl>
    <w:p w14:paraId="68DD9FC2">
      <w:pPr>
        <w:pStyle w:val="5"/>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highlight w:val="none"/>
          <w:lang w:val="zh-CN" w:eastAsia="zh-CN"/>
        </w:rPr>
      </w:pPr>
      <w:r>
        <w:rPr>
          <w:rFonts w:hint="eastAsia" w:ascii="仿宋_GB2312" w:hAnsi="仿宋_GB2312" w:eastAsia="仿宋_GB2312" w:cs="仿宋_GB2312"/>
          <w:highlight w:val="none"/>
          <w:lang w:val="en-US" w:eastAsia="zh-CN"/>
        </w:rPr>
        <w:t>模块</w:t>
      </w:r>
      <w:r>
        <w:rPr>
          <w:rFonts w:hint="eastAsia" w:ascii="仿宋_GB2312" w:hAnsi="仿宋_GB2312" w:cs="仿宋_GB2312"/>
          <w:highlight w:val="none"/>
          <w:lang w:val="en-US" w:eastAsia="zh-CN"/>
        </w:rPr>
        <w:t>B</w:t>
      </w:r>
      <w:r>
        <w:rPr>
          <w:rFonts w:hint="eastAsia" w:ascii="仿宋_GB2312" w:hAnsi="仿宋_GB2312" w:eastAsia="仿宋_GB2312" w:cs="仿宋_GB2312"/>
          <w:highlight w:val="none"/>
          <w:lang w:val="zh-CN" w:eastAsia="zh-CN"/>
        </w:rPr>
        <w:t>评分标准</w:t>
      </w:r>
    </w:p>
    <w:tbl>
      <w:tblPr>
        <w:tblStyle w:val="10"/>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368"/>
        <w:gridCol w:w="1976"/>
        <w:gridCol w:w="703"/>
        <w:gridCol w:w="3996"/>
      </w:tblGrid>
      <w:tr w14:paraId="1BB883CC">
        <w:trPr>
          <w:trHeight w:val="454" w:hRule="atLeast"/>
          <w:jc w:val="center"/>
        </w:trPr>
        <w:tc>
          <w:tcPr>
            <w:tcW w:w="401" w:type="pct"/>
            <w:tcBorders>
              <w:tl2br w:val="nil"/>
              <w:tr2bl w:val="nil"/>
            </w:tcBorders>
            <w:noWrap w:val="0"/>
            <w:vAlign w:val="center"/>
          </w:tcPr>
          <w:p w14:paraId="0749DCC5">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序号</w:t>
            </w:r>
          </w:p>
        </w:tc>
        <w:tc>
          <w:tcPr>
            <w:tcW w:w="782" w:type="pct"/>
            <w:tcBorders>
              <w:tl2br w:val="nil"/>
              <w:tr2bl w:val="nil"/>
            </w:tcBorders>
            <w:noWrap w:val="0"/>
            <w:vAlign w:val="center"/>
          </w:tcPr>
          <w:p w14:paraId="5A02117C">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考核内容</w:t>
            </w:r>
          </w:p>
        </w:tc>
        <w:tc>
          <w:tcPr>
            <w:tcW w:w="1129" w:type="pct"/>
            <w:tcBorders>
              <w:tl2br w:val="nil"/>
              <w:tr2bl w:val="nil"/>
            </w:tcBorders>
            <w:noWrap w:val="0"/>
            <w:vAlign w:val="center"/>
          </w:tcPr>
          <w:p w14:paraId="479099E6">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考核要点</w:t>
            </w:r>
          </w:p>
        </w:tc>
        <w:tc>
          <w:tcPr>
            <w:tcW w:w="402" w:type="pct"/>
            <w:tcBorders>
              <w:tl2br w:val="nil"/>
              <w:tr2bl w:val="nil"/>
            </w:tcBorders>
            <w:noWrap w:val="0"/>
            <w:vAlign w:val="center"/>
          </w:tcPr>
          <w:p w14:paraId="4AB31B4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配分</w:t>
            </w:r>
          </w:p>
        </w:tc>
        <w:tc>
          <w:tcPr>
            <w:tcW w:w="2283" w:type="pct"/>
            <w:tcBorders>
              <w:tl2br w:val="nil"/>
              <w:tr2bl w:val="nil"/>
            </w:tcBorders>
            <w:noWrap w:val="0"/>
            <w:vAlign w:val="center"/>
          </w:tcPr>
          <w:p w14:paraId="17D41C5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评分标准</w:t>
            </w:r>
          </w:p>
        </w:tc>
      </w:tr>
      <w:tr w14:paraId="075EBBB3">
        <w:trPr>
          <w:trHeight w:val="454" w:hRule="atLeast"/>
          <w:jc w:val="center"/>
        </w:trPr>
        <w:tc>
          <w:tcPr>
            <w:tcW w:w="401" w:type="pct"/>
            <w:tcBorders>
              <w:tl2br w:val="nil"/>
              <w:tr2bl w:val="nil"/>
            </w:tcBorders>
            <w:noWrap w:val="0"/>
            <w:vAlign w:val="center"/>
          </w:tcPr>
          <w:p w14:paraId="60DB291B">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782" w:type="pct"/>
            <w:tcBorders>
              <w:tl2br w:val="nil"/>
              <w:tr2bl w:val="nil"/>
            </w:tcBorders>
            <w:noWrap w:val="0"/>
            <w:vAlign w:val="center"/>
          </w:tcPr>
          <w:p w14:paraId="2CAC7C8A">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测试方案准备</w:t>
            </w:r>
          </w:p>
        </w:tc>
        <w:tc>
          <w:tcPr>
            <w:tcW w:w="1129" w:type="pct"/>
            <w:tcBorders>
              <w:tl2br w:val="nil"/>
              <w:tr2bl w:val="nil"/>
            </w:tcBorders>
            <w:noWrap w:val="0"/>
            <w:vAlign w:val="center"/>
          </w:tcPr>
          <w:p w14:paraId="6838734E">
            <w:pPr>
              <w:keepNext w:val="0"/>
              <w:keepLines w:val="0"/>
              <w:pageBreakBefore w:val="0"/>
              <w:widowControl/>
              <w:suppressLineNumbers w:val="0"/>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能分析数字孪生应用测试文档</w:t>
            </w:r>
          </w:p>
        </w:tc>
        <w:tc>
          <w:tcPr>
            <w:tcW w:w="402" w:type="pct"/>
            <w:tcBorders>
              <w:tl2br w:val="nil"/>
              <w:tr2bl w:val="nil"/>
            </w:tcBorders>
            <w:noWrap w:val="0"/>
            <w:vAlign w:val="center"/>
          </w:tcPr>
          <w:p w14:paraId="4A202D6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2283" w:type="pct"/>
            <w:tcBorders>
              <w:tl2br w:val="nil"/>
              <w:tr2bl w:val="nil"/>
            </w:tcBorders>
            <w:noWrap w:val="0"/>
            <w:vAlign w:val="center"/>
          </w:tcPr>
          <w:p w14:paraId="56AD140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完整梳理需求、性能指标、接口规范得满分；关键信息遗漏酌情扣 </w:t>
            </w:r>
            <w:r>
              <w:rPr>
                <w:rFonts w:hint="eastAsia" w:ascii="仿宋_GB2312" w:hAnsi="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zh-CN" w:bidi="ar-SA"/>
              </w:rPr>
              <w:t xml:space="preserve"> 分，未分析 </w:t>
            </w:r>
            <w:r>
              <w:rPr>
                <w:rFonts w:hint="eastAsia" w:ascii="仿宋_GB2312" w:hAnsi="仿宋_GB2312" w:cs="仿宋_GB2312"/>
                <w:color w:val="auto"/>
                <w:kern w:val="2"/>
                <w:sz w:val="24"/>
                <w:szCs w:val="24"/>
                <w:lang w:val="en-US" w:eastAsia="zh-CN" w:bidi="ar-SA"/>
              </w:rPr>
              <w:t>2</w:t>
            </w:r>
            <w:r>
              <w:rPr>
                <w:rFonts w:hint="eastAsia" w:ascii="仿宋_GB2312" w:hAnsi="仿宋_GB2312" w:eastAsia="仿宋_GB2312" w:cs="仿宋_GB2312"/>
                <w:color w:val="auto"/>
                <w:kern w:val="2"/>
                <w:sz w:val="24"/>
                <w:szCs w:val="24"/>
                <w:lang w:val="en-US" w:eastAsia="zh-CN" w:bidi="ar-SA"/>
              </w:rPr>
              <w:t>分。</w:t>
            </w:r>
          </w:p>
        </w:tc>
      </w:tr>
      <w:tr w14:paraId="3B148F99">
        <w:trPr>
          <w:trHeight w:val="454" w:hRule="atLeast"/>
          <w:jc w:val="center"/>
        </w:trPr>
        <w:tc>
          <w:tcPr>
            <w:tcW w:w="401" w:type="pct"/>
            <w:tcBorders>
              <w:tl2br w:val="nil"/>
              <w:tr2bl w:val="nil"/>
            </w:tcBorders>
            <w:noWrap w:val="0"/>
            <w:vAlign w:val="center"/>
          </w:tcPr>
          <w:p w14:paraId="71C310DD">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782" w:type="pct"/>
            <w:tcBorders>
              <w:tl2br w:val="nil"/>
              <w:tr2bl w:val="nil"/>
            </w:tcBorders>
            <w:noWrap w:val="0"/>
            <w:vAlign w:val="center"/>
          </w:tcPr>
          <w:p w14:paraId="28414E28">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测试任务界定</w:t>
            </w:r>
          </w:p>
        </w:tc>
        <w:tc>
          <w:tcPr>
            <w:tcW w:w="1129" w:type="pct"/>
            <w:tcBorders>
              <w:tl2br w:val="nil"/>
              <w:tr2bl w:val="nil"/>
            </w:tcBorders>
            <w:noWrap w:val="0"/>
            <w:vAlign w:val="center"/>
          </w:tcPr>
          <w:p w14:paraId="1ADC64D5">
            <w:pPr>
              <w:pStyle w:val="5"/>
              <w:spacing w:line="0" w:lineRule="atLeas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描述数字孪生应用测试任务内容与边界</w:t>
            </w:r>
          </w:p>
          <w:p w14:paraId="7772A25B">
            <w:pPr>
              <w:keepNext w:val="0"/>
              <w:keepLines w:val="0"/>
              <w:pageBreakBefore w:val="0"/>
              <w:kinsoku/>
              <w:wordWrap w:val="0"/>
              <w:overflowPunct/>
              <w:topLinePunct w:val="0"/>
              <w:autoSpaceDE/>
              <w:autoSpaceDN/>
              <w:bidi w:val="0"/>
              <w:spacing w:line="0" w:lineRule="atLeast"/>
              <w:jc w:val="left"/>
              <w:rPr>
                <w:rFonts w:hint="eastAsia" w:ascii="仿宋_GB2312" w:hAnsi="仿宋_GB2312" w:eastAsia="仿宋_GB2312" w:cs="仿宋_GB2312"/>
                <w:color w:val="auto"/>
                <w:kern w:val="2"/>
                <w:sz w:val="24"/>
                <w:szCs w:val="24"/>
                <w:lang w:val="en-US" w:eastAsia="zh-CN" w:bidi="ar-SA"/>
              </w:rPr>
            </w:pPr>
          </w:p>
        </w:tc>
        <w:tc>
          <w:tcPr>
            <w:tcW w:w="402" w:type="pct"/>
            <w:tcBorders>
              <w:tl2br w:val="nil"/>
              <w:tr2bl w:val="nil"/>
            </w:tcBorders>
            <w:noWrap w:val="0"/>
            <w:vAlign w:val="center"/>
          </w:tcPr>
          <w:p w14:paraId="07F3852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2283" w:type="pct"/>
            <w:tcBorders>
              <w:tl2br w:val="nil"/>
              <w:tr2bl w:val="nil"/>
            </w:tcBorders>
            <w:noWrap w:val="0"/>
            <w:vAlign w:val="center"/>
          </w:tcPr>
          <w:p w14:paraId="1253A53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清晰划分功能测试、性能测试范围，明确测试边界与约束条件得满分；边界模糊、任务描述不全酌情扣</w:t>
            </w:r>
            <w:r>
              <w:rPr>
                <w:rFonts w:hint="eastAsia" w:ascii="仿宋_GB2312" w:hAnsi="仿宋_GB2312" w:cs="仿宋_GB2312"/>
                <w:color w:val="auto"/>
                <w:kern w:val="2"/>
                <w:sz w:val="24"/>
                <w:szCs w:val="24"/>
                <w:lang w:val="en-US" w:eastAsia="zh-CN" w:bidi="ar-SA"/>
              </w:rPr>
              <w:t>1-2</w:t>
            </w:r>
            <w:r>
              <w:rPr>
                <w:rFonts w:hint="eastAsia" w:ascii="仿宋_GB2312" w:hAnsi="仿宋_GB2312" w:eastAsia="仿宋_GB2312" w:cs="仿宋_GB2312"/>
                <w:color w:val="auto"/>
                <w:kern w:val="2"/>
                <w:sz w:val="24"/>
                <w:szCs w:val="24"/>
                <w:lang w:val="en-US" w:eastAsia="zh-CN" w:bidi="ar-SA"/>
              </w:rPr>
              <w:t>分。</w:t>
            </w:r>
          </w:p>
        </w:tc>
      </w:tr>
      <w:tr w14:paraId="066C292A">
        <w:trPr>
          <w:trHeight w:val="454" w:hRule="atLeast"/>
          <w:jc w:val="center"/>
        </w:trPr>
        <w:tc>
          <w:tcPr>
            <w:tcW w:w="401" w:type="pct"/>
            <w:vMerge w:val="restart"/>
            <w:tcBorders>
              <w:tl2br w:val="nil"/>
              <w:tr2bl w:val="nil"/>
            </w:tcBorders>
            <w:noWrap w:val="0"/>
            <w:vAlign w:val="center"/>
          </w:tcPr>
          <w:p w14:paraId="7D9E55C5">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782" w:type="pct"/>
            <w:vMerge w:val="restart"/>
            <w:tcBorders>
              <w:tl2br w:val="nil"/>
              <w:tr2bl w:val="nil"/>
            </w:tcBorders>
            <w:noWrap w:val="0"/>
            <w:vAlign w:val="center"/>
          </w:tcPr>
          <w:p w14:paraId="005AB8AF">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测试实施与数据分析</w:t>
            </w:r>
          </w:p>
        </w:tc>
        <w:tc>
          <w:tcPr>
            <w:tcW w:w="1129" w:type="pct"/>
            <w:tcBorders>
              <w:tl2br w:val="nil"/>
              <w:tr2bl w:val="nil"/>
            </w:tcBorders>
            <w:noWrap w:val="0"/>
            <w:vAlign w:val="center"/>
          </w:tcPr>
          <w:p w14:paraId="6B643674">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根据应用场景设计数字孪生应用测试用例</w:t>
            </w:r>
          </w:p>
        </w:tc>
        <w:tc>
          <w:tcPr>
            <w:tcW w:w="402" w:type="pct"/>
            <w:tcBorders>
              <w:tl2br w:val="nil"/>
              <w:tr2bl w:val="nil"/>
            </w:tcBorders>
            <w:noWrap w:val="0"/>
            <w:vAlign w:val="center"/>
          </w:tcPr>
          <w:p w14:paraId="18BB3E67">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283" w:type="pct"/>
            <w:tcBorders>
              <w:tl2br w:val="nil"/>
              <w:tr2bl w:val="nil"/>
            </w:tcBorders>
            <w:noWrap w:val="0"/>
            <w:vAlign w:val="center"/>
          </w:tcPr>
          <w:p w14:paraId="29D17D9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用例覆盖功能点、压力场景、异常场景，设计规范完整得满分；场景覆盖缺失、用例逻辑错误逐项扣</w:t>
            </w:r>
            <w:r>
              <w:rPr>
                <w:rFonts w:hint="eastAsia" w:ascii="仿宋_GB2312" w:hAnsi="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zh-CN" w:bidi="ar-SA"/>
              </w:rPr>
              <w:t>分。</w:t>
            </w:r>
          </w:p>
        </w:tc>
      </w:tr>
      <w:tr w14:paraId="2EBC1F26">
        <w:trPr>
          <w:trHeight w:val="454" w:hRule="atLeast"/>
          <w:jc w:val="center"/>
        </w:trPr>
        <w:tc>
          <w:tcPr>
            <w:tcW w:w="401" w:type="pct"/>
            <w:vMerge w:val="continue"/>
            <w:tcBorders>
              <w:tl2br w:val="nil"/>
              <w:tr2bl w:val="nil"/>
            </w:tcBorders>
            <w:noWrap w:val="0"/>
            <w:vAlign w:val="center"/>
          </w:tcPr>
          <w:p w14:paraId="69E983F4">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782" w:type="pct"/>
            <w:vMerge w:val="continue"/>
            <w:tcBorders>
              <w:tl2br w:val="nil"/>
              <w:tr2bl w:val="nil"/>
            </w:tcBorders>
            <w:noWrap w:val="0"/>
            <w:vAlign w:val="center"/>
          </w:tcPr>
          <w:p w14:paraId="535F791D">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29" w:type="pct"/>
            <w:tcBorders>
              <w:tl2br w:val="nil"/>
              <w:tr2bl w:val="nil"/>
            </w:tcBorders>
            <w:noWrap w:val="0"/>
            <w:vAlign w:val="center"/>
          </w:tcPr>
          <w:p w14:paraId="5261695C">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提取、清洗和筛选数字孪生应用测试数据</w:t>
            </w:r>
          </w:p>
        </w:tc>
        <w:tc>
          <w:tcPr>
            <w:tcW w:w="402" w:type="pct"/>
            <w:tcBorders>
              <w:tl2br w:val="nil"/>
              <w:tr2bl w:val="nil"/>
            </w:tcBorders>
            <w:noWrap w:val="0"/>
            <w:vAlign w:val="center"/>
          </w:tcPr>
          <w:p w14:paraId="08CD0E71">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283" w:type="pct"/>
            <w:tcBorders>
              <w:tl2br w:val="nil"/>
              <w:tr2bl w:val="nil"/>
            </w:tcBorders>
            <w:noWrap w:val="0"/>
            <w:vAlign w:val="center"/>
          </w:tcPr>
          <w:p w14:paraId="31BBF34A">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有效过滤无效数据、异常噪点，数据样本满足测试要求得满分；数据未清洗、样本失真酌情扣</w:t>
            </w:r>
            <w:r>
              <w:rPr>
                <w:rFonts w:hint="eastAsia" w:ascii="仿宋_GB2312" w:hAnsi="仿宋_GB2312" w:cs="仿宋_GB2312"/>
                <w:color w:val="auto"/>
                <w:kern w:val="2"/>
                <w:sz w:val="24"/>
                <w:szCs w:val="24"/>
                <w:lang w:val="en-US" w:eastAsia="zh-CN" w:bidi="ar-SA"/>
              </w:rPr>
              <w:t>1-2</w:t>
            </w:r>
            <w:r>
              <w:rPr>
                <w:rFonts w:hint="eastAsia" w:ascii="仿宋_GB2312" w:hAnsi="仿宋_GB2312" w:eastAsia="仿宋_GB2312" w:cs="仿宋_GB2312"/>
                <w:color w:val="auto"/>
                <w:kern w:val="2"/>
                <w:sz w:val="24"/>
                <w:szCs w:val="24"/>
                <w:lang w:val="en-US" w:eastAsia="zh-CN" w:bidi="ar-SA"/>
              </w:rPr>
              <w:t>分。</w:t>
            </w:r>
          </w:p>
        </w:tc>
      </w:tr>
      <w:tr w14:paraId="268E8246">
        <w:trPr>
          <w:trHeight w:val="454" w:hRule="atLeast"/>
          <w:jc w:val="center"/>
        </w:trPr>
        <w:tc>
          <w:tcPr>
            <w:tcW w:w="401" w:type="pct"/>
            <w:vMerge w:val="continue"/>
            <w:tcBorders>
              <w:tl2br w:val="nil"/>
              <w:tr2bl w:val="nil"/>
            </w:tcBorders>
            <w:noWrap w:val="0"/>
            <w:vAlign w:val="center"/>
          </w:tcPr>
          <w:p w14:paraId="35F1E14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782" w:type="pct"/>
            <w:vMerge w:val="continue"/>
            <w:tcBorders>
              <w:tl2br w:val="nil"/>
              <w:tr2bl w:val="nil"/>
            </w:tcBorders>
            <w:noWrap w:val="0"/>
            <w:vAlign w:val="center"/>
          </w:tcPr>
          <w:p w14:paraId="4A530623">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29" w:type="pct"/>
            <w:tcBorders>
              <w:tl2br w:val="nil"/>
              <w:tr2bl w:val="nil"/>
            </w:tcBorders>
            <w:noWrap w:val="0"/>
            <w:vAlign w:val="center"/>
          </w:tcPr>
          <w:p w14:paraId="5B0976FF">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能按要求统计、分类与整理数字孪生应用测试数据</w:t>
            </w:r>
          </w:p>
        </w:tc>
        <w:tc>
          <w:tcPr>
            <w:tcW w:w="402" w:type="pct"/>
            <w:tcBorders>
              <w:tl2br w:val="nil"/>
              <w:tr2bl w:val="nil"/>
            </w:tcBorders>
            <w:noWrap w:val="0"/>
            <w:vAlign w:val="center"/>
          </w:tcPr>
          <w:p w14:paraId="78410B1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283" w:type="pct"/>
            <w:tcBorders>
              <w:tl2br w:val="nil"/>
              <w:tr2bl w:val="nil"/>
            </w:tcBorders>
            <w:noWrap w:val="0"/>
            <w:vAlign w:val="center"/>
          </w:tcPr>
          <w:p w14:paraId="3B826E5B">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规范统计渲染帧率、时延、资源占用等指标，数据分类清晰，图表规范得满分；统计错误、整理混乱酌情扣</w:t>
            </w:r>
            <w:r>
              <w:rPr>
                <w:rFonts w:hint="eastAsia" w:ascii="仿宋_GB2312" w:hAnsi="仿宋_GB2312" w:cs="仿宋_GB2312"/>
                <w:color w:val="auto"/>
                <w:kern w:val="2"/>
                <w:sz w:val="24"/>
                <w:szCs w:val="24"/>
                <w:lang w:val="en-US" w:eastAsia="zh-CN" w:bidi="ar-SA"/>
              </w:rPr>
              <w:t>1-3</w:t>
            </w:r>
            <w:r>
              <w:rPr>
                <w:rFonts w:hint="eastAsia" w:ascii="仿宋_GB2312" w:hAnsi="仿宋_GB2312" w:eastAsia="仿宋_GB2312" w:cs="仿宋_GB2312"/>
                <w:color w:val="auto"/>
                <w:kern w:val="2"/>
                <w:sz w:val="24"/>
                <w:szCs w:val="24"/>
                <w:lang w:val="en-US" w:eastAsia="zh-CN" w:bidi="ar-SA"/>
              </w:rPr>
              <w:t>分。</w:t>
            </w:r>
          </w:p>
        </w:tc>
      </w:tr>
      <w:tr w14:paraId="21932C38">
        <w:trPr>
          <w:trHeight w:val="454" w:hRule="atLeast"/>
          <w:jc w:val="center"/>
        </w:trPr>
        <w:tc>
          <w:tcPr>
            <w:tcW w:w="401" w:type="pct"/>
            <w:vMerge w:val="continue"/>
            <w:tcBorders>
              <w:tl2br w:val="nil"/>
              <w:tr2bl w:val="nil"/>
            </w:tcBorders>
            <w:noWrap w:val="0"/>
            <w:vAlign w:val="center"/>
          </w:tcPr>
          <w:p w14:paraId="2A4CAB07">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782" w:type="pct"/>
            <w:vMerge w:val="continue"/>
            <w:tcBorders>
              <w:tl2br w:val="nil"/>
              <w:tr2bl w:val="nil"/>
            </w:tcBorders>
            <w:noWrap w:val="0"/>
            <w:vAlign w:val="center"/>
          </w:tcPr>
          <w:p w14:paraId="7462BF6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29" w:type="pct"/>
            <w:tcBorders>
              <w:tl2br w:val="nil"/>
              <w:tr2bl w:val="nil"/>
            </w:tcBorders>
            <w:noWrap w:val="0"/>
            <w:vAlign w:val="center"/>
          </w:tcPr>
          <w:p w14:paraId="39576BD4">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能撰写数字孪生应用测试报告</w:t>
            </w:r>
          </w:p>
        </w:tc>
        <w:tc>
          <w:tcPr>
            <w:tcW w:w="402" w:type="pct"/>
            <w:tcBorders>
              <w:tl2br w:val="nil"/>
              <w:tr2bl w:val="nil"/>
            </w:tcBorders>
            <w:noWrap w:val="0"/>
            <w:vAlign w:val="center"/>
          </w:tcPr>
          <w:p w14:paraId="5433A92B">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283" w:type="pct"/>
            <w:tcBorders>
              <w:tl2br w:val="nil"/>
              <w:tr2bl w:val="nil"/>
            </w:tcBorders>
            <w:noWrap w:val="0"/>
            <w:vAlign w:val="center"/>
          </w:tcPr>
          <w:p w14:paraId="6088D9C2">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报告包含测试环境、测试过程、指标结果、问题分析、优化建议，要素齐全满分；缺少核心结论、问题分析缺失酌情扣 </w:t>
            </w:r>
            <w:r>
              <w:rPr>
                <w:rFonts w:hint="eastAsia" w:ascii="仿宋_GB2312" w:hAnsi="仿宋_GB2312" w:cs="仿宋_GB2312"/>
                <w:color w:val="auto"/>
                <w:kern w:val="2"/>
                <w:sz w:val="24"/>
                <w:szCs w:val="24"/>
                <w:lang w:val="en-US" w:eastAsia="zh-CN" w:bidi="ar-SA"/>
              </w:rPr>
              <w:t>1-3</w:t>
            </w:r>
            <w:r>
              <w:rPr>
                <w:rFonts w:hint="eastAsia" w:ascii="仿宋_GB2312" w:hAnsi="仿宋_GB2312" w:eastAsia="仿宋_GB2312" w:cs="仿宋_GB2312"/>
                <w:color w:val="auto"/>
                <w:kern w:val="2"/>
                <w:sz w:val="24"/>
                <w:szCs w:val="24"/>
                <w:lang w:val="en-US" w:eastAsia="zh-CN" w:bidi="ar-SA"/>
              </w:rPr>
              <w:t xml:space="preserve"> 分。</w:t>
            </w:r>
          </w:p>
        </w:tc>
      </w:tr>
      <w:tr w14:paraId="4F996E13">
        <w:trPr>
          <w:trHeight w:val="454" w:hRule="atLeast"/>
          <w:jc w:val="center"/>
        </w:trPr>
        <w:tc>
          <w:tcPr>
            <w:tcW w:w="2313" w:type="pct"/>
            <w:gridSpan w:val="3"/>
            <w:tcBorders>
              <w:tl2br w:val="nil"/>
              <w:tr2bl w:val="nil"/>
            </w:tcBorders>
            <w:noWrap w:val="0"/>
            <w:vAlign w:val="center"/>
          </w:tcPr>
          <w:p w14:paraId="2126B1B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02" w:type="pct"/>
            <w:tcBorders>
              <w:tl2br w:val="nil"/>
              <w:tr2bl w:val="nil"/>
            </w:tcBorders>
            <w:noWrap w:val="0"/>
            <w:vAlign w:val="center"/>
          </w:tcPr>
          <w:p w14:paraId="65B6DF8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25</w:t>
            </w:r>
          </w:p>
        </w:tc>
        <w:tc>
          <w:tcPr>
            <w:tcW w:w="2283" w:type="pct"/>
            <w:tcBorders>
              <w:tl2br w:val="nil"/>
              <w:tr2bl w:val="nil"/>
            </w:tcBorders>
            <w:noWrap w:val="0"/>
            <w:vAlign w:val="center"/>
          </w:tcPr>
          <w:p w14:paraId="7250A4B1">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r w14:paraId="5475EBA9">
        <w:trPr>
          <w:trHeight w:val="454" w:hRule="atLeast"/>
          <w:jc w:val="center"/>
        </w:trPr>
        <w:tc>
          <w:tcPr>
            <w:tcW w:w="5000" w:type="pct"/>
            <w:gridSpan w:val="5"/>
            <w:tcBorders>
              <w:tl2br w:val="nil"/>
              <w:tr2bl w:val="nil"/>
            </w:tcBorders>
            <w:noWrap w:val="0"/>
            <w:vAlign w:val="center"/>
          </w:tcPr>
          <w:p w14:paraId="5A52C15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cs="仿宋_GB2312"/>
                <w:color w:val="auto"/>
                <w:sz w:val="24"/>
                <w:szCs w:val="24"/>
                <w:lang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kern w:val="2"/>
                <w:sz w:val="24"/>
                <w:szCs w:val="24"/>
                <w:lang w:val="en-US" w:eastAsia="zh-CN" w:bidi="ar-SA"/>
              </w:rPr>
              <w:t>时间要求：</w:t>
            </w:r>
            <w:r>
              <w:rPr>
                <w:rFonts w:hint="eastAsia" w:ascii="仿宋_GB2312" w:hAnsi="仿宋_GB2312" w:eastAsia="仿宋_GB2312" w:cs="仿宋_GB2312"/>
                <w:color w:val="auto"/>
                <w:sz w:val="24"/>
                <w:szCs w:val="24"/>
                <w:highlight w:val="none"/>
              </w:rPr>
              <w:t>考核规定时间为</w:t>
            </w:r>
            <w:r>
              <w:rPr>
                <w:rFonts w:hint="eastAsia" w:ascii="仿宋_GB2312" w:hAnsi="仿宋_GB2312" w:cs="仿宋_GB2312"/>
                <w:color w:val="auto"/>
                <w:sz w:val="24"/>
                <w:szCs w:val="24"/>
                <w:highlight w:val="none"/>
                <w:lang w:val="en-US" w:eastAsia="zh-CN"/>
              </w:rPr>
              <w:t>60</w:t>
            </w:r>
            <w:r>
              <w:rPr>
                <w:rFonts w:hint="eastAsia" w:ascii="仿宋_GB2312" w:hAnsi="仿宋_GB2312" w:eastAsia="仿宋_GB2312" w:cs="仿宋_GB2312"/>
                <w:color w:val="auto"/>
                <w:sz w:val="24"/>
                <w:szCs w:val="24"/>
                <w:highlight w:val="none"/>
              </w:rPr>
              <w:t>分钟，超时</w:t>
            </w:r>
            <w:r>
              <w:rPr>
                <w:rFonts w:hint="eastAsia" w:ascii="仿宋_GB2312" w:hAnsi="仿宋_GB2312" w:eastAsia="仿宋_GB2312" w:cs="仿宋_GB2312"/>
                <w:color w:val="auto"/>
                <w:sz w:val="24"/>
                <w:szCs w:val="24"/>
              </w:rPr>
              <w:t>立即终止操作，未完成操作</w:t>
            </w:r>
            <w:r>
              <w:rPr>
                <w:rFonts w:hint="eastAsia" w:ascii="仿宋_GB2312" w:hAnsi="仿宋_GB2312" w:cs="仿宋_GB2312"/>
                <w:color w:val="auto"/>
                <w:sz w:val="24"/>
                <w:szCs w:val="24"/>
                <w:lang w:eastAsia="zh-CN"/>
              </w:rPr>
              <w:t>的</w:t>
            </w:r>
            <w:r>
              <w:rPr>
                <w:rFonts w:hint="eastAsia" w:ascii="仿宋_GB2312" w:hAnsi="仿宋_GB2312" w:cs="仿宋_GB2312"/>
                <w:color w:val="auto"/>
                <w:sz w:val="24"/>
                <w:szCs w:val="24"/>
                <w:lang w:val="en-US" w:eastAsia="zh-CN"/>
              </w:rPr>
              <w:t>部分</w:t>
            </w:r>
            <w:r>
              <w:rPr>
                <w:rFonts w:hint="eastAsia" w:ascii="仿宋_GB2312" w:hAnsi="仿宋_GB2312" w:eastAsia="仿宋_GB2312" w:cs="仿宋_GB2312"/>
                <w:color w:val="auto"/>
                <w:sz w:val="24"/>
                <w:szCs w:val="24"/>
              </w:rPr>
              <w:t>不计分</w:t>
            </w:r>
            <w:r>
              <w:rPr>
                <w:rFonts w:hint="eastAsia" w:ascii="仿宋_GB2312" w:hAnsi="仿宋_GB2312" w:cs="仿宋_GB2312"/>
                <w:color w:val="auto"/>
                <w:sz w:val="24"/>
                <w:szCs w:val="24"/>
                <w:lang w:eastAsia="zh-CN"/>
              </w:rPr>
              <w:t>。</w:t>
            </w:r>
          </w:p>
          <w:p w14:paraId="21F0F2E4">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cs="仿宋_GB2312"/>
                <w:color w:val="0000FF"/>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cs="仿宋_GB2312"/>
                <w:color w:val="auto"/>
                <w:sz w:val="24"/>
                <w:szCs w:val="24"/>
                <w:lang w:val="en-US" w:eastAsia="zh-CN"/>
              </w:rPr>
              <w:t>2</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2"/>
                <w:sz w:val="24"/>
                <w:szCs w:val="24"/>
                <w:lang w:val="en-US" w:eastAsia="zh-CN" w:bidi="ar-SA"/>
              </w:rPr>
              <w:t>特殊扣分项</w:t>
            </w:r>
            <w:r>
              <w:rPr>
                <w:rFonts w:hint="eastAsia" w:ascii="仿宋_GB2312" w:hAnsi="仿宋_GB2312" w:cs="仿宋_GB2312"/>
                <w:color w:val="auto"/>
                <w:kern w:val="2"/>
                <w:sz w:val="24"/>
                <w:szCs w:val="24"/>
                <w:lang w:val="en-US" w:eastAsia="zh-CN" w:bidi="ar-SA"/>
              </w:rPr>
              <w:t>：干扰其他选手比赛、配置、环境、出现删除系统关键文件、修改系统权限、破坏系统等违规操作、</w:t>
            </w:r>
            <w:r>
              <w:rPr>
                <w:rFonts w:hint="eastAsia" w:ascii="仿宋_GB2312" w:hAnsi="仿宋_GB2312" w:eastAsia="仿宋_GB2312" w:cs="仿宋_GB2312"/>
                <w:color w:val="auto"/>
                <w:kern w:val="2"/>
                <w:sz w:val="24"/>
                <w:szCs w:val="24"/>
                <w:lang w:val="en-US" w:eastAsia="zh-CN" w:bidi="ar-SA"/>
              </w:rPr>
              <w:t>伪造测试数据、篡改测试结果</w:t>
            </w:r>
            <w:r>
              <w:rPr>
                <w:rFonts w:hint="eastAsia" w:ascii="仿宋_GB2312" w:hAnsi="仿宋_GB2312" w:cs="仿宋_GB2312"/>
                <w:color w:val="auto"/>
                <w:kern w:val="2"/>
                <w:sz w:val="24"/>
                <w:szCs w:val="24"/>
                <w:lang w:val="en-US" w:eastAsia="zh-CN" w:bidi="ar-SA"/>
              </w:rPr>
              <w:t>。根据是否属于意外、无意、有意、情节严重性酌情扣分。</w:t>
            </w:r>
          </w:p>
        </w:tc>
      </w:tr>
      <w:tr w14:paraId="733586BD">
        <w:trPr>
          <w:trHeight w:val="454" w:hRule="atLeast"/>
          <w:jc w:val="center"/>
        </w:trPr>
        <w:tc>
          <w:tcPr>
            <w:tcW w:w="5000" w:type="pct"/>
            <w:gridSpan w:val="5"/>
            <w:tcBorders>
              <w:tl2br w:val="nil"/>
              <w:tr2bl w:val="nil"/>
            </w:tcBorders>
            <w:noWrap w:val="0"/>
            <w:vAlign w:val="center"/>
          </w:tcPr>
          <w:p w14:paraId="428BC181">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否定项说明：若选手发生下列情况之一，则应及时终止其竞赛。</w:t>
            </w:r>
          </w:p>
          <w:p w14:paraId="391EDCF5">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(1)在操作过程中</w:t>
            </w:r>
            <w:r>
              <w:rPr>
                <w:rFonts w:hint="eastAsia" w:ascii="仿宋_GB2312" w:hAnsi="仿宋_GB2312" w:eastAsia="仿宋_GB2312" w:cs="仿宋_GB2312"/>
                <w:color w:val="auto"/>
                <w:sz w:val="24"/>
                <w:szCs w:val="24"/>
                <w:highlight w:val="none"/>
              </w:rPr>
              <w:t>，</w:t>
            </w:r>
            <w:r>
              <w:rPr>
                <w:rFonts w:hint="eastAsia" w:ascii="仿宋_GB2312" w:hAnsi="仿宋_GB2312" w:cs="仿宋_GB2312"/>
                <w:color w:val="auto"/>
                <w:sz w:val="24"/>
                <w:szCs w:val="24"/>
                <w:highlight w:val="none"/>
                <w:lang w:val="en-US" w:eastAsia="zh-CN"/>
              </w:rPr>
              <w:t>恶意破坏软硬件设备导致平台崩溃</w:t>
            </w:r>
            <w:r>
              <w:rPr>
                <w:rFonts w:hint="eastAsia" w:ascii="仿宋_GB2312" w:hAnsi="仿宋_GB2312" w:eastAsia="仿宋_GB2312" w:cs="仿宋_GB2312"/>
                <w:color w:val="auto"/>
                <w:sz w:val="24"/>
                <w:szCs w:val="24"/>
                <w:highlight w:val="none"/>
              </w:rPr>
              <w:t>；</w:t>
            </w:r>
          </w:p>
          <w:p w14:paraId="5389518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highlight w:val="none"/>
              </w:rPr>
              <w:t>(2)在操作过程中，</w:t>
            </w:r>
            <w:r>
              <w:rPr>
                <w:rFonts w:hint="eastAsia" w:ascii="仿宋_GB2312" w:hAnsi="仿宋_GB2312" w:cs="仿宋_GB2312"/>
                <w:color w:val="auto"/>
                <w:sz w:val="24"/>
                <w:szCs w:val="24"/>
                <w:highlight w:val="none"/>
                <w:lang w:val="en-US" w:eastAsia="zh-CN"/>
              </w:rPr>
              <w:t>恶意干扰孪生应用运行、破坏测试环境</w:t>
            </w:r>
            <w:r>
              <w:rPr>
                <w:rFonts w:hint="eastAsia" w:ascii="仿宋_GB2312" w:hAnsi="仿宋_GB2312" w:eastAsia="仿宋_GB2312" w:cs="仿宋_GB2312"/>
                <w:color w:val="auto"/>
                <w:sz w:val="24"/>
                <w:szCs w:val="24"/>
                <w:highlight w:val="none"/>
              </w:rPr>
              <w:t>。</w:t>
            </w:r>
          </w:p>
        </w:tc>
      </w:tr>
    </w:tbl>
    <w:p w14:paraId="0E1CFD0F">
      <w:pPr>
        <w:pStyle w:val="2"/>
        <w:ind w:left="0" w:leftChars="0" w:firstLine="0" w:firstLineChars="0"/>
        <w:jc w:val="center"/>
        <w:rPr>
          <w:rFonts w:hint="eastAsia"/>
          <w:lang w:val="en-US" w:eastAsia="zh-CN"/>
        </w:rPr>
      </w:pPr>
      <w:r>
        <w:rPr>
          <w:rFonts w:hint="eastAsia" w:ascii="仿宋_GB2312" w:hAnsi="仿宋_GB2312" w:eastAsia="仿宋_GB2312" w:cs="仿宋_GB2312"/>
          <w:highlight w:val="none"/>
          <w:lang w:val="en-US" w:eastAsia="zh-CN"/>
        </w:rPr>
        <w:t>模块</w:t>
      </w:r>
      <w:r>
        <w:rPr>
          <w:rFonts w:hint="eastAsia" w:ascii="仿宋_GB2312" w:hAnsi="仿宋_GB2312" w:cs="仿宋_GB2312"/>
          <w:highlight w:val="none"/>
          <w:lang w:val="en-US" w:eastAsia="zh-CN"/>
        </w:rPr>
        <w:t>C</w:t>
      </w:r>
      <w:r>
        <w:rPr>
          <w:rFonts w:hint="eastAsia" w:ascii="仿宋_GB2312" w:hAnsi="仿宋_GB2312" w:eastAsia="仿宋_GB2312" w:cs="仿宋_GB2312"/>
          <w:highlight w:val="none"/>
          <w:lang w:val="zh-CN" w:eastAsia="zh-CN"/>
        </w:rPr>
        <w:t>评分标准</w:t>
      </w:r>
    </w:p>
    <w:tbl>
      <w:tblPr>
        <w:tblStyle w:val="10"/>
        <w:tblW w:w="50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493"/>
        <w:gridCol w:w="2039"/>
        <w:gridCol w:w="847"/>
        <w:gridCol w:w="3506"/>
      </w:tblGrid>
      <w:tr w14:paraId="7EB14526">
        <w:trPr>
          <w:trHeight w:val="454" w:hRule="atLeast"/>
          <w:jc w:val="center"/>
        </w:trPr>
        <w:tc>
          <w:tcPr>
            <w:tcW w:w="422" w:type="pct"/>
            <w:tcBorders>
              <w:tl2br w:val="nil"/>
              <w:tr2bl w:val="nil"/>
            </w:tcBorders>
            <w:noWrap w:val="0"/>
            <w:vAlign w:val="center"/>
          </w:tcPr>
          <w:p w14:paraId="2FF67F5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序号</w:t>
            </w:r>
          </w:p>
        </w:tc>
        <w:tc>
          <w:tcPr>
            <w:tcW w:w="867" w:type="pct"/>
            <w:tcBorders>
              <w:tl2br w:val="nil"/>
              <w:tr2bl w:val="nil"/>
            </w:tcBorders>
            <w:noWrap w:val="0"/>
            <w:vAlign w:val="center"/>
          </w:tcPr>
          <w:p w14:paraId="4C19639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考核内容</w:t>
            </w:r>
          </w:p>
        </w:tc>
        <w:tc>
          <w:tcPr>
            <w:tcW w:w="1183" w:type="pct"/>
            <w:tcBorders>
              <w:tl2br w:val="nil"/>
              <w:tr2bl w:val="nil"/>
            </w:tcBorders>
            <w:noWrap w:val="0"/>
            <w:vAlign w:val="center"/>
          </w:tcPr>
          <w:p w14:paraId="5F6D7AD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考核要点</w:t>
            </w:r>
          </w:p>
        </w:tc>
        <w:tc>
          <w:tcPr>
            <w:tcW w:w="492" w:type="pct"/>
            <w:tcBorders>
              <w:tl2br w:val="nil"/>
              <w:tr2bl w:val="nil"/>
            </w:tcBorders>
            <w:noWrap w:val="0"/>
            <w:vAlign w:val="center"/>
          </w:tcPr>
          <w:p w14:paraId="412D587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配分</w:t>
            </w:r>
          </w:p>
        </w:tc>
        <w:tc>
          <w:tcPr>
            <w:tcW w:w="2033" w:type="pct"/>
            <w:tcBorders>
              <w:tl2br w:val="nil"/>
              <w:tr2bl w:val="nil"/>
            </w:tcBorders>
            <w:noWrap w:val="0"/>
            <w:vAlign w:val="center"/>
          </w:tcPr>
          <w:p w14:paraId="252431D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评分标准</w:t>
            </w:r>
          </w:p>
        </w:tc>
      </w:tr>
      <w:tr w14:paraId="516D4856">
        <w:trPr>
          <w:trHeight w:val="454" w:hRule="atLeast"/>
          <w:jc w:val="center"/>
        </w:trPr>
        <w:tc>
          <w:tcPr>
            <w:tcW w:w="422" w:type="pct"/>
            <w:tcBorders>
              <w:tl2br w:val="nil"/>
              <w:tr2bl w:val="nil"/>
            </w:tcBorders>
            <w:noWrap w:val="0"/>
            <w:vAlign w:val="center"/>
          </w:tcPr>
          <w:p w14:paraId="1DA5EB5A">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1</w:t>
            </w:r>
          </w:p>
        </w:tc>
        <w:tc>
          <w:tcPr>
            <w:tcW w:w="867" w:type="pct"/>
            <w:tcBorders>
              <w:tl2br w:val="nil"/>
              <w:tr2bl w:val="nil"/>
            </w:tcBorders>
            <w:noWrap w:val="0"/>
            <w:vAlign w:val="center"/>
          </w:tcPr>
          <w:p w14:paraId="70D34552">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参数配置</w:t>
            </w:r>
          </w:p>
        </w:tc>
        <w:tc>
          <w:tcPr>
            <w:tcW w:w="1183" w:type="pct"/>
            <w:tcBorders>
              <w:tl2br w:val="nil"/>
              <w:tr2bl w:val="nil"/>
            </w:tcBorders>
            <w:noWrap w:val="0"/>
            <w:vAlign w:val="center"/>
          </w:tcPr>
          <w:p w14:paraId="5EB7C6CA">
            <w:pPr>
              <w:pStyle w:val="5"/>
              <w:spacing w:line="0" w:lineRule="atLeas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能设定数字孪生应用的控制参数</w:t>
            </w:r>
          </w:p>
        </w:tc>
        <w:tc>
          <w:tcPr>
            <w:tcW w:w="492" w:type="pct"/>
            <w:tcBorders>
              <w:tl2br w:val="nil"/>
              <w:tr2bl w:val="nil"/>
            </w:tcBorders>
            <w:noWrap w:val="0"/>
            <w:vAlign w:val="center"/>
          </w:tcPr>
          <w:p w14:paraId="3C61309B">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8</w:t>
            </w:r>
          </w:p>
        </w:tc>
        <w:tc>
          <w:tcPr>
            <w:tcW w:w="2033" w:type="pct"/>
            <w:tcBorders>
              <w:tl2br w:val="nil"/>
              <w:tr2bl w:val="nil"/>
            </w:tcBorders>
            <w:noWrap w:val="0"/>
            <w:vAlign w:val="center"/>
          </w:tcPr>
          <w:p w14:paraId="085C5CE4">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参数设置符合业务仿真要求，配置生效满分；参数设置错误、无法正常加载仿真场景酌情扣</w:t>
            </w:r>
            <w:r>
              <w:rPr>
                <w:rFonts w:hint="eastAsia" w:ascii="仿宋_GB2312" w:hAnsi="仿宋_GB2312" w:cs="仿宋_GB2312"/>
                <w:color w:val="auto"/>
                <w:kern w:val="2"/>
                <w:sz w:val="24"/>
                <w:szCs w:val="24"/>
                <w:lang w:val="en-US" w:eastAsia="zh-CN" w:bidi="ar-SA"/>
              </w:rPr>
              <w:t>4-8</w:t>
            </w:r>
            <w:r>
              <w:rPr>
                <w:rFonts w:hint="eastAsia" w:ascii="仿宋_GB2312" w:hAnsi="仿宋_GB2312" w:eastAsia="仿宋_GB2312" w:cs="仿宋_GB2312"/>
                <w:color w:val="auto"/>
                <w:kern w:val="2"/>
                <w:sz w:val="24"/>
                <w:szCs w:val="24"/>
                <w:lang w:val="en-US" w:eastAsia="zh-CN" w:bidi="ar-SA"/>
              </w:rPr>
              <w:t xml:space="preserve"> 分，未操作 0 分。</w:t>
            </w:r>
          </w:p>
        </w:tc>
      </w:tr>
      <w:tr w14:paraId="3E0F509E">
        <w:trPr>
          <w:trHeight w:val="454" w:hRule="atLeast"/>
          <w:jc w:val="center"/>
        </w:trPr>
        <w:tc>
          <w:tcPr>
            <w:tcW w:w="422" w:type="pct"/>
            <w:tcBorders>
              <w:tl2br w:val="nil"/>
              <w:tr2bl w:val="nil"/>
            </w:tcBorders>
            <w:noWrap w:val="0"/>
            <w:vAlign w:val="center"/>
          </w:tcPr>
          <w:p w14:paraId="25CD18C7">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2</w:t>
            </w:r>
          </w:p>
        </w:tc>
        <w:tc>
          <w:tcPr>
            <w:tcW w:w="867" w:type="pct"/>
            <w:tcBorders>
              <w:tl2br w:val="nil"/>
              <w:tr2bl w:val="nil"/>
            </w:tcBorders>
            <w:noWrap w:val="0"/>
            <w:vAlign w:val="center"/>
          </w:tcPr>
          <w:p w14:paraId="75C922A8">
            <w:pPr>
              <w:pStyle w:val="9"/>
              <w:keepNext w:val="0"/>
              <w:keepLines w:val="0"/>
              <w:pageBreakBefore w:val="0"/>
              <w:kinsoku/>
              <w:wordWrap w:val="0"/>
              <w:overflowPunct/>
              <w:topLinePunct w:val="0"/>
              <w:autoSpaceDE/>
              <w:autoSpaceDN/>
              <w:bidi w:val="0"/>
              <w:spacing w:line="0" w:lineRule="atLeast"/>
              <w:ind w:left="0" w:leftChars="0" w:firstLine="0" w:firstLineChars="0"/>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安全管控</w:t>
            </w:r>
          </w:p>
        </w:tc>
        <w:tc>
          <w:tcPr>
            <w:tcW w:w="1183" w:type="pct"/>
            <w:tcBorders>
              <w:tl2br w:val="nil"/>
              <w:tr2bl w:val="nil"/>
            </w:tcBorders>
            <w:noWrap w:val="0"/>
            <w:vAlign w:val="center"/>
          </w:tcPr>
          <w:p w14:paraId="04FE7E9A">
            <w:pPr>
              <w:pStyle w:val="5"/>
              <w:spacing w:line="0" w:lineRule="atLeas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能采用急停操作等安全控制措施</w:t>
            </w:r>
          </w:p>
        </w:tc>
        <w:tc>
          <w:tcPr>
            <w:tcW w:w="492" w:type="pct"/>
            <w:tcBorders>
              <w:tl2br w:val="nil"/>
              <w:tr2bl w:val="nil"/>
            </w:tcBorders>
            <w:noWrap w:val="0"/>
            <w:vAlign w:val="center"/>
          </w:tcPr>
          <w:p w14:paraId="49DA774F">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033" w:type="pct"/>
            <w:tcBorders>
              <w:tl2br w:val="nil"/>
              <w:tr2bl w:val="nil"/>
            </w:tcBorders>
            <w:noWrap w:val="0"/>
            <w:vAlign w:val="center"/>
          </w:tcPr>
          <w:p w14:paraId="03D73ED2">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准确识别风险工况，规范执行急停、场景锁定等安全操作满分；操作时机错误、安全处置流程缺失扣</w:t>
            </w:r>
            <w:r>
              <w:rPr>
                <w:rFonts w:hint="eastAsia" w:ascii="仿宋_GB2312" w:hAnsi="仿宋_GB2312" w:cs="仿宋_GB2312"/>
                <w:color w:val="auto"/>
                <w:kern w:val="2"/>
                <w:sz w:val="24"/>
                <w:szCs w:val="24"/>
                <w:lang w:val="en-US" w:eastAsia="zh-CN" w:bidi="ar-SA"/>
              </w:rPr>
              <w:t>2.5</w:t>
            </w:r>
            <w:r>
              <w:rPr>
                <w:rFonts w:hint="eastAsia" w:ascii="仿宋_GB2312" w:hAnsi="仿宋_GB2312" w:eastAsia="仿宋_GB2312" w:cs="仿宋_GB2312"/>
                <w:color w:val="auto"/>
                <w:kern w:val="2"/>
                <w:sz w:val="24"/>
                <w:szCs w:val="24"/>
                <w:lang w:val="en-US" w:eastAsia="zh-CN" w:bidi="ar-SA"/>
              </w:rPr>
              <w:t>分。</w:t>
            </w:r>
          </w:p>
        </w:tc>
      </w:tr>
      <w:tr w14:paraId="685DB4B7">
        <w:trPr>
          <w:trHeight w:val="454" w:hRule="atLeast"/>
          <w:jc w:val="center"/>
        </w:trPr>
        <w:tc>
          <w:tcPr>
            <w:tcW w:w="422" w:type="pct"/>
            <w:vMerge w:val="restart"/>
            <w:tcBorders>
              <w:tl2br w:val="nil"/>
              <w:tr2bl w:val="nil"/>
            </w:tcBorders>
            <w:noWrap w:val="0"/>
            <w:vAlign w:val="center"/>
          </w:tcPr>
          <w:p w14:paraId="0FBA380D">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3</w:t>
            </w:r>
          </w:p>
        </w:tc>
        <w:tc>
          <w:tcPr>
            <w:tcW w:w="867" w:type="pct"/>
            <w:vMerge w:val="restart"/>
            <w:tcBorders>
              <w:tl2br w:val="nil"/>
              <w:tr2bl w:val="nil"/>
            </w:tcBorders>
            <w:noWrap w:val="0"/>
            <w:vAlign w:val="center"/>
          </w:tcPr>
          <w:p w14:paraId="6A8F96E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应用运维与记录</w:t>
            </w:r>
          </w:p>
        </w:tc>
        <w:tc>
          <w:tcPr>
            <w:tcW w:w="1183" w:type="pct"/>
            <w:tcBorders>
              <w:tl2br w:val="nil"/>
              <w:tr2bl w:val="nil"/>
            </w:tcBorders>
            <w:noWrap w:val="0"/>
            <w:vAlign w:val="center"/>
          </w:tcPr>
          <w:p w14:paraId="40D1E5A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能设定和实时调控数字孪生应用状态</w:t>
            </w:r>
          </w:p>
        </w:tc>
        <w:tc>
          <w:tcPr>
            <w:tcW w:w="492" w:type="pct"/>
            <w:tcBorders>
              <w:tl2br w:val="nil"/>
              <w:tr2bl w:val="nil"/>
            </w:tcBorders>
            <w:noWrap w:val="0"/>
            <w:vAlign w:val="center"/>
          </w:tcPr>
          <w:p w14:paraId="7B449844">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7</w:t>
            </w:r>
          </w:p>
        </w:tc>
        <w:tc>
          <w:tcPr>
            <w:tcW w:w="2033" w:type="pct"/>
            <w:tcBorders>
              <w:tl2br w:val="nil"/>
              <w:tr2bl w:val="nil"/>
            </w:tcBorders>
            <w:noWrap w:val="0"/>
            <w:vAlign w:val="center"/>
          </w:tcPr>
          <w:p w14:paraId="6133818F">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熟练切换仿真工况、调整场景运行状态，交互响应正常满分；调控操作失误、场景切换异常酌情扣</w:t>
            </w:r>
            <w:r>
              <w:rPr>
                <w:rFonts w:hint="eastAsia" w:ascii="仿宋_GB2312" w:hAnsi="仿宋_GB2312" w:cs="仿宋_GB2312"/>
                <w:color w:val="auto"/>
                <w:kern w:val="2"/>
                <w:sz w:val="24"/>
                <w:szCs w:val="24"/>
                <w:lang w:val="en-US" w:eastAsia="zh-CN" w:bidi="ar-SA"/>
              </w:rPr>
              <w:t>2-7</w:t>
            </w:r>
            <w:r>
              <w:rPr>
                <w:rFonts w:hint="eastAsia" w:ascii="仿宋_GB2312" w:hAnsi="仿宋_GB2312" w:eastAsia="仿宋_GB2312" w:cs="仿宋_GB2312"/>
                <w:color w:val="auto"/>
                <w:kern w:val="2"/>
                <w:sz w:val="24"/>
                <w:szCs w:val="24"/>
                <w:lang w:val="en-US" w:eastAsia="zh-CN" w:bidi="ar-SA"/>
              </w:rPr>
              <w:t>分。</w:t>
            </w:r>
          </w:p>
        </w:tc>
      </w:tr>
      <w:tr w14:paraId="2FD1B52A">
        <w:trPr>
          <w:trHeight w:val="454" w:hRule="atLeast"/>
          <w:jc w:val="center"/>
        </w:trPr>
        <w:tc>
          <w:tcPr>
            <w:tcW w:w="422" w:type="pct"/>
            <w:vMerge w:val="continue"/>
            <w:tcBorders>
              <w:tl2br w:val="nil"/>
              <w:tr2bl w:val="nil"/>
            </w:tcBorders>
            <w:noWrap w:val="0"/>
            <w:vAlign w:val="center"/>
          </w:tcPr>
          <w:p w14:paraId="430DFA16">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67" w:type="pct"/>
            <w:vMerge w:val="continue"/>
            <w:tcBorders>
              <w:tl2br w:val="nil"/>
              <w:tr2bl w:val="nil"/>
            </w:tcBorders>
            <w:noWrap w:val="0"/>
            <w:vAlign w:val="center"/>
          </w:tcPr>
          <w:p w14:paraId="4703A9C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83" w:type="pct"/>
            <w:tcBorders>
              <w:tl2br w:val="nil"/>
              <w:tr2bl w:val="nil"/>
            </w:tcBorders>
            <w:noWrap w:val="0"/>
            <w:vAlign w:val="center"/>
          </w:tcPr>
          <w:p w14:paraId="789A6DF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能跟踪和判断数字孪生应用状态</w:t>
            </w:r>
          </w:p>
        </w:tc>
        <w:tc>
          <w:tcPr>
            <w:tcW w:w="492" w:type="pct"/>
            <w:tcBorders>
              <w:tl2br w:val="nil"/>
              <w:tr2bl w:val="nil"/>
            </w:tcBorders>
            <w:noWrap w:val="0"/>
            <w:vAlign w:val="center"/>
          </w:tcPr>
          <w:p w14:paraId="0325A25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8</w:t>
            </w:r>
          </w:p>
        </w:tc>
        <w:tc>
          <w:tcPr>
            <w:tcW w:w="2033" w:type="pct"/>
            <w:tcBorders>
              <w:tl2br w:val="nil"/>
              <w:tr2bl w:val="nil"/>
            </w:tcBorders>
            <w:noWrap w:val="0"/>
            <w:vAlign w:val="center"/>
          </w:tcPr>
          <w:p w14:paraId="21BB01DE">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能够实时监测模型、数据流、告警信息，准确识别运行异常满分；无法甄别系统异常酌情扣</w:t>
            </w:r>
            <w:r>
              <w:rPr>
                <w:rFonts w:hint="eastAsia" w:ascii="仿宋_GB2312" w:hAnsi="仿宋_GB2312" w:cs="仿宋_GB2312"/>
                <w:color w:val="auto"/>
                <w:kern w:val="2"/>
                <w:sz w:val="24"/>
                <w:szCs w:val="24"/>
                <w:lang w:val="en-US" w:eastAsia="zh-CN" w:bidi="ar-SA"/>
              </w:rPr>
              <w:t>2-8</w:t>
            </w:r>
            <w:r>
              <w:rPr>
                <w:rFonts w:hint="eastAsia" w:ascii="仿宋_GB2312" w:hAnsi="仿宋_GB2312" w:eastAsia="仿宋_GB2312" w:cs="仿宋_GB2312"/>
                <w:color w:val="auto"/>
                <w:kern w:val="2"/>
                <w:sz w:val="24"/>
                <w:szCs w:val="24"/>
                <w:lang w:val="en-US" w:eastAsia="zh-CN" w:bidi="ar-SA"/>
              </w:rPr>
              <w:t>分。</w:t>
            </w:r>
          </w:p>
        </w:tc>
      </w:tr>
      <w:tr w14:paraId="33CBF2CE">
        <w:trPr>
          <w:trHeight w:val="454" w:hRule="atLeast"/>
          <w:jc w:val="center"/>
        </w:trPr>
        <w:tc>
          <w:tcPr>
            <w:tcW w:w="422" w:type="pct"/>
            <w:vMerge w:val="continue"/>
            <w:tcBorders>
              <w:tl2br w:val="nil"/>
              <w:tr2bl w:val="nil"/>
            </w:tcBorders>
            <w:noWrap w:val="0"/>
            <w:vAlign w:val="center"/>
          </w:tcPr>
          <w:p w14:paraId="18144AF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67" w:type="pct"/>
            <w:vMerge w:val="continue"/>
            <w:tcBorders>
              <w:tl2br w:val="nil"/>
              <w:tr2bl w:val="nil"/>
            </w:tcBorders>
            <w:noWrap w:val="0"/>
            <w:vAlign w:val="center"/>
          </w:tcPr>
          <w:p w14:paraId="11C5A4B1">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83" w:type="pct"/>
            <w:tcBorders>
              <w:tl2br w:val="nil"/>
              <w:tr2bl w:val="nil"/>
            </w:tcBorders>
            <w:noWrap w:val="0"/>
            <w:vAlign w:val="center"/>
          </w:tcPr>
          <w:p w14:paraId="1C55223E">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能撰写数字孪生应用状态记录报告</w:t>
            </w:r>
          </w:p>
        </w:tc>
        <w:tc>
          <w:tcPr>
            <w:tcW w:w="492" w:type="pct"/>
            <w:tcBorders>
              <w:tl2br w:val="nil"/>
              <w:tr2bl w:val="nil"/>
            </w:tcBorders>
            <w:noWrap w:val="0"/>
            <w:vAlign w:val="center"/>
          </w:tcPr>
          <w:p w14:paraId="35E47640">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5</w:t>
            </w:r>
          </w:p>
        </w:tc>
        <w:tc>
          <w:tcPr>
            <w:tcW w:w="2033" w:type="pct"/>
            <w:tcBorders>
              <w:tl2br w:val="nil"/>
              <w:tr2bl w:val="nil"/>
            </w:tcBorders>
            <w:noWrap w:val="0"/>
            <w:vAlign w:val="center"/>
          </w:tcPr>
          <w:p w14:paraId="53DB3F8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运行状态记录完整、数据真实，报告条理清晰满分；信息缺失、记录失真扣 </w:t>
            </w:r>
            <w:r>
              <w:rPr>
                <w:rFonts w:hint="eastAsia" w:ascii="仿宋_GB2312" w:hAnsi="仿宋_GB2312" w:cs="仿宋_GB2312"/>
                <w:color w:val="auto"/>
                <w:kern w:val="2"/>
                <w:sz w:val="24"/>
                <w:szCs w:val="24"/>
                <w:lang w:val="en-US" w:eastAsia="zh-CN" w:bidi="ar-SA"/>
              </w:rPr>
              <w:t>1-5</w:t>
            </w:r>
            <w:r>
              <w:rPr>
                <w:rFonts w:hint="eastAsia" w:ascii="仿宋_GB2312" w:hAnsi="仿宋_GB2312" w:eastAsia="仿宋_GB2312" w:cs="仿宋_GB2312"/>
                <w:color w:val="auto"/>
                <w:kern w:val="2"/>
                <w:sz w:val="24"/>
                <w:szCs w:val="24"/>
                <w:lang w:val="en-US" w:eastAsia="zh-CN" w:bidi="ar-SA"/>
              </w:rPr>
              <w:t xml:space="preserve"> 分</w:t>
            </w:r>
          </w:p>
        </w:tc>
      </w:tr>
      <w:tr w14:paraId="01DECD58">
        <w:trPr>
          <w:trHeight w:val="454" w:hRule="atLeast"/>
          <w:jc w:val="center"/>
        </w:trPr>
        <w:tc>
          <w:tcPr>
            <w:tcW w:w="422" w:type="pct"/>
            <w:vMerge w:val="continue"/>
            <w:tcBorders>
              <w:tl2br w:val="nil"/>
              <w:tr2bl w:val="nil"/>
            </w:tcBorders>
            <w:noWrap w:val="0"/>
            <w:vAlign w:val="center"/>
          </w:tcPr>
          <w:p w14:paraId="07E4C6F9">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67" w:type="pct"/>
            <w:vMerge w:val="continue"/>
            <w:tcBorders>
              <w:tl2br w:val="nil"/>
              <w:tr2bl w:val="nil"/>
            </w:tcBorders>
            <w:noWrap w:val="0"/>
            <w:vAlign w:val="center"/>
          </w:tcPr>
          <w:p w14:paraId="56D73F29">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83" w:type="pct"/>
            <w:tcBorders>
              <w:tl2br w:val="nil"/>
              <w:tr2bl w:val="nil"/>
            </w:tcBorders>
            <w:noWrap w:val="0"/>
            <w:vAlign w:val="center"/>
          </w:tcPr>
          <w:p w14:paraId="65E47459">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能收集、分类和汇总数字孪生应用操作问题</w:t>
            </w:r>
          </w:p>
        </w:tc>
        <w:tc>
          <w:tcPr>
            <w:tcW w:w="492" w:type="pct"/>
            <w:tcBorders>
              <w:tl2br w:val="nil"/>
              <w:tr2bl w:val="nil"/>
            </w:tcBorders>
            <w:noWrap w:val="0"/>
            <w:vAlign w:val="center"/>
          </w:tcPr>
          <w:p w14:paraId="08BCBD8B">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8</w:t>
            </w:r>
          </w:p>
        </w:tc>
        <w:tc>
          <w:tcPr>
            <w:tcW w:w="2033" w:type="pct"/>
            <w:tcBorders>
              <w:tl2br w:val="nil"/>
              <w:tr2bl w:val="nil"/>
            </w:tcBorders>
            <w:noWrap w:val="0"/>
            <w:vAlign w:val="center"/>
          </w:tcPr>
          <w:p w14:paraId="74121AAD">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完整梳理操作过程故障、交互缺陷，分类清晰满分；问题收集不全、归类混乱</w:t>
            </w:r>
            <w:r>
              <w:rPr>
                <w:rFonts w:hint="eastAsia" w:ascii="仿宋_GB2312" w:hAnsi="仿宋_GB2312" w:cs="仿宋_GB2312"/>
                <w:color w:val="auto"/>
                <w:kern w:val="2"/>
                <w:sz w:val="24"/>
                <w:szCs w:val="24"/>
                <w:lang w:val="en-US" w:eastAsia="zh-CN" w:bidi="ar-SA"/>
              </w:rPr>
              <w:t>等</w:t>
            </w:r>
            <w:r>
              <w:rPr>
                <w:rFonts w:hint="eastAsia" w:ascii="仿宋_GB2312" w:hAnsi="仿宋_GB2312" w:eastAsia="仿宋_GB2312" w:cs="仿宋_GB2312"/>
                <w:color w:val="auto"/>
                <w:kern w:val="2"/>
                <w:sz w:val="24"/>
                <w:szCs w:val="24"/>
                <w:lang w:val="en-US" w:eastAsia="zh-CN" w:bidi="ar-SA"/>
              </w:rPr>
              <w:t>扣</w:t>
            </w:r>
            <w:r>
              <w:rPr>
                <w:rFonts w:hint="eastAsia" w:ascii="仿宋_GB2312" w:hAnsi="仿宋_GB2312" w:cs="仿宋_GB2312"/>
                <w:color w:val="auto"/>
                <w:kern w:val="2"/>
                <w:sz w:val="24"/>
                <w:szCs w:val="24"/>
                <w:lang w:val="en-US" w:eastAsia="zh-CN" w:bidi="ar-SA"/>
              </w:rPr>
              <w:t>2-8</w:t>
            </w:r>
            <w:r>
              <w:rPr>
                <w:rFonts w:hint="eastAsia" w:ascii="仿宋_GB2312" w:hAnsi="仿宋_GB2312" w:eastAsia="仿宋_GB2312" w:cs="仿宋_GB2312"/>
                <w:color w:val="auto"/>
                <w:kern w:val="2"/>
                <w:sz w:val="24"/>
                <w:szCs w:val="24"/>
                <w:lang w:val="en-US" w:eastAsia="zh-CN" w:bidi="ar-SA"/>
              </w:rPr>
              <w:t>分。</w:t>
            </w:r>
          </w:p>
        </w:tc>
      </w:tr>
      <w:tr w14:paraId="5ACAF7BC">
        <w:trPr>
          <w:trHeight w:val="454" w:hRule="atLeast"/>
          <w:jc w:val="center"/>
        </w:trPr>
        <w:tc>
          <w:tcPr>
            <w:tcW w:w="422" w:type="pct"/>
            <w:vMerge w:val="continue"/>
            <w:tcBorders>
              <w:tl2br w:val="nil"/>
              <w:tr2bl w:val="nil"/>
            </w:tcBorders>
            <w:noWrap w:val="0"/>
            <w:vAlign w:val="center"/>
          </w:tcPr>
          <w:p w14:paraId="574E0C77">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p>
        </w:tc>
        <w:tc>
          <w:tcPr>
            <w:tcW w:w="867" w:type="pct"/>
            <w:vMerge w:val="continue"/>
            <w:tcBorders>
              <w:tl2br w:val="nil"/>
              <w:tr2bl w:val="nil"/>
            </w:tcBorders>
            <w:noWrap w:val="0"/>
            <w:vAlign w:val="center"/>
          </w:tcPr>
          <w:p w14:paraId="733249E5">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c>
          <w:tcPr>
            <w:tcW w:w="1183" w:type="pct"/>
            <w:tcBorders>
              <w:tl2br w:val="nil"/>
              <w:tr2bl w:val="nil"/>
            </w:tcBorders>
            <w:noWrap w:val="0"/>
            <w:vAlign w:val="center"/>
          </w:tcPr>
          <w:p w14:paraId="64EF6639">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能撰写数字孪生应用操作问题总结报告</w:t>
            </w:r>
          </w:p>
        </w:tc>
        <w:tc>
          <w:tcPr>
            <w:tcW w:w="492" w:type="pct"/>
            <w:tcBorders>
              <w:tl2br w:val="nil"/>
              <w:tr2bl w:val="nil"/>
            </w:tcBorders>
            <w:noWrap w:val="0"/>
            <w:vAlign w:val="center"/>
          </w:tcPr>
          <w:p w14:paraId="7040D9F2">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4</w:t>
            </w:r>
          </w:p>
        </w:tc>
        <w:tc>
          <w:tcPr>
            <w:tcW w:w="2033" w:type="pct"/>
            <w:tcBorders>
              <w:tl2br w:val="nil"/>
              <w:tr2bl w:val="nil"/>
            </w:tcBorders>
            <w:noWrap w:val="0"/>
            <w:vAlign w:val="center"/>
          </w:tcPr>
          <w:p w14:paraId="102AB298">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报告包含问题现象、成因分析、处置方案、优化建议；关键内容缺失逐项扣</w:t>
            </w:r>
            <w:r>
              <w:rPr>
                <w:rFonts w:hint="eastAsia" w:ascii="仿宋_GB2312" w:hAnsi="仿宋_GB2312" w:cs="仿宋_GB2312"/>
                <w:color w:val="auto"/>
                <w:kern w:val="2"/>
                <w:sz w:val="24"/>
                <w:szCs w:val="24"/>
                <w:lang w:val="en-US" w:eastAsia="zh-CN" w:bidi="ar-SA"/>
              </w:rPr>
              <w:t>1</w:t>
            </w:r>
            <w:r>
              <w:rPr>
                <w:rFonts w:hint="eastAsia" w:ascii="仿宋_GB2312" w:hAnsi="仿宋_GB2312" w:eastAsia="仿宋_GB2312" w:cs="仿宋_GB2312"/>
                <w:color w:val="auto"/>
                <w:kern w:val="2"/>
                <w:sz w:val="24"/>
                <w:szCs w:val="24"/>
                <w:lang w:val="en-US" w:eastAsia="zh-CN" w:bidi="ar-SA"/>
              </w:rPr>
              <w:t>分，报告空白不得分。</w:t>
            </w:r>
          </w:p>
        </w:tc>
      </w:tr>
      <w:tr w14:paraId="30C64901">
        <w:trPr>
          <w:trHeight w:val="454" w:hRule="atLeast"/>
          <w:jc w:val="center"/>
        </w:trPr>
        <w:tc>
          <w:tcPr>
            <w:tcW w:w="2473" w:type="pct"/>
            <w:gridSpan w:val="3"/>
            <w:tcBorders>
              <w:tl2br w:val="nil"/>
              <w:tr2bl w:val="nil"/>
            </w:tcBorders>
            <w:noWrap w:val="0"/>
            <w:vAlign w:val="center"/>
          </w:tcPr>
          <w:p w14:paraId="7A0F4083">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总分</w:t>
            </w:r>
          </w:p>
        </w:tc>
        <w:tc>
          <w:tcPr>
            <w:tcW w:w="492" w:type="pct"/>
            <w:tcBorders>
              <w:tl2br w:val="nil"/>
              <w:tr2bl w:val="nil"/>
            </w:tcBorders>
            <w:noWrap w:val="0"/>
            <w:vAlign w:val="center"/>
          </w:tcPr>
          <w:p w14:paraId="0A6C144A">
            <w:pPr>
              <w:keepNext w:val="0"/>
              <w:keepLines w:val="0"/>
              <w:pageBreakBefore w:val="0"/>
              <w:widowControl/>
              <w:suppressLineNumbers w:val="0"/>
              <w:kinsoku/>
              <w:wordWrap w:val="0"/>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45</w:t>
            </w:r>
          </w:p>
        </w:tc>
        <w:tc>
          <w:tcPr>
            <w:tcW w:w="2033" w:type="pct"/>
            <w:tcBorders>
              <w:tl2br w:val="nil"/>
              <w:tr2bl w:val="nil"/>
            </w:tcBorders>
            <w:noWrap w:val="0"/>
            <w:vAlign w:val="center"/>
          </w:tcPr>
          <w:p w14:paraId="611D3FE2">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p>
        </w:tc>
      </w:tr>
      <w:tr w14:paraId="092F492A">
        <w:trPr>
          <w:trHeight w:val="454" w:hRule="atLeast"/>
          <w:jc w:val="center"/>
        </w:trPr>
        <w:tc>
          <w:tcPr>
            <w:tcW w:w="5000" w:type="pct"/>
            <w:gridSpan w:val="5"/>
            <w:tcBorders>
              <w:tl2br w:val="nil"/>
              <w:tr2bl w:val="nil"/>
            </w:tcBorders>
            <w:noWrap w:val="0"/>
            <w:vAlign w:val="center"/>
          </w:tcPr>
          <w:p w14:paraId="04E5669A">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cs="仿宋_GB2312"/>
                <w:color w:val="auto"/>
                <w:sz w:val="24"/>
                <w:szCs w:val="24"/>
                <w:lang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kern w:val="2"/>
                <w:sz w:val="24"/>
                <w:szCs w:val="24"/>
                <w:lang w:val="en-US" w:eastAsia="zh-CN" w:bidi="ar-SA"/>
              </w:rPr>
              <w:t>时间要求：</w:t>
            </w:r>
            <w:r>
              <w:rPr>
                <w:rFonts w:hint="eastAsia" w:ascii="仿宋_GB2312" w:hAnsi="仿宋_GB2312" w:eastAsia="仿宋_GB2312" w:cs="仿宋_GB2312"/>
                <w:color w:val="auto"/>
                <w:sz w:val="24"/>
                <w:szCs w:val="24"/>
                <w:highlight w:val="none"/>
              </w:rPr>
              <w:t>考核规定时间为</w:t>
            </w:r>
            <w:r>
              <w:rPr>
                <w:rFonts w:hint="eastAsia" w:ascii="仿宋_GB2312" w:hAnsi="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分钟，</w:t>
            </w:r>
            <w:r>
              <w:rPr>
                <w:rFonts w:hint="eastAsia" w:ascii="仿宋_GB2312" w:hAnsi="仿宋_GB2312" w:eastAsia="仿宋_GB2312" w:cs="仿宋_GB2312"/>
                <w:color w:val="auto"/>
                <w:sz w:val="24"/>
                <w:szCs w:val="24"/>
              </w:rPr>
              <w:t>超时立即终止操作，未完成操作</w:t>
            </w:r>
            <w:r>
              <w:rPr>
                <w:rFonts w:hint="eastAsia" w:ascii="仿宋_GB2312" w:hAnsi="仿宋_GB2312" w:cs="仿宋_GB2312"/>
                <w:color w:val="auto"/>
                <w:sz w:val="24"/>
                <w:szCs w:val="24"/>
                <w:lang w:eastAsia="zh-CN"/>
              </w:rPr>
              <w:t>的</w:t>
            </w:r>
            <w:r>
              <w:rPr>
                <w:rFonts w:hint="eastAsia" w:ascii="仿宋_GB2312" w:hAnsi="仿宋_GB2312" w:cs="仿宋_GB2312"/>
                <w:color w:val="auto"/>
                <w:sz w:val="24"/>
                <w:szCs w:val="24"/>
                <w:lang w:val="en-US" w:eastAsia="zh-CN"/>
              </w:rPr>
              <w:t>部分</w:t>
            </w:r>
            <w:r>
              <w:rPr>
                <w:rFonts w:hint="eastAsia" w:ascii="仿宋_GB2312" w:hAnsi="仿宋_GB2312" w:eastAsia="仿宋_GB2312" w:cs="仿宋_GB2312"/>
                <w:color w:val="auto"/>
                <w:sz w:val="24"/>
                <w:szCs w:val="24"/>
              </w:rPr>
              <w:t>不计分</w:t>
            </w:r>
            <w:r>
              <w:rPr>
                <w:rFonts w:hint="eastAsia" w:ascii="仿宋_GB2312" w:hAnsi="仿宋_GB2312" w:cs="仿宋_GB2312"/>
                <w:color w:val="auto"/>
                <w:sz w:val="24"/>
                <w:szCs w:val="24"/>
                <w:lang w:eastAsia="zh-CN"/>
              </w:rPr>
              <w:t>。</w:t>
            </w:r>
          </w:p>
          <w:p w14:paraId="2B6F716F">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cs="仿宋_GB2312"/>
                <w:color w:val="0000FF"/>
                <w:sz w:val="24"/>
                <w:szCs w:val="24"/>
                <w:lang w:val="en-US" w:eastAsia="zh-CN"/>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rPr>
              <w:t>特殊扣分项</w:t>
            </w:r>
            <w:r>
              <w:rPr>
                <w:rFonts w:hint="eastAsia" w:ascii="仿宋_GB2312" w:hAnsi="仿宋_GB2312" w:cs="仿宋_GB2312"/>
                <w:color w:val="auto"/>
                <w:sz w:val="24"/>
                <w:szCs w:val="24"/>
                <w:lang w:eastAsia="zh-CN"/>
              </w:rPr>
              <w:t>：</w:t>
            </w:r>
            <w:r>
              <w:rPr>
                <w:rFonts w:hint="eastAsia" w:ascii="仿宋_GB2312" w:hAnsi="仿宋_GB2312" w:cs="仿宋_GB2312"/>
                <w:color w:val="auto"/>
                <w:kern w:val="2"/>
                <w:sz w:val="24"/>
                <w:szCs w:val="24"/>
                <w:lang w:val="en-US" w:eastAsia="zh-CN" w:bidi="ar-SA"/>
              </w:rPr>
              <w:t>干扰其他选手比赛、配置、环境、出现删除系统关键文件、修改系统权限、破坏系统等违规操作、</w:t>
            </w:r>
            <w:r>
              <w:rPr>
                <w:rFonts w:hint="eastAsia" w:ascii="仿宋_GB2312" w:hAnsi="仿宋_GB2312" w:eastAsia="仿宋_GB2312" w:cs="仿宋_GB2312"/>
                <w:color w:val="auto"/>
                <w:kern w:val="2"/>
                <w:sz w:val="24"/>
                <w:szCs w:val="24"/>
                <w:lang w:val="en-US" w:eastAsia="zh-CN" w:bidi="ar-SA"/>
              </w:rPr>
              <w:t>伪造</w:t>
            </w:r>
            <w:r>
              <w:rPr>
                <w:rFonts w:hint="eastAsia" w:ascii="仿宋_GB2312" w:hAnsi="仿宋_GB2312" w:cs="仿宋_GB2312"/>
                <w:color w:val="auto"/>
                <w:kern w:val="2"/>
                <w:sz w:val="24"/>
                <w:szCs w:val="24"/>
                <w:lang w:val="en-US" w:eastAsia="zh-CN" w:bidi="ar-SA"/>
              </w:rPr>
              <w:t>应用运维</w:t>
            </w:r>
            <w:r>
              <w:rPr>
                <w:rFonts w:hint="eastAsia" w:ascii="仿宋_GB2312" w:hAnsi="仿宋_GB2312" w:eastAsia="仿宋_GB2312" w:cs="仿宋_GB2312"/>
                <w:color w:val="auto"/>
                <w:kern w:val="2"/>
                <w:sz w:val="24"/>
                <w:szCs w:val="24"/>
                <w:lang w:val="en-US" w:eastAsia="zh-CN" w:bidi="ar-SA"/>
              </w:rPr>
              <w:t>数据、篡改</w:t>
            </w:r>
            <w:r>
              <w:rPr>
                <w:rFonts w:hint="eastAsia" w:ascii="仿宋_GB2312" w:hAnsi="仿宋_GB2312" w:cs="仿宋_GB2312"/>
                <w:color w:val="auto"/>
                <w:kern w:val="2"/>
                <w:sz w:val="24"/>
                <w:szCs w:val="24"/>
                <w:lang w:val="en-US" w:eastAsia="zh-CN" w:bidi="ar-SA"/>
              </w:rPr>
              <w:t>运维</w:t>
            </w:r>
            <w:r>
              <w:rPr>
                <w:rFonts w:hint="eastAsia" w:ascii="仿宋_GB2312" w:hAnsi="仿宋_GB2312" w:eastAsia="仿宋_GB2312" w:cs="仿宋_GB2312"/>
                <w:color w:val="auto"/>
                <w:kern w:val="2"/>
                <w:sz w:val="24"/>
                <w:szCs w:val="24"/>
                <w:lang w:val="en-US" w:eastAsia="zh-CN" w:bidi="ar-SA"/>
              </w:rPr>
              <w:t>结果</w:t>
            </w:r>
            <w:r>
              <w:rPr>
                <w:rFonts w:hint="eastAsia" w:ascii="仿宋_GB2312" w:hAnsi="仿宋_GB2312" w:cs="仿宋_GB2312"/>
                <w:color w:val="auto"/>
                <w:kern w:val="2"/>
                <w:sz w:val="24"/>
                <w:szCs w:val="24"/>
                <w:lang w:val="en-US" w:eastAsia="zh-CN" w:bidi="ar-SA"/>
              </w:rPr>
              <w:t>。根据是否属于意外、无意、有意、情节严重性酌情扣分。</w:t>
            </w:r>
          </w:p>
        </w:tc>
      </w:tr>
      <w:tr w14:paraId="65DD2B26">
        <w:trPr>
          <w:trHeight w:val="454" w:hRule="atLeast"/>
          <w:jc w:val="center"/>
        </w:trPr>
        <w:tc>
          <w:tcPr>
            <w:tcW w:w="5000" w:type="pct"/>
            <w:gridSpan w:val="5"/>
            <w:tcBorders>
              <w:tl2br w:val="nil"/>
              <w:tr2bl w:val="nil"/>
            </w:tcBorders>
            <w:noWrap w:val="0"/>
            <w:vAlign w:val="center"/>
          </w:tcPr>
          <w:p w14:paraId="36F8F5E1">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否定项说明：若选手发生下列情况之一，则应及时终止其竞赛。</w:t>
            </w:r>
          </w:p>
          <w:p w14:paraId="710C7169">
            <w:pPr>
              <w:keepNext w:val="0"/>
              <w:keepLines w:val="0"/>
              <w:pageBreakBefore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(1)在操作过程中，</w:t>
            </w:r>
            <w:r>
              <w:rPr>
                <w:rFonts w:hint="eastAsia" w:ascii="仿宋_GB2312" w:hAnsi="仿宋_GB2312" w:cs="仿宋_GB2312"/>
                <w:color w:val="auto"/>
                <w:sz w:val="24"/>
                <w:szCs w:val="24"/>
                <w:highlight w:val="none"/>
                <w:lang w:val="en-US" w:eastAsia="zh-CN"/>
              </w:rPr>
              <w:t>恶意破坏软硬件设备导致平台崩溃</w:t>
            </w:r>
            <w:r>
              <w:rPr>
                <w:rFonts w:hint="eastAsia" w:ascii="仿宋_GB2312" w:hAnsi="仿宋_GB2312" w:eastAsia="仿宋_GB2312" w:cs="仿宋_GB2312"/>
                <w:color w:val="auto"/>
                <w:sz w:val="24"/>
                <w:szCs w:val="24"/>
                <w:highlight w:val="none"/>
              </w:rPr>
              <w:t>；</w:t>
            </w:r>
          </w:p>
          <w:p w14:paraId="243C9C4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highlight w:val="none"/>
              </w:rPr>
              <w:t>(2)在操作过程中，</w:t>
            </w:r>
            <w:r>
              <w:rPr>
                <w:rFonts w:hint="eastAsia" w:ascii="仿宋_GB2312" w:hAnsi="仿宋_GB2312" w:cs="仿宋_GB2312"/>
                <w:color w:val="auto"/>
                <w:sz w:val="24"/>
                <w:szCs w:val="24"/>
                <w:highlight w:val="none"/>
                <w:lang w:val="en-US" w:eastAsia="zh-CN"/>
              </w:rPr>
              <w:t>恶意干扰孪生应用运行、破坏测试环境</w:t>
            </w:r>
            <w:r>
              <w:rPr>
                <w:rFonts w:hint="eastAsia" w:ascii="仿宋_GB2312" w:hAnsi="仿宋_GB2312" w:eastAsia="仿宋_GB2312" w:cs="仿宋_GB2312"/>
                <w:color w:val="auto"/>
                <w:sz w:val="24"/>
                <w:szCs w:val="24"/>
                <w:highlight w:val="none"/>
              </w:rPr>
              <w:t>。</w:t>
            </w:r>
          </w:p>
        </w:tc>
      </w:tr>
    </w:tbl>
    <w:p w14:paraId="04D8BA1E">
      <w:pPr>
        <w:pStyle w:val="5"/>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3.评判方法</w:t>
      </w:r>
    </w:p>
    <w:p w14:paraId="287B26B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（1）初赛由计算机系统自动判分</w:t>
      </w:r>
      <w:r>
        <w:rPr>
          <w:rFonts w:hint="eastAsia" w:ascii="仿宋_GB2312" w:hAnsi="仿宋_GB2312" w:cs="仿宋_GB2312"/>
          <w:kern w:val="2"/>
          <w:sz w:val="32"/>
          <w:szCs w:val="32"/>
          <w:lang w:val="en-US" w:eastAsia="zh-CN" w:bidi="ar-SA"/>
        </w:rPr>
        <w:t>。</w:t>
      </w:r>
    </w:p>
    <w:p w14:paraId="33F0A5BD">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（2）决赛由现场裁判组依据参赛选手的实际操作情况按竞赛评分表集体评判、计分；裁判组对最终成绩签字确认。</w:t>
      </w:r>
    </w:p>
    <w:p w14:paraId="51F7CD7A">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（3）</w:t>
      </w:r>
      <w:r>
        <w:rPr>
          <w:rFonts w:hint="eastAsia" w:ascii="仿宋_GB2312" w:hAnsi="仿宋_GB2312" w:cs="仿宋_GB2312"/>
          <w:color w:val="auto"/>
          <w:kern w:val="2"/>
          <w:sz w:val="32"/>
          <w:szCs w:val="32"/>
          <w:highlight w:val="none"/>
          <w:lang w:val="en-US" w:eastAsia="zh-CN" w:bidi="ar-SA"/>
        </w:rPr>
        <w:t>1名裁判长、2名裁判员，共3名裁判为一组，各</w:t>
      </w:r>
      <w:r>
        <w:rPr>
          <w:rFonts w:hint="eastAsia" w:ascii="仿宋_GB2312" w:hAnsi="仿宋_GB2312" w:cs="仿宋_GB2312"/>
          <w:kern w:val="2"/>
          <w:sz w:val="32"/>
          <w:szCs w:val="32"/>
          <w:highlight w:val="none"/>
          <w:lang w:val="en-US" w:eastAsia="zh-CN" w:bidi="ar-SA"/>
        </w:rPr>
        <w:t>自单独评分，计算出平均分为实际得分。</w:t>
      </w:r>
    </w:p>
    <w:p w14:paraId="53A2F43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）裁判长对所有裁判员的打分过程的公平、公正性进行监督。裁判员评定期间若有争议，由裁判长裁决。</w:t>
      </w:r>
    </w:p>
    <w:p w14:paraId="1A55B24B">
      <w:pPr>
        <w:pStyle w:val="5"/>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w:t>
      </w:r>
      <w:r>
        <w:rPr>
          <w:rFonts w:hint="eastAsia" w:ascii="仿宋_GB2312" w:hAnsi="仿宋_GB2312" w:cs="仿宋_GB2312"/>
          <w:b w:val="0"/>
          <w:bCs w:val="0"/>
          <w:sz w:val="32"/>
          <w:szCs w:val="32"/>
          <w:lang w:val="en-US" w:eastAsia="zh-CN"/>
        </w:rPr>
        <w:t>5</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比赛结束后，所有裁判员需在选手成绩汇总表上进行确认签字，方视为完成执裁工作。</w:t>
      </w:r>
    </w:p>
    <w:p w14:paraId="64E2F8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4.综合排名</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选手最终名次依据初赛和决赛两部分成绩按比例累加的综合成绩进行排名，成绩均四舍五入保留两位小数点。其中初赛成绩占</w:t>
      </w:r>
      <w:r>
        <w:rPr>
          <w:rFonts w:hint="eastAsia" w:ascii="仿宋_GB2312" w:hAnsi="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0%、决赛成绩占</w:t>
      </w:r>
      <w:r>
        <w:rPr>
          <w:rFonts w:hint="eastAsia" w:ascii="仿宋_GB2312" w:hAnsi="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0%，</w:t>
      </w:r>
      <w:r>
        <w:rPr>
          <w:rFonts w:hint="eastAsia" w:ascii="仿宋_GB2312" w:hAnsi="仿宋_GB2312" w:cs="仿宋_GB2312"/>
          <w:kern w:val="2"/>
          <w:sz w:val="32"/>
          <w:szCs w:val="32"/>
          <w:lang w:val="en-US" w:eastAsia="zh-CN" w:bidi="ar-SA"/>
        </w:rPr>
        <w:t>即</w:t>
      </w:r>
      <w:r>
        <w:rPr>
          <w:rFonts w:hint="eastAsia" w:ascii="仿宋_GB2312" w:hAnsi="仿宋_GB2312" w:eastAsia="仿宋_GB2312" w:cs="仿宋_GB2312"/>
          <w:kern w:val="2"/>
          <w:sz w:val="32"/>
          <w:szCs w:val="32"/>
          <w:lang w:val="en-US" w:eastAsia="zh-CN" w:bidi="ar-SA"/>
        </w:rPr>
        <w:t>选手综合成绩=初赛成绩×</w:t>
      </w:r>
      <w:r>
        <w:rPr>
          <w:rFonts w:hint="eastAsia" w:ascii="仿宋_GB2312" w:hAnsi="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0%+决赛成绩×</w:t>
      </w:r>
      <w:r>
        <w:rPr>
          <w:rFonts w:hint="eastAsia" w:ascii="仿宋_GB2312" w:hAnsi="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0%。当综合成绩相同时，以决赛成绩高者名次在前，若仍相同时，则以决赛</w:t>
      </w:r>
      <w:r>
        <w:rPr>
          <w:rFonts w:hint="eastAsia" w:ascii="仿宋_GB2312" w:hAnsi="仿宋_GB2312" w:eastAsia="仿宋_GB2312" w:cs="仿宋_GB2312"/>
          <w:kern w:val="2"/>
          <w:sz w:val="32"/>
          <w:szCs w:val="32"/>
          <w:highlight w:val="none"/>
          <w:lang w:val="en-US" w:eastAsia="zh-CN" w:bidi="ar-SA"/>
        </w:rPr>
        <w:t>模块</w:t>
      </w:r>
      <w:r>
        <w:rPr>
          <w:rFonts w:hint="eastAsia" w:ascii="仿宋_GB2312" w:hAnsi="仿宋_GB2312" w:cs="仿宋_GB2312"/>
          <w:kern w:val="2"/>
          <w:sz w:val="32"/>
          <w:szCs w:val="32"/>
          <w:highlight w:val="none"/>
          <w:lang w:val="en-US" w:eastAsia="zh-CN" w:bidi="ar-SA"/>
        </w:rPr>
        <w:t>B</w:t>
      </w:r>
      <w:r>
        <w:rPr>
          <w:rFonts w:hint="eastAsia" w:ascii="仿宋_GB2312" w:hAnsi="仿宋_GB2312" w:eastAsia="仿宋_GB2312" w:cs="仿宋_GB2312"/>
          <w:kern w:val="2"/>
          <w:sz w:val="32"/>
          <w:szCs w:val="32"/>
          <w:highlight w:val="none"/>
          <w:lang w:val="en-US" w:eastAsia="zh-CN" w:bidi="ar-SA"/>
        </w:rPr>
        <w:t>、模块</w:t>
      </w:r>
      <w:r>
        <w:rPr>
          <w:rFonts w:hint="eastAsia" w:ascii="仿宋_GB2312" w:hAnsi="仿宋_GB2312" w:cs="仿宋_GB2312"/>
          <w:kern w:val="2"/>
          <w:sz w:val="32"/>
          <w:szCs w:val="32"/>
          <w:highlight w:val="none"/>
          <w:lang w:val="en-US" w:eastAsia="zh-CN" w:bidi="ar-SA"/>
        </w:rPr>
        <w:t>C</w:t>
      </w:r>
      <w:r>
        <w:rPr>
          <w:rFonts w:hint="eastAsia" w:ascii="仿宋_GB2312" w:hAnsi="仿宋_GB2312" w:eastAsia="仿宋_GB2312" w:cs="仿宋_GB2312"/>
          <w:kern w:val="2"/>
          <w:sz w:val="32"/>
          <w:szCs w:val="32"/>
          <w:highlight w:val="none"/>
          <w:lang w:val="en-US" w:eastAsia="zh-CN" w:bidi="ar-SA"/>
        </w:rPr>
        <w:t>、模块</w:t>
      </w:r>
      <w:r>
        <w:rPr>
          <w:rFonts w:hint="eastAsia" w:ascii="仿宋_GB2312" w:hAnsi="仿宋_GB2312" w:cs="仿宋_GB2312"/>
          <w:kern w:val="2"/>
          <w:sz w:val="32"/>
          <w:szCs w:val="32"/>
          <w:highlight w:val="none"/>
          <w:lang w:val="en-US" w:eastAsia="zh-CN" w:bidi="ar-SA"/>
        </w:rPr>
        <w:t>A</w:t>
      </w:r>
      <w:r>
        <w:rPr>
          <w:rFonts w:hint="eastAsia" w:ascii="仿宋_GB2312" w:hAnsi="仿宋_GB2312" w:eastAsia="仿宋_GB2312" w:cs="仿宋_GB2312"/>
          <w:kern w:val="2"/>
          <w:sz w:val="32"/>
          <w:szCs w:val="32"/>
          <w:lang w:val="en-US" w:eastAsia="zh-CN" w:bidi="ar-SA"/>
        </w:rPr>
        <w:t>顺序的分数高低决定排名。</w:t>
      </w:r>
    </w:p>
    <w:p w14:paraId="44388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三、竞赛细则</w:t>
      </w:r>
    </w:p>
    <w:p w14:paraId="76DD058D">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（一）</w:t>
      </w:r>
      <w:r>
        <w:rPr>
          <w:rFonts w:hint="eastAsia" w:ascii="仿宋_GB2312" w:hAnsi="仿宋_GB2312" w:eastAsia="仿宋_GB2312" w:cs="仿宋_GB2312"/>
          <w:sz w:val="32"/>
          <w:szCs w:val="32"/>
        </w:rPr>
        <w:t>参赛证于竞赛报到时凭有效身份证</w:t>
      </w:r>
      <w:r>
        <w:rPr>
          <w:rFonts w:hint="eastAsia" w:ascii="仿宋_GB2312" w:hAnsi="仿宋_GB2312" w:cs="仿宋_GB2312"/>
          <w:sz w:val="32"/>
          <w:szCs w:val="32"/>
          <w:lang w:val="en-US" w:eastAsia="zh-CN"/>
        </w:rPr>
        <w:t>件</w:t>
      </w:r>
      <w:r>
        <w:rPr>
          <w:rFonts w:hint="eastAsia" w:ascii="仿宋_GB2312" w:hAnsi="仿宋_GB2312" w:eastAsia="仿宋_GB2312" w:cs="仿宋_GB2312"/>
          <w:sz w:val="32"/>
          <w:szCs w:val="32"/>
        </w:rPr>
        <w:t>领取。</w:t>
      </w:r>
    </w:p>
    <w:p w14:paraId="266BC8F7">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（二）</w:t>
      </w:r>
      <w:r>
        <w:rPr>
          <w:rFonts w:hint="eastAsia" w:ascii="仿宋_GB2312" w:hAnsi="仿宋_GB2312" w:eastAsia="仿宋_GB2312" w:cs="仿宋_GB2312"/>
          <w:sz w:val="32"/>
          <w:szCs w:val="32"/>
        </w:rPr>
        <w:t>各类人员须统一佩戴由执委会印制的证件，着装整齐。</w:t>
      </w:r>
    </w:p>
    <w:p w14:paraId="2D4B1334">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（三）</w:t>
      </w:r>
      <w:r>
        <w:rPr>
          <w:rFonts w:hint="eastAsia" w:ascii="仿宋_GB2312" w:hAnsi="仿宋_GB2312" w:eastAsia="仿宋_GB2312" w:cs="仿宋_GB2312"/>
          <w:sz w:val="32"/>
          <w:szCs w:val="32"/>
        </w:rPr>
        <w:t>理论竞赛选手须提前20分钟凭有效身份证件和参赛证进入赛场，对号入座并将有效身份证件和参赛证放在座位左上角明显位置，以备查验。开赛20分钟后方可离场，开赛迟到20分钟不得入场，按自动弃权处理。</w:t>
      </w:r>
    </w:p>
    <w:p w14:paraId="1B90428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（四）</w:t>
      </w:r>
      <w:r>
        <w:rPr>
          <w:rFonts w:hint="eastAsia" w:ascii="仿宋_GB2312" w:hAnsi="仿宋_GB2312" w:eastAsia="仿宋_GB2312" w:cs="仿宋_GB2312"/>
          <w:sz w:val="32"/>
          <w:szCs w:val="32"/>
        </w:rPr>
        <w:t>理论竞赛选手的出场顺序和工位由竞赛系统随机生成。</w:t>
      </w:r>
    </w:p>
    <w:p w14:paraId="0F449E67">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（五）</w:t>
      </w:r>
      <w:r>
        <w:rPr>
          <w:rFonts w:hint="eastAsia" w:ascii="仿宋_GB2312" w:hAnsi="仿宋_GB2312" w:eastAsia="仿宋_GB2312" w:cs="仿宋_GB2312"/>
          <w:sz w:val="32"/>
          <w:szCs w:val="32"/>
        </w:rPr>
        <w:t>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28CFCCB3">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（六）</w:t>
      </w:r>
      <w:r>
        <w:rPr>
          <w:rFonts w:hint="eastAsia" w:ascii="仿宋_GB2312" w:hAnsi="仿宋_GB2312" w:eastAsia="仿宋_GB2312" w:cs="仿宋_GB2312"/>
          <w:sz w:val="32"/>
          <w:szCs w:val="32"/>
        </w:rPr>
        <w:t>实操竞赛选手的出场顺序和工位由抽签决定，不得私自调换竞赛选手号，否则</w:t>
      </w:r>
      <w:r>
        <w:rPr>
          <w:rFonts w:hint="eastAsia" w:ascii="仿宋_GB2312" w:hAnsi="仿宋_GB2312" w:cs="仿宋_GB2312"/>
          <w:sz w:val="32"/>
          <w:szCs w:val="32"/>
          <w:lang w:val="en-US" w:eastAsia="zh-CN"/>
        </w:rPr>
        <w:t>按取消参赛</w:t>
      </w:r>
      <w:r>
        <w:rPr>
          <w:rFonts w:hint="eastAsia" w:ascii="仿宋_GB2312" w:hAnsi="仿宋_GB2312" w:eastAsia="仿宋_GB2312" w:cs="仿宋_GB2312"/>
          <w:sz w:val="32"/>
          <w:szCs w:val="32"/>
        </w:rPr>
        <w:t>处理。</w:t>
      </w:r>
    </w:p>
    <w:p w14:paraId="07F559BA">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（七）</w:t>
      </w:r>
      <w:r>
        <w:rPr>
          <w:rFonts w:hint="eastAsia" w:ascii="仿宋_GB2312" w:hAnsi="仿宋_GB2312" w:eastAsia="仿宋_GB2312" w:cs="仿宋_GB2312"/>
          <w:sz w:val="32"/>
          <w:szCs w:val="32"/>
        </w:rPr>
        <w:t>选手不能携带与竞赛相关的文件资料、通讯工具</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电子设备等</w:t>
      </w:r>
      <w:r>
        <w:rPr>
          <w:rFonts w:hint="eastAsia" w:ascii="仿宋_GB2312" w:hAnsi="仿宋_GB2312" w:eastAsia="仿宋_GB2312" w:cs="仿宋_GB2312"/>
          <w:sz w:val="32"/>
          <w:szCs w:val="32"/>
        </w:rPr>
        <w:t>进入赛场。在赛场上应自觉遵守赛场秩序，保持安静，竞赛进行过程中不允许任何形式的交谈，更不得大声喧哗吵闹，交头接耳，否则将给予警告或取消竞赛资格。</w:t>
      </w:r>
    </w:p>
    <w:p w14:paraId="318459FB">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（八）</w:t>
      </w:r>
      <w:r>
        <w:rPr>
          <w:rFonts w:hint="eastAsia" w:ascii="仿宋_GB2312" w:hAnsi="仿宋_GB2312" w:eastAsia="仿宋_GB2312" w:cs="仿宋_GB2312"/>
          <w:sz w:val="32"/>
          <w:szCs w:val="32"/>
        </w:rPr>
        <w:t>各赛场除现场裁判、选手、赛场配备的工作人员以外，其他人员未经允许不得进入竞赛区。所有选手</w:t>
      </w:r>
      <w:r>
        <w:rPr>
          <w:rFonts w:hint="eastAsia" w:ascii="仿宋_GB2312" w:hAnsi="仿宋_GB2312" w:cs="仿宋_GB2312"/>
          <w:sz w:val="32"/>
          <w:szCs w:val="32"/>
          <w:lang w:val="en-US" w:eastAsia="zh-CN"/>
        </w:rPr>
        <w:t>未经同意</w:t>
      </w:r>
      <w:r>
        <w:rPr>
          <w:rFonts w:hint="eastAsia" w:ascii="仿宋_GB2312" w:hAnsi="仿宋_GB2312" w:eastAsia="仿宋_GB2312" w:cs="仿宋_GB2312"/>
          <w:sz w:val="32"/>
          <w:szCs w:val="32"/>
        </w:rPr>
        <w:t>不可</w:t>
      </w:r>
      <w:r>
        <w:rPr>
          <w:rFonts w:hint="eastAsia" w:ascii="仿宋_GB2312" w:hAnsi="仿宋_GB2312" w:cs="仿宋_GB2312"/>
          <w:sz w:val="32"/>
          <w:szCs w:val="32"/>
          <w:lang w:val="en-US" w:eastAsia="zh-CN"/>
        </w:rPr>
        <w:t>私自</w:t>
      </w:r>
      <w:r>
        <w:rPr>
          <w:rFonts w:hint="eastAsia" w:ascii="仿宋_GB2312" w:hAnsi="仿宋_GB2312" w:eastAsia="仿宋_GB2312" w:cs="仿宋_GB2312"/>
          <w:sz w:val="32"/>
          <w:szCs w:val="32"/>
        </w:rPr>
        <w:t>离开赛场，</w:t>
      </w:r>
      <w:r>
        <w:rPr>
          <w:rFonts w:hint="eastAsia" w:ascii="仿宋_GB2312" w:hAnsi="仿宋_GB2312" w:cs="仿宋_GB2312"/>
          <w:sz w:val="32"/>
          <w:szCs w:val="32"/>
          <w:lang w:val="en-US" w:eastAsia="zh-CN"/>
        </w:rPr>
        <w:t>否则按弃权处理。</w:t>
      </w:r>
    </w:p>
    <w:p w14:paraId="12F01B51">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（九）</w:t>
      </w:r>
      <w:r>
        <w:rPr>
          <w:rFonts w:hint="eastAsia" w:ascii="仿宋_GB2312" w:hAnsi="仿宋_GB2312" w:eastAsia="仿宋_GB2312" w:cs="仿宋_GB2312"/>
          <w:sz w:val="32"/>
          <w:szCs w:val="32"/>
        </w:rPr>
        <w:t>竞赛期间，选手未经大赛执委会批准，不得接受其他单位和个人对竞赛相关内容的采访，不得私自公布竞赛相关资料和情况。</w:t>
      </w:r>
    </w:p>
    <w:p w14:paraId="3226CF9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w:t>
      </w:r>
      <w:r>
        <w:rPr>
          <w:rFonts w:hint="eastAsia" w:ascii="仿宋_GB2312" w:hAnsi="仿宋_GB2312" w:eastAsia="仿宋_GB2312" w:cs="仿宋_GB2312"/>
          <w:sz w:val="32"/>
          <w:szCs w:val="32"/>
        </w:rPr>
        <w:t>竞赛过程中，选手须主动配合裁判工作，服从裁判安排，如果对竞赛的裁决有异议，可按规定以书面形式向执委会申诉受理部提出申诉。</w:t>
      </w:r>
    </w:p>
    <w:p w14:paraId="75E0EA7F">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（十一）</w:t>
      </w:r>
      <w:r>
        <w:rPr>
          <w:rFonts w:hint="eastAsia" w:ascii="仿宋_GB2312" w:hAnsi="仿宋_GB2312" w:eastAsia="仿宋_GB2312" w:cs="仿宋_GB2312"/>
          <w:sz w:val="32"/>
          <w:szCs w:val="32"/>
        </w:rPr>
        <w:t>选手认为赛场提供的设备、工具不符合规定的应立即向现场裁判提出更换。</w:t>
      </w:r>
    </w:p>
    <w:p w14:paraId="4917580D">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（十二）</w:t>
      </w:r>
      <w:r>
        <w:rPr>
          <w:rFonts w:hint="eastAsia" w:ascii="仿宋_GB2312" w:hAnsi="仿宋_GB2312" w:eastAsia="仿宋_GB2312" w:cs="仿宋_GB2312"/>
          <w:sz w:val="32"/>
          <w:szCs w:val="32"/>
        </w:rPr>
        <w:t>竞赛规定时间结束时，选手应立即停止操作，不得以任何理由拖延竞赛时间，在工作人员引导下离开</w:t>
      </w:r>
      <w:r>
        <w:rPr>
          <w:rFonts w:hint="eastAsia" w:ascii="仿宋_GB2312" w:hAnsi="仿宋_GB2312" w:cs="仿宋_GB2312"/>
          <w:sz w:val="32"/>
          <w:szCs w:val="32"/>
          <w:lang w:val="en-US" w:eastAsia="zh-CN"/>
        </w:rPr>
        <w:t>赛场</w:t>
      </w:r>
      <w:r>
        <w:rPr>
          <w:rFonts w:hint="eastAsia" w:ascii="仿宋_GB2312" w:hAnsi="仿宋_GB2312" w:eastAsia="仿宋_GB2312" w:cs="仿宋_GB2312"/>
          <w:sz w:val="32"/>
          <w:szCs w:val="32"/>
        </w:rPr>
        <w:t>。</w:t>
      </w:r>
    </w:p>
    <w:p w14:paraId="34DCDFE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（十三）</w:t>
      </w:r>
      <w:r>
        <w:rPr>
          <w:rFonts w:hint="eastAsia" w:ascii="仿宋_GB2312" w:hAnsi="仿宋_GB2312" w:eastAsia="仿宋_GB2312" w:cs="仿宋_GB2312"/>
          <w:sz w:val="32"/>
          <w:szCs w:val="32"/>
        </w:rPr>
        <w:t>冒名顶替、弄虚作假、作弊者，取消竞赛资格及成绩。</w:t>
      </w:r>
    </w:p>
    <w:p w14:paraId="4CA7CC7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（十四）</w:t>
      </w:r>
      <w:r>
        <w:rPr>
          <w:rFonts w:hint="eastAsia" w:ascii="仿宋_GB2312" w:hAnsi="仿宋_GB2312" w:eastAsia="仿宋_GB2312" w:cs="仿宋_GB2312"/>
          <w:sz w:val="32"/>
          <w:szCs w:val="32"/>
        </w:rPr>
        <w:t>竞赛现场配备实时监控系统，对现场赛事进行完整的实时监控和录像，并有专人对竞赛环节进行全程录像。</w:t>
      </w:r>
    </w:p>
    <w:p w14:paraId="20EF17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（十五）</w:t>
      </w:r>
      <w:r>
        <w:rPr>
          <w:rFonts w:hint="eastAsia" w:ascii="仿宋_GB2312" w:hAnsi="仿宋_GB2312" w:eastAsia="仿宋_GB2312" w:cs="仿宋_GB2312"/>
          <w:sz w:val="32"/>
          <w:szCs w:val="32"/>
        </w:rPr>
        <w:t>如竞赛出现不可预见的异常情况，由执委会与组委会商议后，做出处理决定。</w:t>
      </w:r>
    </w:p>
    <w:p w14:paraId="32E9B9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四、竞赛场地、设施设备</w:t>
      </w:r>
    </w:p>
    <w:p w14:paraId="7D074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（一）赛场规格</w:t>
      </w:r>
    </w:p>
    <w:p w14:paraId="320EC418">
      <w:pPr>
        <w:keepNext w:val="0"/>
        <w:keepLines w:val="0"/>
        <w:pageBreakBefore w:val="0"/>
        <w:widowControl w:val="0"/>
        <w:kinsoku/>
        <w:wordWrap w:val="0"/>
        <w:overflowPunct/>
        <w:topLinePunct w:val="0"/>
        <w:autoSpaceDE/>
        <w:autoSpaceDN/>
        <w:bidi w:val="0"/>
        <w:adjustRightInd w:val="0"/>
        <w:snapToGrid w:val="0"/>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1.初赛。</w:t>
      </w:r>
      <w:r>
        <w:rPr>
          <w:rFonts w:hint="eastAsia" w:ascii="仿宋_GB2312" w:hAnsi="仿宋_GB2312" w:eastAsia="仿宋_GB2312" w:cs="仿宋_GB2312"/>
          <w:sz w:val="32"/>
          <w:szCs w:val="32"/>
        </w:rPr>
        <w:t>参照计算机类工种</w:t>
      </w:r>
      <w:r>
        <w:rPr>
          <w:rFonts w:hint="eastAsia" w:ascii="仿宋_GB2312" w:hAnsi="仿宋_GB2312" w:cs="仿宋_GB2312"/>
          <w:sz w:val="32"/>
          <w:szCs w:val="32"/>
          <w:lang w:val="en-US" w:eastAsia="zh-CN"/>
        </w:rPr>
        <w:t>考核</w:t>
      </w:r>
      <w:r>
        <w:rPr>
          <w:rFonts w:hint="eastAsia" w:ascii="仿宋_GB2312" w:hAnsi="仿宋_GB2312" w:eastAsia="仿宋_GB2312" w:cs="仿宋_GB2312"/>
          <w:sz w:val="32"/>
          <w:szCs w:val="32"/>
        </w:rPr>
        <w:t>要求布置赛场，配备与参赛人数相适应的计算机及竞赛答题软件，保证单人单机并留有一定数量的备用机</w:t>
      </w:r>
      <w:r>
        <w:rPr>
          <w:rFonts w:hint="eastAsia" w:ascii="仿宋_GB2312" w:hAnsi="仿宋_GB2312" w:eastAsia="仿宋_GB2312" w:cs="仿宋_GB2312"/>
          <w:sz w:val="32"/>
          <w:szCs w:val="32"/>
          <w:lang w:val="en-US" w:eastAsia="zh-CN"/>
        </w:rPr>
        <w:t>。</w:t>
      </w:r>
    </w:p>
    <w:p w14:paraId="1EC0D9A3">
      <w:pPr>
        <w:keepNext w:val="0"/>
        <w:keepLines w:val="0"/>
        <w:pageBreakBefore w:val="0"/>
        <w:widowControl w:val="0"/>
        <w:kinsoku/>
        <w:wordWrap w:val="0"/>
        <w:overflowPunct/>
        <w:topLinePunct w:val="0"/>
        <w:autoSpaceDE/>
        <w:autoSpaceDN/>
        <w:bidi w:val="0"/>
        <w:adjustRightInd w:val="0"/>
        <w:snapToGrid w:val="0"/>
        <w:spacing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2.决赛。</w:t>
      </w:r>
      <w:r>
        <w:rPr>
          <w:rFonts w:hint="eastAsia" w:ascii="仿宋_GB2312" w:hAnsi="仿宋_GB2312" w:eastAsia="仿宋_GB2312" w:cs="仿宋_GB2312"/>
          <w:sz w:val="32"/>
          <w:szCs w:val="32"/>
          <w:highlight w:val="none"/>
          <w:lang w:val="en-US" w:eastAsia="zh-CN"/>
        </w:rPr>
        <w:t>竞赛现场设有竞赛区、</w:t>
      </w:r>
      <w:r>
        <w:rPr>
          <w:rFonts w:hint="eastAsia" w:ascii="仿宋_GB2312" w:hAnsi="仿宋_GB2312" w:eastAsia="仿宋_GB2312" w:cs="仿宋_GB2312"/>
          <w:sz w:val="32"/>
          <w:szCs w:val="32"/>
          <w:highlight w:val="none"/>
        </w:rPr>
        <w:t>裁判室、赛务室、</w:t>
      </w:r>
      <w:r>
        <w:rPr>
          <w:rFonts w:hint="eastAsia" w:ascii="仿宋_GB2312" w:hAnsi="仿宋_GB2312" w:eastAsia="仿宋_GB2312" w:cs="仿宋_GB2312"/>
          <w:sz w:val="32"/>
          <w:szCs w:val="32"/>
          <w:highlight w:val="none"/>
          <w:lang w:val="en-US" w:eastAsia="zh-CN"/>
        </w:rPr>
        <w:t>候</w:t>
      </w:r>
      <w:r>
        <w:rPr>
          <w:rFonts w:hint="eastAsia" w:ascii="仿宋_GB2312" w:hAnsi="仿宋_GB2312" w:eastAsia="仿宋_GB2312" w:cs="仿宋_GB2312"/>
          <w:sz w:val="32"/>
          <w:szCs w:val="32"/>
          <w:highlight w:val="none"/>
        </w:rPr>
        <w:t>赛室</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合计总面积</w:t>
      </w:r>
      <w:r>
        <w:rPr>
          <w:rFonts w:hint="eastAsia" w:ascii="仿宋_GB2312" w:hAnsi="仿宋_GB2312" w:cs="仿宋_GB2312"/>
          <w:sz w:val="32"/>
          <w:szCs w:val="32"/>
          <w:highlight w:val="none"/>
          <w:lang w:val="en-US" w:eastAsia="zh-CN"/>
        </w:rPr>
        <w:t>约1000</w:t>
      </w:r>
      <w:r>
        <w:rPr>
          <w:rFonts w:hint="eastAsia" w:ascii="仿宋_GB2312" w:hAnsi="仿宋_GB2312" w:eastAsia="仿宋_GB2312" w:cs="仿宋_GB2312"/>
          <w:sz w:val="32"/>
          <w:szCs w:val="32"/>
          <w:highlight w:val="none"/>
        </w:rPr>
        <w:t>平</w:t>
      </w:r>
      <w:r>
        <w:rPr>
          <w:rFonts w:hint="eastAsia" w:ascii="仿宋_GB2312" w:hAnsi="仿宋_GB2312" w:cs="仿宋_GB2312"/>
          <w:sz w:val="32"/>
          <w:szCs w:val="32"/>
          <w:highlight w:val="none"/>
          <w:lang w:eastAsia="zh-CN"/>
        </w:rPr>
        <w:t>方米</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val="en-US" w:eastAsia="zh-CN"/>
        </w:rPr>
        <w:t>参</w:t>
      </w:r>
      <w:r>
        <w:rPr>
          <w:rFonts w:hint="eastAsia" w:ascii="仿宋_GB2312" w:hAnsi="仿宋_GB2312" w:eastAsia="仿宋_GB2312" w:cs="仿宋_GB2312"/>
          <w:sz w:val="32"/>
          <w:szCs w:val="32"/>
          <w:highlight w:val="none"/>
        </w:rPr>
        <w:t>照计算机类工种</w:t>
      </w:r>
      <w:r>
        <w:rPr>
          <w:rFonts w:hint="eastAsia" w:ascii="仿宋_GB2312" w:hAnsi="仿宋_GB2312" w:cs="仿宋_GB2312"/>
          <w:sz w:val="32"/>
          <w:szCs w:val="32"/>
          <w:highlight w:val="none"/>
          <w:lang w:val="en-US" w:eastAsia="zh-CN"/>
        </w:rPr>
        <w:t>考核</w:t>
      </w:r>
      <w:r>
        <w:rPr>
          <w:rFonts w:hint="eastAsia" w:ascii="仿宋_GB2312" w:hAnsi="仿宋_GB2312" w:eastAsia="仿宋_GB2312" w:cs="仿宋_GB2312"/>
          <w:sz w:val="32"/>
          <w:szCs w:val="32"/>
          <w:highlight w:val="none"/>
        </w:rPr>
        <w:t>要求布置赛场，配备与参赛人数相适应的计算机及竞赛答题软件，保证单人单机并留有一定数量的备用机</w:t>
      </w:r>
      <w:r>
        <w:rPr>
          <w:rFonts w:hint="eastAsia" w:ascii="仿宋_GB2312" w:hAnsi="仿宋_GB2312" w:eastAsia="仿宋_GB2312" w:cs="仿宋_GB2312"/>
          <w:sz w:val="32"/>
          <w:szCs w:val="32"/>
          <w:highlight w:val="none"/>
          <w:lang w:val="en-US" w:eastAsia="zh-CN"/>
        </w:rPr>
        <w:t>。</w:t>
      </w:r>
    </w:p>
    <w:p w14:paraId="12C9A1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（二）场地布局图</w:t>
      </w:r>
    </w:p>
    <w:p w14:paraId="284DA9D4">
      <w:pPr>
        <w:pStyle w:val="17"/>
        <w:jc w:val="center"/>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drawing>
          <wp:inline distT="0" distB="0" distL="114300" distR="114300">
            <wp:extent cx="3343275" cy="3964305"/>
            <wp:effectExtent l="0" t="0" r="9525" b="13335"/>
            <wp:docPr id="2" name="图片 2" descr="813ff14065b6828e1b81b2fd2d76e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3ff14065b6828e1b81b2fd2d76e482"/>
                    <pic:cNvPicPr>
                      <a:picLocks noChangeAspect="1"/>
                    </pic:cNvPicPr>
                  </pic:nvPicPr>
                  <pic:blipFill>
                    <a:blip r:embed="rId5"/>
                    <a:stretch>
                      <a:fillRect/>
                    </a:stretch>
                  </pic:blipFill>
                  <pic:spPr>
                    <a:xfrm>
                      <a:off x="0" y="0"/>
                      <a:ext cx="3343275" cy="3964305"/>
                    </a:xfrm>
                    <a:prstGeom prst="rect">
                      <a:avLst/>
                    </a:prstGeom>
                  </pic:spPr>
                </pic:pic>
              </a:graphicData>
            </a:graphic>
          </wp:inline>
        </w:drawing>
      </w:r>
    </w:p>
    <w:p w14:paraId="4BCAE0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（三）基础设施清单</w:t>
      </w:r>
    </w:p>
    <w:p w14:paraId="2FB5294F">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eastAsia="仿宋_GB2312" w:cs="仿宋_GB2312"/>
          <w:sz w:val="32"/>
          <w:szCs w:val="32"/>
        </w:rPr>
        <w:t>竞赛所需设备、工具，由赛场提供，未明确在选手携带工具清单中的，一律不得带入赛场。赛场提供的各类工具、材料，选手一律不得带出赛场。赛场提供设施、设备具体如以下清单表所示：</w:t>
      </w:r>
    </w:p>
    <w:p w14:paraId="700BAF93">
      <w:pPr>
        <w:keepNext w:val="0"/>
        <w:keepLines w:val="0"/>
        <w:pageBreakBefore w:val="0"/>
        <w:widowControl w:val="0"/>
        <w:kinsoku/>
        <w:wordWrap w:val="0"/>
        <w:overflowPunct/>
        <w:topLinePunct w:val="0"/>
        <w:autoSpaceDE/>
        <w:autoSpaceDN/>
        <w:bidi w:val="0"/>
        <w:adjustRightInd w:val="0"/>
        <w:snapToGrid w:val="0"/>
        <w:spacing w:line="580" w:lineRule="exact"/>
        <w:jc w:val="center"/>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初赛设施、设备清单</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539"/>
        <w:gridCol w:w="2790"/>
        <w:gridCol w:w="2652"/>
      </w:tblGrid>
      <w:tr w14:paraId="1925F5C7">
        <w:trPr>
          <w:trHeight w:val="548" w:hRule="atLeast"/>
          <w:jc w:val="center"/>
        </w:trPr>
        <w:tc>
          <w:tcPr>
            <w:tcW w:w="903" w:type="pct"/>
            <w:noWrap w:val="0"/>
            <w:vAlign w:val="center"/>
          </w:tcPr>
          <w:p w14:paraId="69668B47">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903" w:type="pct"/>
            <w:noWrap w:val="0"/>
            <w:vAlign w:val="center"/>
          </w:tcPr>
          <w:p w14:paraId="138A4AE7">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名称</w:t>
            </w:r>
          </w:p>
        </w:tc>
        <w:tc>
          <w:tcPr>
            <w:tcW w:w="1637" w:type="pct"/>
            <w:noWrap w:val="0"/>
            <w:vAlign w:val="center"/>
          </w:tcPr>
          <w:p w14:paraId="071877BA">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数量</w:t>
            </w:r>
          </w:p>
        </w:tc>
        <w:tc>
          <w:tcPr>
            <w:tcW w:w="1555" w:type="pct"/>
            <w:noWrap w:val="0"/>
            <w:vAlign w:val="center"/>
          </w:tcPr>
          <w:p w14:paraId="508A2928">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技术规格</w:t>
            </w:r>
          </w:p>
        </w:tc>
      </w:tr>
      <w:tr w14:paraId="6E75F8EB">
        <w:trPr>
          <w:trHeight w:val="572" w:hRule="atLeast"/>
          <w:jc w:val="center"/>
        </w:trPr>
        <w:tc>
          <w:tcPr>
            <w:tcW w:w="903" w:type="pct"/>
            <w:noWrap w:val="0"/>
            <w:vAlign w:val="center"/>
          </w:tcPr>
          <w:p w14:paraId="1CF65EE3">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903" w:type="pct"/>
            <w:noWrap w:val="0"/>
            <w:vAlign w:val="center"/>
          </w:tcPr>
          <w:p w14:paraId="020D0B0A">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电脑</w:t>
            </w:r>
          </w:p>
        </w:tc>
        <w:tc>
          <w:tcPr>
            <w:tcW w:w="1637" w:type="pct"/>
            <w:noWrap w:val="0"/>
            <w:vAlign w:val="center"/>
          </w:tcPr>
          <w:p w14:paraId="44FCE3A1">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1套/选手</w:t>
            </w:r>
          </w:p>
        </w:tc>
        <w:tc>
          <w:tcPr>
            <w:tcW w:w="1555" w:type="pct"/>
            <w:noWrap w:val="0"/>
            <w:vAlign w:val="center"/>
          </w:tcPr>
          <w:p w14:paraId="5E1393BF">
            <w:pPr>
              <w:pStyle w:val="5"/>
              <w:keepNext w:val="0"/>
              <w:keepLines w:val="0"/>
              <w:pageBreakBefore w:val="0"/>
              <w:kinsoku/>
              <w:wordWrap w:val="0"/>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统一配置</w:t>
            </w:r>
          </w:p>
        </w:tc>
      </w:tr>
    </w:tbl>
    <w:p w14:paraId="04833F04">
      <w:pPr>
        <w:spacing w:line="56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决赛</w:t>
      </w:r>
      <w:r>
        <w:rPr>
          <w:rFonts w:hint="eastAsia" w:ascii="仿宋_GB2312" w:hAnsi="仿宋_GB2312" w:eastAsia="仿宋_GB2312" w:cs="仿宋_GB2312"/>
          <w:sz w:val="32"/>
          <w:szCs w:val="32"/>
          <w:highlight w:val="none"/>
          <w:lang w:val="en" w:eastAsia="zh-CN"/>
        </w:rPr>
        <w:t>设施、设备清单</w:t>
      </w:r>
    </w:p>
    <w:tbl>
      <w:tblPr>
        <w:tblStyle w:val="10"/>
        <w:tblW w:w="8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42" w:type="dxa"/>
          <w:bottom w:w="57" w:type="dxa"/>
          <w:right w:w="142" w:type="dxa"/>
        </w:tblCellMar>
      </w:tblPr>
      <w:tblGrid>
        <w:gridCol w:w="993"/>
        <w:gridCol w:w="1622"/>
        <w:gridCol w:w="1487"/>
        <w:gridCol w:w="4577"/>
      </w:tblGrid>
      <w:tr w14:paraId="3ED70BE8">
        <w:trPr>
          <w:tblHeader/>
        </w:trPr>
        <w:tc>
          <w:tcPr>
            <w:tcW w:w="993" w:type="dxa"/>
            <w:noWrap w:val="0"/>
            <w:vAlign w:val="top"/>
          </w:tcPr>
          <w:p w14:paraId="2A3ADB9A">
            <w:pPr>
              <w:pStyle w:val="14"/>
              <w:snapToGrid w:val="0"/>
              <w:spacing w:line="240" w:lineRule="atLeast"/>
              <w:jc w:val="center"/>
              <w:rPr>
                <w:rFonts w:hint="eastAsia" w:ascii="仿宋_GB2312" w:hAnsi="仿宋_GB2312" w:eastAsia="仿宋_GB2312" w:cs="仿宋_GB2312"/>
                <w:b/>
                <w:caps/>
                <w:color w:val="auto"/>
                <w:sz w:val="24"/>
                <w:highlight w:val="none"/>
              </w:rPr>
            </w:pPr>
            <w:r>
              <w:rPr>
                <w:rFonts w:hint="eastAsia" w:ascii="仿宋_GB2312" w:hAnsi="仿宋_GB2312" w:eastAsia="仿宋_GB2312" w:cs="仿宋_GB2312"/>
                <w:b/>
                <w:caps/>
                <w:color w:val="auto"/>
                <w:sz w:val="24"/>
                <w:highlight w:val="none"/>
                <w:lang w:val="en-US"/>
              </w:rPr>
              <w:t>序号</w:t>
            </w:r>
          </w:p>
        </w:tc>
        <w:tc>
          <w:tcPr>
            <w:tcW w:w="1622" w:type="dxa"/>
            <w:noWrap w:val="0"/>
            <w:vAlign w:val="top"/>
          </w:tcPr>
          <w:p w14:paraId="5B394CCC">
            <w:pPr>
              <w:pStyle w:val="14"/>
              <w:snapToGrid w:val="0"/>
              <w:spacing w:line="240" w:lineRule="atLeast"/>
              <w:jc w:val="center"/>
              <w:rPr>
                <w:rFonts w:hint="eastAsia" w:ascii="仿宋_GB2312" w:hAnsi="仿宋_GB2312" w:eastAsia="仿宋_GB2312" w:cs="仿宋_GB2312"/>
                <w:b/>
                <w:caps/>
                <w:color w:val="auto"/>
                <w:sz w:val="24"/>
                <w:highlight w:val="none"/>
              </w:rPr>
            </w:pPr>
            <w:r>
              <w:rPr>
                <w:rFonts w:hint="eastAsia" w:ascii="仿宋_GB2312" w:hAnsi="仿宋_GB2312" w:eastAsia="仿宋_GB2312" w:cs="仿宋_GB2312"/>
                <w:b/>
                <w:caps/>
                <w:color w:val="auto"/>
                <w:sz w:val="24"/>
                <w:highlight w:val="none"/>
                <w:lang w:val="en-US"/>
              </w:rPr>
              <w:t>名称</w:t>
            </w:r>
          </w:p>
        </w:tc>
        <w:tc>
          <w:tcPr>
            <w:tcW w:w="1487" w:type="dxa"/>
            <w:noWrap w:val="0"/>
            <w:vAlign w:val="top"/>
          </w:tcPr>
          <w:p w14:paraId="2ADAD994">
            <w:pPr>
              <w:pStyle w:val="14"/>
              <w:snapToGrid w:val="0"/>
              <w:spacing w:line="240" w:lineRule="atLeast"/>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数量</w:t>
            </w:r>
          </w:p>
        </w:tc>
        <w:tc>
          <w:tcPr>
            <w:tcW w:w="4577" w:type="dxa"/>
            <w:noWrap w:val="0"/>
            <w:vAlign w:val="top"/>
          </w:tcPr>
          <w:p w14:paraId="01D9A0F3">
            <w:pPr>
              <w:pStyle w:val="14"/>
              <w:snapToGrid w:val="0"/>
              <w:spacing w:line="240" w:lineRule="atLeast"/>
              <w:jc w:val="center"/>
              <w:rPr>
                <w:rFonts w:hint="eastAsia" w:ascii="仿宋_GB2312" w:hAnsi="仿宋_GB2312" w:eastAsia="仿宋_GB2312" w:cs="仿宋_GB2312"/>
                <w:b/>
                <w:caps/>
                <w:color w:val="auto"/>
                <w:sz w:val="24"/>
                <w:highlight w:val="none"/>
                <w:lang w:eastAsia="zh-CN"/>
              </w:rPr>
            </w:pPr>
            <w:r>
              <w:rPr>
                <w:rFonts w:hint="eastAsia" w:ascii="仿宋_GB2312" w:hAnsi="仿宋_GB2312" w:eastAsia="仿宋_GB2312" w:cs="仿宋_GB2312"/>
                <w:b/>
                <w:caps/>
                <w:color w:val="auto"/>
                <w:sz w:val="24"/>
                <w:highlight w:val="none"/>
                <w:lang w:eastAsia="zh-CN"/>
              </w:rPr>
              <w:t>技术规格</w:t>
            </w:r>
          </w:p>
        </w:tc>
      </w:tr>
      <w:tr w14:paraId="71E48CC5">
        <w:trPr>
          <w:trHeight w:val="381" w:hRule="atLeast"/>
        </w:trPr>
        <w:tc>
          <w:tcPr>
            <w:tcW w:w="993" w:type="dxa"/>
            <w:noWrap w:val="0"/>
            <w:vAlign w:val="center"/>
          </w:tcPr>
          <w:p w14:paraId="0B1DC50F">
            <w:pPr>
              <w:snapToGrid w:val="0"/>
              <w:spacing w:line="240" w:lineRule="atLeast"/>
              <w:jc w:val="center"/>
              <w:rPr>
                <w:rFonts w:hint="eastAsia" w:ascii="仿宋_GB2312" w:hAnsi="仿宋_GB2312" w:eastAsia="仿宋_GB2312" w:cs="仿宋_GB2312"/>
                <w:color w:val="auto"/>
                <w:sz w:val="24"/>
                <w:highlight w:val="none"/>
                <w:lang w:eastAsia="zh-TW"/>
              </w:rPr>
            </w:pPr>
            <w:r>
              <w:rPr>
                <w:rFonts w:hint="eastAsia" w:ascii="仿宋_GB2312" w:hAnsi="仿宋_GB2312" w:eastAsia="仿宋_GB2312" w:cs="仿宋_GB2312"/>
                <w:color w:val="auto"/>
                <w:sz w:val="24"/>
                <w:highlight w:val="none"/>
                <w:lang w:eastAsia="zh-TW"/>
              </w:rPr>
              <w:t>1</w:t>
            </w:r>
          </w:p>
        </w:tc>
        <w:tc>
          <w:tcPr>
            <w:tcW w:w="1622" w:type="dxa"/>
            <w:noWrap w:val="0"/>
            <w:vAlign w:val="center"/>
          </w:tcPr>
          <w:p w14:paraId="6AFA6B72">
            <w:pPr>
              <w:snapToGrid w:val="0"/>
              <w:spacing w:line="240" w:lineRule="atLeast"/>
              <w:jc w:val="center"/>
              <w:rPr>
                <w:rFonts w:hint="eastAsia" w:ascii="仿宋_GB2312" w:hAnsi="仿宋_GB2312" w:eastAsia="仿宋_GB2312" w:cs="仿宋_GB2312"/>
                <w:color w:val="auto"/>
                <w:sz w:val="24"/>
                <w:highlight w:val="none"/>
                <w:lang w:eastAsia="zh-CN"/>
              </w:rPr>
            </w:pPr>
            <w:r>
              <w:rPr>
                <w:rFonts w:hint="eastAsia" w:ascii="仿宋_GB2312" w:hAnsi="仿宋_GB2312" w:cs="仿宋_GB2312"/>
                <w:color w:val="auto"/>
                <w:sz w:val="24"/>
                <w:highlight w:val="none"/>
                <w:lang w:val="en-US" w:eastAsia="zh-CN"/>
              </w:rPr>
              <w:t>电脑</w:t>
            </w:r>
          </w:p>
        </w:tc>
        <w:tc>
          <w:tcPr>
            <w:tcW w:w="1487" w:type="dxa"/>
            <w:noWrap w:val="0"/>
            <w:vAlign w:val="center"/>
          </w:tcPr>
          <w:p w14:paraId="7002AE7D">
            <w:pPr>
              <w:snapToGrid w:val="0"/>
              <w:spacing w:line="240" w:lineRule="atLeast"/>
              <w:jc w:val="center"/>
              <w:rPr>
                <w:rFonts w:hint="eastAsia" w:ascii="仿宋_GB2312" w:hAnsi="仿宋_GB2312" w:eastAsia="仿宋_GB2312" w:cs="仿宋_GB2312"/>
                <w:color w:val="auto"/>
                <w:sz w:val="24"/>
                <w:highlight w:val="none"/>
                <w:lang w:eastAsia="zh-TW"/>
              </w:rPr>
            </w:pPr>
            <w:r>
              <w:rPr>
                <w:rFonts w:hint="eastAsia" w:ascii="仿宋_GB2312" w:hAnsi="仿宋_GB2312" w:eastAsia="仿宋_GB2312" w:cs="仿宋_GB2312"/>
                <w:color w:val="auto"/>
                <w:sz w:val="24"/>
                <w:highlight w:val="none"/>
              </w:rPr>
              <w:t>1</w:t>
            </w:r>
            <w:r>
              <w:rPr>
                <w:rFonts w:hint="eastAsia" w:ascii="仿宋_GB2312" w:hAnsi="仿宋_GB2312" w:cs="仿宋_GB2312"/>
                <w:color w:val="auto"/>
                <w:sz w:val="24"/>
                <w:highlight w:val="none"/>
                <w:lang w:val="en-US" w:eastAsia="zh-CN"/>
              </w:rPr>
              <w:t>套</w:t>
            </w:r>
            <w:r>
              <w:rPr>
                <w:rFonts w:hint="eastAsia" w:ascii="仿宋_GB2312" w:hAnsi="仿宋_GB2312" w:eastAsia="仿宋_GB2312" w:cs="仿宋_GB2312"/>
                <w:color w:val="auto"/>
                <w:sz w:val="24"/>
                <w:highlight w:val="none"/>
              </w:rPr>
              <w:t>/选手</w:t>
            </w:r>
          </w:p>
        </w:tc>
        <w:tc>
          <w:tcPr>
            <w:tcW w:w="4577" w:type="dxa"/>
            <w:noWrap w:val="0"/>
            <w:vAlign w:val="center"/>
          </w:tcPr>
          <w:p w14:paraId="2368C19A">
            <w:pPr>
              <w:pStyle w:val="14"/>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统一配置</w:t>
            </w:r>
          </w:p>
        </w:tc>
      </w:tr>
      <w:tr w14:paraId="01F28303">
        <w:trPr>
          <w:trHeight w:val="310" w:hRule="atLeast"/>
        </w:trPr>
        <w:tc>
          <w:tcPr>
            <w:tcW w:w="993" w:type="dxa"/>
            <w:noWrap w:val="0"/>
            <w:vAlign w:val="center"/>
          </w:tcPr>
          <w:p w14:paraId="240BA0A8">
            <w:pPr>
              <w:snapToGrid w:val="0"/>
              <w:spacing w:line="240" w:lineRule="atLeast"/>
              <w:jc w:val="center"/>
              <w:rPr>
                <w:rFonts w:hint="eastAsia" w:ascii="仿宋_GB2312" w:hAnsi="仿宋_GB2312" w:eastAsia="仿宋_GB2312" w:cs="仿宋_GB2312"/>
                <w:color w:val="auto"/>
                <w:sz w:val="24"/>
                <w:highlight w:val="none"/>
                <w:lang w:val="en-GB"/>
              </w:rPr>
            </w:pPr>
            <w:r>
              <w:rPr>
                <w:rFonts w:hint="eastAsia" w:ascii="仿宋_GB2312" w:hAnsi="仿宋_GB2312" w:eastAsia="仿宋_GB2312" w:cs="仿宋_GB2312"/>
                <w:color w:val="auto"/>
                <w:sz w:val="24"/>
                <w:highlight w:val="none"/>
              </w:rPr>
              <w:t>2</w:t>
            </w:r>
          </w:p>
        </w:tc>
        <w:tc>
          <w:tcPr>
            <w:tcW w:w="1622" w:type="dxa"/>
            <w:noWrap w:val="0"/>
            <w:vAlign w:val="center"/>
          </w:tcPr>
          <w:p w14:paraId="6C9D2C25">
            <w:pPr>
              <w:snapToGrid w:val="0"/>
              <w:spacing w:line="240" w:lineRule="atLeast"/>
              <w:jc w:val="center"/>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电脑</w:t>
            </w:r>
          </w:p>
        </w:tc>
        <w:tc>
          <w:tcPr>
            <w:tcW w:w="1487" w:type="dxa"/>
            <w:noWrap w:val="0"/>
            <w:vAlign w:val="center"/>
          </w:tcPr>
          <w:p w14:paraId="65997A65">
            <w:pPr>
              <w:snapToGrid w:val="0"/>
              <w:spacing w:line="240" w:lineRule="atLeas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8"/>
                <w:szCs w:val="28"/>
                <w:highlight w:val="none"/>
                <w:lang w:eastAsia="zh-CN"/>
              </w:rPr>
              <w:t>1套/选手</w:t>
            </w:r>
          </w:p>
        </w:tc>
        <w:tc>
          <w:tcPr>
            <w:tcW w:w="4577" w:type="dxa"/>
            <w:noWrap w:val="0"/>
            <w:vAlign w:val="center"/>
          </w:tcPr>
          <w:p w14:paraId="19A1CF75">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CPU：Intel Core Intel i5 14500</w:t>
            </w:r>
          </w:p>
          <w:p w14:paraId="2EB6BC33">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内存：32G</w:t>
            </w:r>
          </w:p>
          <w:p w14:paraId="29DFA11C">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硬盘：1TB</w:t>
            </w:r>
          </w:p>
          <w:p w14:paraId="76DDD300">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系统：Windows10</w:t>
            </w:r>
          </w:p>
          <w:p w14:paraId="2AF9E477">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微软雅黑" w:hAnsi="微软雅黑" w:eastAsia="微软雅黑" w:cs="微软雅黑"/>
                <w:color w:val="auto"/>
                <w:kern w:val="2"/>
                <w:sz w:val="24"/>
                <w:szCs w:val="24"/>
                <w:lang w:val="en-US" w:eastAsia="zh-CN" w:bidi="ar-SA"/>
              </w:rPr>
            </w:pPr>
            <w:r>
              <w:rPr>
                <w:rFonts w:hint="eastAsia" w:ascii="仿宋_GB2312" w:hAnsi="仿宋_GB2312" w:eastAsia="仿宋_GB2312" w:cs="仿宋_GB2312"/>
                <w:kern w:val="2"/>
                <w:sz w:val="28"/>
                <w:szCs w:val="28"/>
                <w:lang w:val="en-US" w:eastAsia="zh-CN" w:bidi="ar-SA"/>
              </w:rPr>
              <w:t>键盘鼠标：标准</w:t>
            </w:r>
          </w:p>
        </w:tc>
      </w:tr>
      <w:tr w14:paraId="23985E96">
        <w:trPr>
          <w:trHeight w:val="324" w:hRule="atLeast"/>
        </w:trPr>
        <w:tc>
          <w:tcPr>
            <w:tcW w:w="993" w:type="dxa"/>
            <w:vMerge w:val="restart"/>
            <w:noWrap w:val="0"/>
            <w:vAlign w:val="center"/>
          </w:tcPr>
          <w:p w14:paraId="59E9931C">
            <w:pPr>
              <w:snapToGrid w:val="0"/>
              <w:spacing w:line="240" w:lineRule="atLeast"/>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3</w:t>
            </w:r>
          </w:p>
        </w:tc>
        <w:tc>
          <w:tcPr>
            <w:tcW w:w="1622" w:type="dxa"/>
            <w:vMerge w:val="restart"/>
            <w:noWrap w:val="0"/>
            <w:vAlign w:val="center"/>
          </w:tcPr>
          <w:p w14:paraId="14858B12">
            <w:pPr>
              <w:snapToGrid w:val="0"/>
              <w:spacing w:line="240" w:lineRule="atLeast"/>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服务器</w:t>
            </w:r>
          </w:p>
        </w:tc>
        <w:tc>
          <w:tcPr>
            <w:tcW w:w="1487" w:type="dxa"/>
            <w:noWrap w:val="0"/>
            <w:vAlign w:val="center"/>
          </w:tcPr>
          <w:p w14:paraId="531D8515">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3台</w:t>
            </w:r>
          </w:p>
        </w:tc>
        <w:tc>
          <w:tcPr>
            <w:tcW w:w="4577" w:type="dxa"/>
            <w:noWrap w:val="0"/>
            <w:vAlign w:val="center"/>
          </w:tcPr>
          <w:p w14:paraId="43126905">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微软雅黑" w:hAnsi="微软雅黑" w:eastAsia="微软雅黑" w:cs="微软雅黑"/>
                <w:color w:val="auto"/>
                <w:kern w:val="2"/>
                <w:sz w:val="24"/>
                <w:szCs w:val="24"/>
                <w:lang w:val="en-US" w:eastAsia="zh-CN" w:bidi="ar-SA"/>
              </w:rPr>
            </w:pPr>
            <w:r>
              <w:rPr>
                <w:rFonts w:hint="eastAsia" w:ascii="仿宋_GB2312" w:hAnsi="仿宋_GB2312" w:eastAsia="仿宋_GB2312" w:cs="仿宋_GB2312"/>
                <w:color w:val="auto"/>
                <w:kern w:val="2"/>
                <w:sz w:val="28"/>
                <w:szCs w:val="28"/>
                <w:lang w:val="en-US" w:eastAsia="zh-CN" w:bidi="ar-SA"/>
              </w:rPr>
              <w:t>超聚变2288H V6/铂金8380*2/32G DDR4 3200*8/1.92T NVME*2/480G SSD SATA*2/8T HDD *4/1500W*2</w:t>
            </w:r>
          </w:p>
        </w:tc>
      </w:tr>
      <w:tr w14:paraId="105C4B63">
        <w:trPr>
          <w:trHeight w:val="324" w:hRule="atLeast"/>
        </w:trPr>
        <w:tc>
          <w:tcPr>
            <w:tcW w:w="993" w:type="dxa"/>
            <w:vMerge w:val="continue"/>
            <w:noWrap w:val="0"/>
            <w:vAlign w:val="center"/>
          </w:tcPr>
          <w:p w14:paraId="5EC92B80">
            <w:pPr>
              <w:snapToGrid w:val="0"/>
              <w:spacing w:line="240" w:lineRule="atLeast"/>
              <w:jc w:val="center"/>
              <w:rPr>
                <w:rFonts w:hint="eastAsia" w:ascii="仿宋_GB2312" w:hAnsi="仿宋_GB2312" w:eastAsia="仿宋_GB2312" w:cs="仿宋_GB2312"/>
                <w:color w:val="auto"/>
                <w:sz w:val="24"/>
                <w:highlight w:val="none"/>
              </w:rPr>
            </w:pPr>
          </w:p>
        </w:tc>
        <w:tc>
          <w:tcPr>
            <w:tcW w:w="1622" w:type="dxa"/>
            <w:vMerge w:val="continue"/>
            <w:noWrap w:val="0"/>
            <w:vAlign w:val="center"/>
          </w:tcPr>
          <w:p w14:paraId="5DB0E3BB">
            <w:pPr>
              <w:snapToGrid w:val="0"/>
              <w:spacing w:line="240" w:lineRule="atLeast"/>
              <w:jc w:val="center"/>
              <w:rPr>
                <w:rFonts w:hint="eastAsia" w:ascii="仿宋_GB2312" w:hAnsi="仿宋_GB2312" w:eastAsia="仿宋_GB2312" w:cs="仿宋_GB2312"/>
                <w:color w:val="auto"/>
                <w:sz w:val="24"/>
                <w:highlight w:val="none"/>
              </w:rPr>
            </w:pPr>
          </w:p>
        </w:tc>
        <w:tc>
          <w:tcPr>
            <w:tcW w:w="1487" w:type="dxa"/>
            <w:noWrap w:val="0"/>
            <w:vAlign w:val="center"/>
          </w:tcPr>
          <w:p w14:paraId="1DA63269">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1台</w:t>
            </w:r>
          </w:p>
        </w:tc>
        <w:tc>
          <w:tcPr>
            <w:tcW w:w="4577" w:type="dxa"/>
            <w:noWrap w:val="0"/>
            <w:vAlign w:val="center"/>
          </w:tcPr>
          <w:p w14:paraId="090CBABE">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2288H V6：</w:t>
            </w:r>
          </w:p>
          <w:p w14:paraId="56052D58">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default" w:ascii="微软雅黑" w:hAnsi="微软雅黑" w:eastAsia="微软雅黑" w:cs="微软雅黑"/>
                <w:color w:val="auto"/>
                <w:kern w:val="2"/>
                <w:sz w:val="24"/>
                <w:szCs w:val="24"/>
                <w:lang w:val="en-US" w:eastAsia="zh-CN" w:bidi="ar-SA"/>
              </w:rPr>
            </w:pPr>
            <w:r>
              <w:rPr>
                <w:rFonts w:hint="eastAsia" w:ascii="仿宋_GB2312" w:hAnsi="仿宋_GB2312" w:eastAsia="仿宋_GB2312" w:cs="仿宋_GB2312"/>
                <w:color w:val="auto"/>
                <w:kern w:val="2"/>
                <w:sz w:val="28"/>
                <w:szCs w:val="28"/>
                <w:lang w:val="en-US" w:eastAsia="zh-CN" w:bidi="ar-SA"/>
              </w:rPr>
              <w:t>4314*2，4*32G，2*480G，NVIDIA L20 48GB*</w:t>
            </w:r>
            <w:r>
              <w:rPr>
                <w:rFonts w:hint="eastAsia" w:ascii="仿宋_GB2312" w:hAnsi="仿宋_GB2312" w:cs="仿宋_GB2312"/>
                <w:color w:val="auto"/>
                <w:kern w:val="2"/>
                <w:sz w:val="28"/>
                <w:szCs w:val="28"/>
                <w:lang w:val="en-US" w:eastAsia="zh-CN" w:bidi="ar-SA"/>
              </w:rPr>
              <w:t xml:space="preserve">4  </w:t>
            </w:r>
          </w:p>
        </w:tc>
      </w:tr>
      <w:tr w14:paraId="1CAC4A64">
        <w:trPr>
          <w:trHeight w:val="324" w:hRule="atLeast"/>
        </w:trPr>
        <w:tc>
          <w:tcPr>
            <w:tcW w:w="993" w:type="dxa"/>
            <w:noWrap w:val="0"/>
            <w:vAlign w:val="center"/>
          </w:tcPr>
          <w:p w14:paraId="39EEA88F">
            <w:pPr>
              <w:snapToGrid w:val="0"/>
              <w:spacing w:line="240" w:lineRule="atLeast"/>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4</w:t>
            </w:r>
          </w:p>
        </w:tc>
        <w:tc>
          <w:tcPr>
            <w:tcW w:w="1622" w:type="dxa"/>
            <w:noWrap w:val="0"/>
            <w:vAlign w:val="center"/>
          </w:tcPr>
          <w:p w14:paraId="3A86A978">
            <w:pPr>
              <w:snapToGrid w:val="0"/>
              <w:spacing w:line="240" w:lineRule="atLeas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服务器软件平台</w:t>
            </w:r>
          </w:p>
        </w:tc>
        <w:tc>
          <w:tcPr>
            <w:tcW w:w="1487" w:type="dxa"/>
            <w:noWrap w:val="0"/>
            <w:vAlign w:val="center"/>
          </w:tcPr>
          <w:p w14:paraId="106E1BF7">
            <w:pPr>
              <w:snapToGrid w:val="0"/>
              <w:spacing w:line="240" w:lineRule="atLeast"/>
              <w:jc w:val="center"/>
              <w:rPr>
                <w:rFonts w:hint="default" w:ascii="仿宋_GB2312" w:hAnsi="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1套</w:t>
            </w:r>
          </w:p>
        </w:tc>
        <w:tc>
          <w:tcPr>
            <w:tcW w:w="4577" w:type="dxa"/>
            <w:noWrap w:val="0"/>
            <w:vAlign w:val="center"/>
          </w:tcPr>
          <w:p w14:paraId="567A23BF">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超聚变FusionOne HCI 23</w:t>
            </w:r>
          </w:p>
        </w:tc>
      </w:tr>
      <w:tr w14:paraId="48F88341">
        <w:trPr>
          <w:trHeight w:val="324" w:hRule="atLeast"/>
        </w:trPr>
        <w:tc>
          <w:tcPr>
            <w:tcW w:w="993" w:type="dxa"/>
            <w:noWrap w:val="0"/>
            <w:vAlign w:val="center"/>
          </w:tcPr>
          <w:p w14:paraId="3E882F51">
            <w:pPr>
              <w:snapToGrid w:val="0"/>
              <w:spacing w:line="240" w:lineRule="atLeast"/>
              <w:jc w:val="center"/>
              <w:rPr>
                <w:rFonts w:hint="default" w:ascii="仿宋_GB2312" w:hAnsi="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5</w:t>
            </w:r>
          </w:p>
        </w:tc>
        <w:tc>
          <w:tcPr>
            <w:tcW w:w="1622" w:type="dxa"/>
            <w:noWrap w:val="0"/>
            <w:vAlign w:val="center"/>
          </w:tcPr>
          <w:p w14:paraId="7A14E194">
            <w:pPr>
              <w:snapToGrid w:val="0"/>
              <w:spacing w:line="240" w:lineRule="atLeast"/>
              <w:jc w:val="center"/>
              <w:rPr>
                <w:rFonts w:hint="default" w:ascii="仿宋_GB2312" w:hAnsi="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数字孪生软件</w:t>
            </w:r>
          </w:p>
        </w:tc>
        <w:tc>
          <w:tcPr>
            <w:tcW w:w="1487" w:type="dxa"/>
            <w:noWrap w:val="0"/>
            <w:vAlign w:val="center"/>
          </w:tcPr>
          <w:p w14:paraId="53931297">
            <w:pPr>
              <w:snapToGrid w:val="0"/>
              <w:spacing w:line="240" w:lineRule="atLeast"/>
              <w:jc w:val="center"/>
              <w:rPr>
                <w:rFonts w:hint="default" w:ascii="仿宋_GB2312" w:hAnsi="仿宋_GB2312" w:cs="仿宋_GB2312"/>
                <w:color w:val="auto"/>
                <w:sz w:val="24"/>
                <w:highlight w:val="none"/>
                <w:lang w:val="en-US" w:eastAsia="zh-CN"/>
              </w:rPr>
            </w:pPr>
            <w:r>
              <w:rPr>
                <w:rFonts w:hint="eastAsia" w:ascii="仿宋_GB2312" w:hAnsi="仿宋_GB2312" w:cs="仿宋_GB2312"/>
                <w:color w:val="auto"/>
                <w:sz w:val="24"/>
                <w:highlight w:val="none"/>
                <w:lang w:val="en-US" w:eastAsia="zh-CN"/>
              </w:rPr>
              <w:t>1套</w:t>
            </w:r>
          </w:p>
        </w:tc>
        <w:tc>
          <w:tcPr>
            <w:tcW w:w="4577" w:type="dxa"/>
            <w:noWrap w:val="0"/>
            <w:vAlign w:val="center"/>
          </w:tcPr>
          <w:p w14:paraId="687C4736">
            <w:pPr>
              <w:keepNext w:val="0"/>
              <w:keepLines w:val="0"/>
              <w:pageBreakBefore w:val="0"/>
              <w:widowControl/>
              <w:suppressLineNumbers w:val="0"/>
              <w:kinsoku/>
              <w:wordWrap w:val="0"/>
              <w:overflowPunct/>
              <w:topLinePunct w:val="0"/>
              <w:autoSpaceDE/>
              <w:autoSpaceDN/>
              <w:bidi w:val="0"/>
              <w:adjustRightInd/>
              <w:snapToGrid/>
              <w:spacing w:line="0" w:lineRule="atLeast"/>
              <w:jc w:val="both"/>
              <w:textAlignment w:val="center"/>
              <w:rPr>
                <w:rFonts w:hint="default" w:ascii="仿宋_GB2312" w:hAnsi="仿宋_GB2312" w:cs="仿宋_GB2312"/>
                <w:color w:val="auto"/>
                <w:kern w:val="2"/>
                <w:sz w:val="28"/>
                <w:szCs w:val="28"/>
                <w:lang w:val="en-US" w:eastAsia="zh-CN" w:bidi="ar-SA"/>
              </w:rPr>
            </w:pPr>
            <w:r>
              <w:rPr>
                <w:rFonts w:hint="eastAsia" w:ascii="仿宋_GB2312" w:hAnsi="仿宋_GB2312" w:cs="仿宋_GB2312"/>
                <w:color w:val="auto"/>
                <w:kern w:val="2"/>
                <w:sz w:val="28"/>
                <w:szCs w:val="28"/>
                <w:lang w:val="en-US" w:eastAsia="zh-CN" w:bidi="ar-SA"/>
              </w:rPr>
              <w:t>统一配置</w:t>
            </w:r>
          </w:p>
        </w:tc>
      </w:tr>
    </w:tbl>
    <w:p w14:paraId="0BE5BAB7">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禁止携带物品清单表</w:t>
      </w:r>
    </w:p>
    <w:tbl>
      <w:tblPr>
        <w:tblStyle w:val="10"/>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70"/>
        <w:gridCol w:w="4476"/>
        <w:gridCol w:w="3074"/>
      </w:tblGrid>
      <w:tr w14:paraId="53EBA94E">
        <w:trPr>
          <w:trHeight w:val="434" w:hRule="atLeast"/>
          <w:tblHeader/>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13D4C9B1">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序号</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10DAC1D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en-US" w:eastAsia="zh-CN" w:bidi="ar-SA"/>
              </w:rPr>
              <w:t>设备和材料名称</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24CBC7D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举例</w:t>
            </w:r>
          </w:p>
        </w:tc>
      </w:tr>
      <w:tr w14:paraId="3338382C">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11063888">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1</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4EF7C30C">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zh-CN" w:eastAsia="zh-CN" w:bidi="ar-SA"/>
              </w:rPr>
              <w:t>通讯设备</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3CA942A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手机、电话手表等</w:t>
            </w:r>
          </w:p>
        </w:tc>
      </w:tr>
      <w:tr w14:paraId="45EF72C0">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3A73C485">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2</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17EA1CDA">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移动存储设备</w:t>
            </w:r>
            <w:r>
              <w:rPr>
                <w:rFonts w:hint="eastAsia" w:ascii="仿宋_GB2312" w:hAnsi="仿宋_GB2312" w:cs="仿宋_GB2312"/>
                <w:kern w:val="2"/>
                <w:sz w:val="28"/>
                <w:szCs w:val="28"/>
                <w:lang w:val="zh-CN" w:eastAsia="zh-CN" w:bidi="ar-SA"/>
              </w:rPr>
              <w:t>、</w:t>
            </w:r>
            <w:r>
              <w:rPr>
                <w:rFonts w:hint="eastAsia" w:ascii="仿宋_GB2312" w:hAnsi="仿宋_GB2312" w:cs="仿宋_GB2312"/>
                <w:kern w:val="2"/>
                <w:sz w:val="28"/>
                <w:szCs w:val="28"/>
                <w:lang w:val="en-US" w:eastAsia="zh-CN" w:bidi="ar-SA"/>
              </w:rPr>
              <w:t>电子设备</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2DB3881B">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U盘、录音笔</w:t>
            </w:r>
          </w:p>
        </w:tc>
      </w:tr>
      <w:tr w14:paraId="24F9AF21">
        <w:trPr>
          <w:trHeight w:val="454" w:hRule="atLeast"/>
          <w:jc w:val="center"/>
        </w:trPr>
        <w:tc>
          <w:tcPr>
            <w:tcW w:w="569" w:type="pct"/>
            <w:tcBorders>
              <w:top w:val="single" w:color="auto" w:sz="4" w:space="0"/>
              <w:left w:val="single" w:color="auto" w:sz="4" w:space="0"/>
              <w:bottom w:val="single" w:color="auto" w:sz="4" w:space="0"/>
              <w:right w:val="single" w:color="auto" w:sz="4" w:space="0"/>
            </w:tcBorders>
            <w:noWrap w:val="0"/>
            <w:vAlign w:val="center"/>
          </w:tcPr>
          <w:p w14:paraId="3EC68F16">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3</w:t>
            </w:r>
          </w:p>
        </w:tc>
        <w:tc>
          <w:tcPr>
            <w:tcW w:w="2626" w:type="pct"/>
            <w:tcBorders>
              <w:top w:val="single" w:color="auto" w:sz="4" w:space="0"/>
              <w:left w:val="single" w:color="auto" w:sz="4" w:space="0"/>
              <w:bottom w:val="single" w:color="auto" w:sz="4" w:space="0"/>
              <w:right w:val="single" w:color="auto" w:sz="4" w:space="0"/>
            </w:tcBorders>
            <w:noWrap w:val="0"/>
            <w:vAlign w:val="center"/>
          </w:tcPr>
          <w:p w14:paraId="5D4F3B89">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任何与竞赛内容相关的物品</w:t>
            </w:r>
          </w:p>
        </w:tc>
        <w:tc>
          <w:tcPr>
            <w:tcW w:w="1803" w:type="pct"/>
            <w:tcBorders>
              <w:top w:val="single" w:color="auto" w:sz="4" w:space="0"/>
              <w:left w:val="single" w:color="auto" w:sz="4" w:space="0"/>
              <w:bottom w:val="single" w:color="auto" w:sz="4" w:space="0"/>
              <w:right w:val="single" w:color="auto" w:sz="4" w:space="0"/>
            </w:tcBorders>
            <w:noWrap w:val="0"/>
            <w:vAlign w:val="center"/>
          </w:tcPr>
          <w:p w14:paraId="5E45B612">
            <w:pPr>
              <w:pStyle w:val="5"/>
              <w:keepNext w:val="0"/>
              <w:keepLines w:val="0"/>
              <w:pageBreakBefore w:val="0"/>
              <w:widowControl w:val="0"/>
              <w:kinsoku/>
              <w:wordWrap w:val="0"/>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kern w:val="2"/>
                <w:sz w:val="28"/>
                <w:szCs w:val="28"/>
                <w:lang w:val="zh-CN" w:eastAsia="zh-CN" w:bidi="ar-SA"/>
              </w:rPr>
            </w:pPr>
            <w:r>
              <w:rPr>
                <w:rFonts w:hint="eastAsia" w:ascii="仿宋_GB2312" w:hAnsi="仿宋_GB2312" w:eastAsia="仿宋_GB2312" w:cs="仿宋_GB2312"/>
                <w:kern w:val="2"/>
                <w:sz w:val="28"/>
                <w:szCs w:val="28"/>
                <w:lang w:val="zh-CN" w:eastAsia="zh-CN" w:bidi="ar-SA"/>
              </w:rPr>
              <w:t>复习资料、教材等</w:t>
            </w:r>
          </w:p>
        </w:tc>
      </w:tr>
    </w:tbl>
    <w:p w14:paraId="6A025700">
      <w:pPr>
        <w:pStyle w:val="8"/>
        <w:ind w:firstLine="600" w:firstLineChars="200"/>
        <w:rPr>
          <w:rFonts w:ascii="Times New Roman" w:hAnsi="Times New Roman" w:eastAsia="黑体" w:cs="Times New Roman"/>
          <w:b w:val="0"/>
          <w:bCs/>
          <w:color w:val="auto"/>
          <w:sz w:val="32"/>
          <w:szCs w:val="32"/>
          <w:highlight w:val="none"/>
          <w:lang w:eastAsia="zh-CN"/>
        </w:rPr>
      </w:pPr>
      <w:r>
        <w:rPr>
          <w:rFonts w:ascii="Times New Roman" w:hAnsi="Times New Roman" w:eastAsia="黑体" w:cs="Times New Roman"/>
          <w:b w:val="0"/>
          <w:bCs/>
          <w:color w:val="auto"/>
          <w:sz w:val="32"/>
          <w:szCs w:val="32"/>
          <w:highlight w:val="none"/>
          <w:lang w:eastAsia="zh-CN"/>
        </w:rPr>
        <w:t>五、安全、健康要求</w:t>
      </w:r>
    </w:p>
    <w:p w14:paraId="73387F55">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（一）</w:t>
      </w:r>
      <w:r>
        <w:rPr>
          <w:rFonts w:hint="eastAsia" w:ascii="仿宋_GB2312" w:hAnsi="仿宋_GB2312" w:eastAsia="仿宋_GB2312" w:cs="仿宋_GB2312"/>
          <w:color w:val="auto"/>
          <w:kern w:val="0"/>
          <w:sz w:val="32"/>
          <w:szCs w:val="30"/>
          <w:lang w:eastAsia="zh-CN"/>
        </w:rPr>
        <w:t>赛场设医务室，配备医护人员，当选手或赛场其他人员发生身体不适时，进行医护处理。</w:t>
      </w:r>
    </w:p>
    <w:p w14:paraId="7DE30965">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（二）</w:t>
      </w:r>
      <w:r>
        <w:rPr>
          <w:rFonts w:hint="eastAsia" w:ascii="仿宋_GB2312" w:hAnsi="仿宋_GB2312" w:eastAsia="仿宋_GB2312" w:cs="仿宋_GB2312"/>
          <w:color w:val="auto"/>
          <w:kern w:val="0"/>
          <w:sz w:val="32"/>
          <w:szCs w:val="30"/>
          <w:lang w:eastAsia="zh-CN"/>
        </w:rPr>
        <w:t>严格按照安全应急预案加强对竞赛全过程的动态管理，确保竞赛活动安全有序。</w:t>
      </w:r>
    </w:p>
    <w:p w14:paraId="217EAE5D">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cs="仿宋_GB2312"/>
          <w:color w:val="auto"/>
          <w:kern w:val="0"/>
          <w:sz w:val="32"/>
          <w:szCs w:val="30"/>
          <w:lang w:eastAsia="zh-CN"/>
        </w:rPr>
        <w:t>（三）</w:t>
      </w:r>
      <w:r>
        <w:rPr>
          <w:rFonts w:hint="eastAsia" w:ascii="仿宋_GB2312" w:hAnsi="仿宋_GB2312" w:eastAsia="仿宋_GB2312" w:cs="仿宋_GB2312"/>
          <w:color w:val="auto"/>
          <w:kern w:val="0"/>
          <w:sz w:val="32"/>
          <w:szCs w:val="30"/>
          <w:lang w:eastAsia="zh-CN"/>
        </w:rPr>
        <w:t>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7D407D3E">
      <w:pPr>
        <w:pStyle w:val="13"/>
        <w:ind w:firstLine="640"/>
      </w:pPr>
      <w:r>
        <w:rPr>
          <w:rFonts w:hint="eastAsia" w:ascii="黑体" w:hAnsi="黑体" w:eastAsia="黑体" w:cs="黑体"/>
        </w:rPr>
        <w:t>六、本技术文件条款的最终解释权归深圳市</w:t>
      </w:r>
      <w:r>
        <w:rPr>
          <w:rFonts w:hint="eastAsia" w:ascii="黑体" w:hAnsi="黑体" w:eastAsia="黑体" w:cs="黑体"/>
          <w:lang w:eastAsia="zh-CN"/>
        </w:rPr>
        <w:t>南山区</w:t>
      </w:r>
      <w:r>
        <w:rPr>
          <w:rFonts w:hint="eastAsia" w:ascii="黑体" w:hAnsi="黑体" w:eastAsia="黑体" w:cs="黑体"/>
        </w:rPr>
        <w:t>人力资源局所有。</w:t>
      </w:r>
    </w:p>
    <w:p w14:paraId="615A6DC0">
      <w:pPr>
        <w:pStyle w:val="13"/>
        <w:ind w:left="0" w:leftChars="0" w:firstLine="0" w:firstLineChars="0"/>
        <w:rPr>
          <w:rFonts w:ascii="Times New Roman" w:hAnsi="Times New Roman" w:eastAsia="仿宋_GB2312" w:cs="Times New Roman"/>
          <w:b/>
          <w:color w:val="auto"/>
          <w:sz w:val="32"/>
          <w:szCs w:val="32"/>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7A"/>
    <w:family w:val="auto"/>
    <w:pitch w:val="default"/>
    <w:sig w:usb0="E0000AFF" w:usb1="00007843" w:usb2="00000001" w:usb3="00000000" w:csb0="400001BF" w:csb1="DFF70000"/>
    <w:embedRegular r:id="rId1" w:fontKey="{3F1C9E90-F6B9-745B-1B84-9E6AE4A74653}"/>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embedRegular r:id="rId2" w:fontKey="{80535A19-A999-506E-1B84-9E6AA0385DA9}"/>
  </w:font>
  <w:font w:name="Inria Serif">
    <w:altName w:val="苹方-简"/>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苹方-简"/>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3" w:fontKey="{D75BBC3D-2CDD-47B1-1B84-9E6A63470F53}"/>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embedRegular r:id="rId4" w:fontKey="{AD8B5427-B3AC-897B-1B84-9E6A8E8CC477}"/>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281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DB64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FDB647">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s>
  <w:rsids>
    <w:rsidRoot w:val="67763C6D"/>
    <w:rsid w:val="003E0E88"/>
    <w:rsid w:val="005D3596"/>
    <w:rsid w:val="03140132"/>
    <w:rsid w:val="031A5554"/>
    <w:rsid w:val="03C5438B"/>
    <w:rsid w:val="07B23486"/>
    <w:rsid w:val="097F55EA"/>
    <w:rsid w:val="0A894080"/>
    <w:rsid w:val="0BB84DE3"/>
    <w:rsid w:val="0DB742A8"/>
    <w:rsid w:val="0F141D6A"/>
    <w:rsid w:val="0FE708DB"/>
    <w:rsid w:val="102B2F13"/>
    <w:rsid w:val="103D746B"/>
    <w:rsid w:val="10686DD7"/>
    <w:rsid w:val="108A6AFD"/>
    <w:rsid w:val="115E3025"/>
    <w:rsid w:val="116013AE"/>
    <w:rsid w:val="11F66601"/>
    <w:rsid w:val="14A423A8"/>
    <w:rsid w:val="1507268B"/>
    <w:rsid w:val="172C2C61"/>
    <w:rsid w:val="195512DB"/>
    <w:rsid w:val="19DE0AF8"/>
    <w:rsid w:val="19FD3FC8"/>
    <w:rsid w:val="1A15027E"/>
    <w:rsid w:val="1ABA2925"/>
    <w:rsid w:val="1B3B75FE"/>
    <w:rsid w:val="1BBC0395"/>
    <w:rsid w:val="1DD86EC2"/>
    <w:rsid w:val="1FF57CA0"/>
    <w:rsid w:val="2096173F"/>
    <w:rsid w:val="21274C4E"/>
    <w:rsid w:val="218E33CC"/>
    <w:rsid w:val="21CC3D6A"/>
    <w:rsid w:val="221C05B9"/>
    <w:rsid w:val="228D0920"/>
    <w:rsid w:val="22F538D8"/>
    <w:rsid w:val="2526531C"/>
    <w:rsid w:val="28DA71EE"/>
    <w:rsid w:val="299332F5"/>
    <w:rsid w:val="2B7B4573"/>
    <w:rsid w:val="2BBF6BDA"/>
    <w:rsid w:val="2EFF514C"/>
    <w:rsid w:val="2F94071B"/>
    <w:rsid w:val="3DB11AD4"/>
    <w:rsid w:val="3FBB089A"/>
    <w:rsid w:val="42273AF9"/>
    <w:rsid w:val="427C7112"/>
    <w:rsid w:val="43792ACE"/>
    <w:rsid w:val="44001328"/>
    <w:rsid w:val="46DB2F1F"/>
    <w:rsid w:val="484C3D16"/>
    <w:rsid w:val="48DE248D"/>
    <w:rsid w:val="4AF91CDC"/>
    <w:rsid w:val="4B405810"/>
    <w:rsid w:val="4C017B05"/>
    <w:rsid w:val="4C273AAD"/>
    <w:rsid w:val="4D467BE8"/>
    <w:rsid w:val="4DFC5AB2"/>
    <w:rsid w:val="4E3C3076"/>
    <w:rsid w:val="4F150EDE"/>
    <w:rsid w:val="4FDD426C"/>
    <w:rsid w:val="523C49C0"/>
    <w:rsid w:val="52776D92"/>
    <w:rsid w:val="52BC6534"/>
    <w:rsid w:val="52E77A54"/>
    <w:rsid w:val="53870676"/>
    <w:rsid w:val="568B629C"/>
    <w:rsid w:val="5AB071D5"/>
    <w:rsid w:val="5ABB4C30"/>
    <w:rsid w:val="5BB932A5"/>
    <w:rsid w:val="5FE94095"/>
    <w:rsid w:val="60D2776F"/>
    <w:rsid w:val="622F7672"/>
    <w:rsid w:val="632334FE"/>
    <w:rsid w:val="63267BA3"/>
    <w:rsid w:val="65413A04"/>
    <w:rsid w:val="65A25FC8"/>
    <w:rsid w:val="664803B2"/>
    <w:rsid w:val="6712451C"/>
    <w:rsid w:val="67763C6D"/>
    <w:rsid w:val="69517604"/>
    <w:rsid w:val="69695432"/>
    <w:rsid w:val="69EF333E"/>
    <w:rsid w:val="6CAF3B22"/>
    <w:rsid w:val="6CFA3457"/>
    <w:rsid w:val="6F92269E"/>
    <w:rsid w:val="72E5421E"/>
    <w:rsid w:val="73FE6554"/>
    <w:rsid w:val="746E1871"/>
    <w:rsid w:val="749251DC"/>
    <w:rsid w:val="758F276A"/>
    <w:rsid w:val="761D0C2F"/>
    <w:rsid w:val="76CD27AA"/>
    <w:rsid w:val="7AF83AF1"/>
    <w:rsid w:val="7B5A0A3D"/>
    <w:rsid w:val="7C28571D"/>
    <w:rsid w:val="7D250FF6"/>
    <w:rsid w:val="7E8D5F9C"/>
    <w:rsid w:val="7EFF8896"/>
    <w:rsid w:val="7F604567"/>
    <w:rsid w:val="BBDBBCEA"/>
    <w:rsid w:val="F6FCB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annotation text"/>
    <w:basedOn w:val="1"/>
    <w:qFormat/>
    <w:uiPriority w:val="0"/>
    <w:pPr>
      <w:jc w:val="left"/>
    </w:pPr>
  </w:style>
  <w:style w:type="paragraph" w:styleId="4">
    <w:name w:val="Body Text"/>
    <w:basedOn w:val="1"/>
    <w:autoRedefine/>
    <w:qFormat/>
    <w:uiPriority w:val="0"/>
    <w:rPr>
      <w:rFonts w:ascii="仿宋_GB2312" w:hAnsi="Calibri" w:eastAsia="仿宋_GB2312" w:cs="Times New Roman"/>
      <w:sz w:val="32"/>
    </w:rPr>
  </w:style>
  <w:style w:type="paragraph" w:styleId="5">
    <w:name w:val="Plain Text"/>
    <w:basedOn w:val="1"/>
    <w:next w:val="2"/>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autoRedefine/>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paragraph" w:styleId="9">
    <w:name w:val="Body Text First Indent"/>
    <w:basedOn w:val="4"/>
    <w:autoRedefine/>
    <w:qFormat/>
    <w:uiPriority w:val="0"/>
    <w:pPr>
      <w:spacing w:line="560" w:lineRule="exact"/>
      <w:ind w:firstLine="721" w:firstLineChars="200"/>
    </w:pPr>
    <w:rPr>
      <w:rFonts w:ascii="Calibri"/>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_Style 1"/>
    <w:basedOn w:val="1"/>
    <w:next w:val="1"/>
    <w:autoRedefine/>
    <w:qFormat/>
    <w:uiPriority w:val="99"/>
    <w:pPr>
      <w:spacing w:line="580" w:lineRule="exact"/>
      <w:ind w:firstLine="420" w:firstLineChars="200"/>
    </w:pPr>
    <w:rPr>
      <w:rFonts w:ascii="Calibri" w:hAnsi="Calibri" w:eastAsia="宋体" w:cs="Times New Roman"/>
      <w:sz w:val="32"/>
    </w:rPr>
  </w:style>
  <w:style w:type="paragraph" w:customStyle="1" w:styleId="14">
    <w:name w:val="Editable table text"/>
    <w:basedOn w:val="1"/>
    <w:autoRedefine/>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5">
    <w:name w:val="Table Bullet"/>
    <w:basedOn w:val="1"/>
    <w:autoRedefine/>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character" w:customStyle="1" w:styleId="16">
    <w:name w:val="Editable"/>
    <w:autoRedefine/>
    <w:qFormat/>
    <w:uiPriority w:val="0"/>
    <w:rPr>
      <w:rFonts w:hint="default" w:ascii="Times New Roman" w:hAnsi="Times New Roman" w:eastAsia="宋体" w:cs="Times New Roman"/>
      <w:color w:val="62B5E5"/>
    </w:rPr>
  </w:style>
  <w:style w:type="paragraph" w:customStyle="1" w:styleId="17">
    <w:name w:val="Footer"/>
    <w:basedOn w:val="1"/>
    <w:autoRedefine/>
    <w:qFormat/>
    <w:uiPriority w:val="0"/>
    <w:pPr>
      <w:tabs>
        <w:tab w:val="center" w:pos="4153"/>
        <w:tab w:val="right" w:pos="8306"/>
      </w:tabs>
      <w:snapToGrid w:val="0"/>
      <w:jc w:val="left"/>
    </w:pPr>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2937</Words>
  <Characters>3037</Characters>
  <Lines>0</Lines>
  <Paragraphs>0</Paragraphs>
  <TotalTime>0</TotalTime>
  <ScaleCrop>false</ScaleCrop>
  <LinksUpToDate>false</LinksUpToDate>
  <CharactersWithSpaces>3052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2023-04-19T14:15:00Z</dcterms:created>
  <dc:creator>ᴬⁿᵈ&amp;ᵃⁿᴰ⁸</dc:creator>
  <cp:lastModifiedBy>悠悠心曲</cp:lastModifiedBy>
  <dcterms:modified xsi:type="dcterms:W3CDTF">2026-09-07T17:30:03Z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C43A711545AD4AC2A8D01BC6384759E4_13</vt:lpwstr>
  </property>
  <property fmtid="{D5CDD505-2E9C-101B-9397-08002B2CF9AE}" pid="4" name="KSOTemplateDocerSaveRecord">
    <vt:lpwstr>eyJoZGlkIjoiZTA0NGU0NTUzMWVkNzFkNjcwZGIxY2E0MDA4ZDE3MDYiLCJ1c2VySWQiOiIxNjE3NTgxMzg4In0=</vt:lpwstr>
  </property>
</Properties>
</file>