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cs="黑体"/>
          <w:color w:val="auto"/>
          <w:sz w:val="32"/>
          <w:szCs w:val="32"/>
          <w:lang w:val="en-US" w:eastAsia="zh-CN"/>
        </w:rPr>
        <w:t>4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南山区20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年公益职业技能培训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专家评审评分表</w:t>
      </w:r>
    </w:p>
    <w:tbl>
      <w:tblPr>
        <w:tblStyle w:val="6"/>
        <w:tblpPr w:leftFromText="180" w:rightFromText="180" w:vertAnchor="text" w:tblpX="-290" w:tblpY="1"/>
        <w:tblOverlap w:val="never"/>
        <w:tblW w:w="952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740"/>
        <w:gridCol w:w="379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85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评审项目</w:t>
            </w:r>
          </w:p>
        </w:tc>
        <w:tc>
          <w:tcPr>
            <w:tcW w:w="379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评分要素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同类项目业绩情况</w:t>
            </w:r>
          </w:p>
          <w:p>
            <w:pPr>
              <w:wordWrap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年（20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年1月1日以来，以合同签订时间为准）承办过同类培训相关项目，须提供项目合同书关键页复印件且该合同上项目负责人为本次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项目负责人。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每提供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1个得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分，满分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场地设备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>15分）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提供在南山区的培训场地设备情况，重点评价以下内容：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（1）理论和实操场地是否交通便捷；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（2）实操场地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软、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硬件设备是否完善、先进、安全可靠；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（3）实训人均工位情况是否满足培训需求（单位：人/工位）；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（4）是否有应对消防安全的设施设备。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未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 w:bidi="ar-SA"/>
              </w:rPr>
              <w:t>完全符合评分要素的，本项不得分。符合4项得10分，另外5分由评审专家根据相关材料评分。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宣传发动</w:t>
            </w:r>
          </w:p>
          <w:p>
            <w:pPr>
              <w:widowControl/>
              <w:spacing w:line="28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提供与项目匹配的招生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方案和宣传方案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申报单位提供至少2个招生渠道的，得3分；申报单位承诺项目报名、结束至少各发布1篇宣传的，得3分；另外4分由评审专家根据相关材料评分。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80" w:lineRule="exact"/>
              <w:ind w:right="-74" w:rightChars="-2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师资能力及</w:t>
            </w:r>
          </w:p>
          <w:p>
            <w:pPr>
              <w:widowControl/>
              <w:spacing w:line="280" w:lineRule="exact"/>
              <w:ind w:right="-74" w:rightChars="-2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综合经验</w:t>
            </w:r>
          </w:p>
          <w:p>
            <w:pPr>
              <w:widowControl/>
              <w:spacing w:line="280" w:lineRule="exact"/>
              <w:ind w:right="-74" w:rightChars="-23"/>
              <w:jc w:val="center"/>
              <w:textAlignment w:val="baseline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15分）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-74" w:rightChars="-23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所提供师资（与后期实际培训师资名单相符）的资质及经验。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申报单位提供至少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2名有2年相关培训经验师资的，得5分；另外10分由评审专家根据相关材料评分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评审项目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评分要素</w:t>
            </w:r>
            <w:bookmarkStart w:id="0" w:name="_GoBack"/>
            <w:bookmarkEnd w:id="0"/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教材、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课程及教学大纲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15分）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申报单位提供与培训项目匹配的教材、课程设置、学时安排、考核评价方案及教学大纲。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评审专家根据相关资料评分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质量保障措施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及服务优势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15分）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提供质量保障措施，重点评价以下内容：</w:t>
            </w:r>
          </w:p>
          <w:p>
            <w:pPr>
              <w:spacing w:line="2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是否具有完善的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组织架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构；</w:t>
            </w:r>
          </w:p>
          <w:p>
            <w:pPr>
              <w:spacing w:line="2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是否具有完善的质量保障措施；</w:t>
            </w:r>
          </w:p>
          <w:p>
            <w:pPr>
              <w:spacing w:line="2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是否针对本项目各种突发情况制定应急预案；</w:t>
            </w:r>
          </w:p>
          <w:p>
            <w:pPr>
              <w:spacing w:line="2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（4）培训效果是否有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回访评价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措施；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（5）对师资及课程教学内容是否有严格的内部审核考评。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评审专家根据相关资料评分。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报价合理性（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15分）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申报单位提供培训项目总价及每学时单价。</w:t>
            </w:r>
          </w:p>
        </w:tc>
        <w:tc>
          <w:tcPr>
            <w:tcW w:w="31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28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评审专家根据申报单位报价的科学性、合理性评分。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28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（满分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100分）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注意事项：各申报单位得分精确到小数点后两位，60分（含本数）为合格。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3002F"/>
    <w:rsid w:val="003E6BF2"/>
    <w:rsid w:val="00F541A3"/>
    <w:rsid w:val="02B2797C"/>
    <w:rsid w:val="03683C27"/>
    <w:rsid w:val="04182746"/>
    <w:rsid w:val="064707DC"/>
    <w:rsid w:val="07276919"/>
    <w:rsid w:val="078930DB"/>
    <w:rsid w:val="0888678D"/>
    <w:rsid w:val="0A24323E"/>
    <w:rsid w:val="0A451680"/>
    <w:rsid w:val="0AEF497D"/>
    <w:rsid w:val="0B6A46DB"/>
    <w:rsid w:val="0D247CC4"/>
    <w:rsid w:val="0FD207B0"/>
    <w:rsid w:val="109A074C"/>
    <w:rsid w:val="113450C7"/>
    <w:rsid w:val="11840349"/>
    <w:rsid w:val="11DC205D"/>
    <w:rsid w:val="120608B3"/>
    <w:rsid w:val="130B4CCD"/>
    <w:rsid w:val="14170683"/>
    <w:rsid w:val="143F1847"/>
    <w:rsid w:val="14874C68"/>
    <w:rsid w:val="15193728"/>
    <w:rsid w:val="15B10424"/>
    <w:rsid w:val="17017621"/>
    <w:rsid w:val="177B2F13"/>
    <w:rsid w:val="17EC7D4E"/>
    <w:rsid w:val="183A58CF"/>
    <w:rsid w:val="183E0A52"/>
    <w:rsid w:val="18546479"/>
    <w:rsid w:val="1954059A"/>
    <w:rsid w:val="1AB062D8"/>
    <w:rsid w:val="1B5E76F6"/>
    <w:rsid w:val="1BEF1AFD"/>
    <w:rsid w:val="1C1746DF"/>
    <w:rsid w:val="1CD15269"/>
    <w:rsid w:val="1E4C6AC4"/>
    <w:rsid w:val="1E9355A4"/>
    <w:rsid w:val="1F67663C"/>
    <w:rsid w:val="1FB367E1"/>
    <w:rsid w:val="1FE75567"/>
    <w:rsid w:val="206A3DC4"/>
    <w:rsid w:val="20B4636E"/>
    <w:rsid w:val="21133DFA"/>
    <w:rsid w:val="225678E3"/>
    <w:rsid w:val="22973BD0"/>
    <w:rsid w:val="23474C6D"/>
    <w:rsid w:val="247840E5"/>
    <w:rsid w:val="24C97368"/>
    <w:rsid w:val="24F12AAA"/>
    <w:rsid w:val="25BF65FB"/>
    <w:rsid w:val="261B6D15"/>
    <w:rsid w:val="2759419E"/>
    <w:rsid w:val="2775707E"/>
    <w:rsid w:val="2778594C"/>
    <w:rsid w:val="28CA52F9"/>
    <w:rsid w:val="28DE2E95"/>
    <w:rsid w:val="28E42F9A"/>
    <w:rsid w:val="28FF44CE"/>
    <w:rsid w:val="2A1B7225"/>
    <w:rsid w:val="2B0B3F65"/>
    <w:rsid w:val="2C2B174F"/>
    <w:rsid w:val="2C416BAA"/>
    <w:rsid w:val="2C823E40"/>
    <w:rsid w:val="2C9441D2"/>
    <w:rsid w:val="2DB95B2F"/>
    <w:rsid w:val="2EED7A8D"/>
    <w:rsid w:val="2F471420"/>
    <w:rsid w:val="2F513F2E"/>
    <w:rsid w:val="2FFE78CA"/>
    <w:rsid w:val="300B6BE0"/>
    <w:rsid w:val="306E3146"/>
    <w:rsid w:val="314431BE"/>
    <w:rsid w:val="31CB6BC1"/>
    <w:rsid w:val="323C423F"/>
    <w:rsid w:val="32D72675"/>
    <w:rsid w:val="348576A9"/>
    <w:rsid w:val="361971D0"/>
    <w:rsid w:val="361E10D9"/>
    <w:rsid w:val="36C41867"/>
    <w:rsid w:val="36E60695"/>
    <w:rsid w:val="36EF1119"/>
    <w:rsid w:val="37BB4934"/>
    <w:rsid w:val="39B81861"/>
    <w:rsid w:val="39ED5597"/>
    <w:rsid w:val="3AC73D12"/>
    <w:rsid w:val="3ADD4CEE"/>
    <w:rsid w:val="3B89083B"/>
    <w:rsid w:val="3E741203"/>
    <w:rsid w:val="40726ACA"/>
    <w:rsid w:val="40903AFC"/>
    <w:rsid w:val="40A0412D"/>
    <w:rsid w:val="415B5828"/>
    <w:rsid w:val="424A02DB"/>
    <w:rsid w:val="426E780A"/>
    <w:rsid w:val="42E75CBD"/>
    <w:rsid w:val="437B05F4"/>
    <w:rsid w:val="43A45688"/>
    <w:rsid w:val="43F959BD"/>
    <w:rsid w:val="44133FDD"/>
    <w:rsid w:val="460460EC"/>
    <w:rsid w:val="47D8443D"/>
    <w:rsid w:val="48DA3031"/>
    <w:rsid w:val="49334BF9"/>
    <w:rsid w:val="49383A30"/>
    <w:rsid w:val="493D7EB8"/>
    <w:rsid w:val="49484DB0"/>
    <w:rsid w:val="495245DA"/>
    <w:rsid w:val="4DB95793"/>
    <w:rsid w:val="4DF85277"/>
    <w:rsid w:val="4E244E42"/>
    <w:rsid w:val="4F94051C"/>
    <w:rsid w:val="4FF95CC2"/>
    <w:rsid w:val="51134D3B"/>
    <w:rsid w:val="5195432A"/>
    <w:rsid w:val="52D349F4"/>
    <w:rsid w:val="537A6E1F"/>
    <w:rsid w:val="53825719"/>
    <w:rsid w:val="55276C44"/>
    <w:rsid w:val="559B0682"/>
    <w:rsid w:val="55A30473"/>
    <w:rsid w:val="562D5984"/>
    <w:rsid w:val="57E96447"/>
    <w:rsid w:val="5854137A"/>
    <w:rsid w:val="59525A19"/>
    <w:rsid w:val="59F73FA9"/>
    <w:rsid w:val="5A0B73C6"/>
    <w:rsid w:val="5AF747A2"/>
    <w:rsid w:val="5B4A6146"/>
    <w:rsid w:val="5E5C0156"/>
    <w:rsid w:val="5EDC5A30"/>
    <w:rsid w:val="5F9369C6"/>
    <w:rsid w:val="5FDA464E"/>
    <w:rsid w:val="607B41D8"/>
    <w:rsid w:val="60A55852"/>
    <w:rsid w:val="60FD2D62"/>
    <w:rsid w:val="61A64137"/>
    <w:rsid w:val="61DA15F1"/>
    <w:rsid w:val="620070C3"/>
    <w:rsid w:val="629E2BD8"/>
    <w:rsid w:val="62AC77C5"/>
    <w:rsid w:val="64E25391"/>
    <w:rsid w:val="6670389E"/>
    <w:rsid w:val="67B231E5"/>
    <w:rsid w:val="67C25449"/>
    <w:rsid w:val="686739D9"/>
    <w:rsid w:val="68721D6A"/>
    <w:rsid w:val="68806B01"/>
    <w:rsid w:val="69AA52EA"/>
    <w:rsid w:val="69E432A7"/>
    <w:rsid w:val="69EC37D4"/>
    <w:rsid w:val="69F71B66"/>
    <w:rsid w:val="6A2E45E6"/>
    <w:rsid w:val="6A572E84"/>
    <w:rsid w:val="6AA84736"/>
    <w:rsid w:val="6B5862AA"/>
    <w:rsid w:val="6B7F6169"/>
    <w:rsid w:val="6D9B3394"/>
    <w:rsid w:val="6DA84724"/>
    <w:rsid w:val="6DCA3B30"/>
    <w:rsid w:val="6DD84013"/>
    <w:rsid w:val="6FE93B2A"/>
    <w:rsid w:val="712170AA"/>
    <w:rsid w:val="716D3CA6"/>
    <w:rsid w:val="72005FE5"/>
    <w:rsid w:val="72234ED4"/>
    <w:rsid w:val="722865D8"/>
    <w:rsid w:val="72351068"/>
    <w:rsid w:val="730040BD"/>
    <w:rsid w:val="73D75019"/>
    <w:rsid w:val="74495C4C"/>
    <w:rsid w:val="74975458"/>
    <w:rsid w:val="7593002F"/>
    <w:rsid w:val="764A0321"/>
    <w:rsid w:val="77D47E28"/>
    <w:rsid w:val="78A413FA"/>
    <w:rsid w:val="78AB4608"/>
    <w:rsid w:val="79D35D60"/>
    <w:rsid w:val="7A284DF9"/>
    <w:rsid w:val="7A5A304A"/>
    <w:rsid w:val="7C031D81"/>
    <w:rsid w:val="7C38005C"/>
    <w:rsid w:val="7C7236B9"/>
    <w:rsid w:val="7D017DEF"/>
    <w:rsid w:val="7D3E720C"/>
    <w:rsid w:val="7DBD031B"/>
    <w:rsid w:val="7E806E7B"/>
    <w:rsid w:val="7F7B4EFD"/>
    <w:rsid w:val="7F945708"/>
    <w:rsid w:val="7FDC5C54"/>
    <w:rsid w:val="E7AEC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仿宋_GB2312" w:eastAsia="黑体"/>
      <w:bCs/>
      <w:color w:val="000000"/>
      <w:kern w:val="44"/>
      <w:sz w:val="32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2021-04-12T17:07:00Z</dcterms:created>
  <dc:creator>培训组</dc:creator>
  <cp:lastModifiedBy>Y</cp:lastModifiedBy>
  <cp:lastPrinted>2023-05-11T08:39:28Z</cp:lastPrinted>
  <dcterms:modified xsi:type="dcterms:W3CDTF">2023-05-11T09:25:34Z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F751CDABCB424856AE6C55AD2C38C261</vt:lpwstr>
  </property>
</Properties>
</file>