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技术参数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要求偏离表</w:t>
      </w:r>
    </w:p>
    <w:p>
      <w:pPr>
        <w:rPr>
          <w:rFonts w:hint="eastAsia"/>
          <w:lang w:eastAsia="zh-CN"/>
        </w:rPr>
      </w:pPr>
    </w:p>
    <w:tbl>
      <w:tblPr>
        <w:tblStyle w:val="16"/>
        <w:tblW w:w="10511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45"/>
        <w:gridCol w:w="4605"/>
        <w:gridCol w:w="1605"/>
        <w:gridCol w:w="1425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招标技术参数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投标技术响应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偏离情况表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电梯1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总体要求：投标人所投两部电梯必须为同一品牌，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且必须在分项报价表中明确写明所投电梯“规格、品牌及型号”。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2.制造标准及安装标准符合：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《电梯制造与安装安全规范》（GB/T 7588.1-2020、GB/T7588.2-2020)《电梯监督检验和定期检验规则》（TSG T7001—2023）和《电梯自行检测规则》（TSG T7008—2023）。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3.额定载重量：1600KG。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梯速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1.5m/s。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层数/站数/开门数：7 / 7 / 7；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行程：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25M。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曳引系统</w:t>
            </w:r>
          </w:p>
          <w:p>
            <w:pPr>
              <w:pStyle w:val="9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要求提供永磁同步无齿轮曳引机，采用交流变频变压控制，一体化变频装置（非工业用变频器），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与所投电梯为同品牌产品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Cs w:val="21"/>
                <w:highlight w:val="none"/>
              </w:rPr>
              <w:t>；</w:t>
            </w:r>
          </w:p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6.2曳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引机绝缘等级≥F级；曳引机安全防护等级≥IP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曳引机具有中国能效标识1级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【提供第三方检测机构出具带有</w:t>
            </w: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CMA标识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的型式试验报告扫描件,报告需包含本项参数的全部内容;此外，需提供检测机构官网或“全国认证认可信息公共服务平台（http://cx.cnca.cn/)”的报告査询记录截图，此报告无法在公开渠道查询的，提供检测机构盖章的说明材料，证明该报告真实有效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控制系统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7.1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采用交流变频变压VVVF控制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与所投电梯为同品牌产品；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7.2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具备电梯物联网功能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7.3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控制柜：电梯应设主电源开关，用于切断该电梯的供电电路，但轿厢照明和通风、轿顶电源插座、机房内照明和电源插座及通风、电梯井道照明、报警装置除外；采用分布式微机网络数据传输；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7.4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控制方式为模块化的微机控制；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7.5 控制系统为32位CPU；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Courier New" w:eastAsia="宋体" w:cs="Times New Roman"/>
                <w:b w:val="0"/>
                <w:bCs w:val="0"/>
                <w:color w:val="auto"/>
                <w:kern w:val="2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控制方式：单独控制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8.门机系统 ：</w:t>
            </w:r>
          </w:p>
          <w:p>
            <w:pPr>
              <w:pStyle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8.1交流变频变压控制，并采用无连杆门机系统，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与所投电梯为同品牌产品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Cs w:val="21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防护等级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不得低于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IP54；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绝缘等级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不得低于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F；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交流变频变压控制，并采用无连杆门机系统；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8.5 要求采用永磁同步变频门机；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8.6门锁装置：配置门锁装置。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9.轿厢</w:t>
            </w:r>
          </w:p>
          <w:p>
            <w:pPr>
              <w:pStyle w:val="6"/>
              <w:spacing w:line="240" w:lineRule="auto"/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9.1轿厢尺寸（宽*深*高）：1400mm(W)*2400mm(D)*2500mm(H)（以现场实际测量为准，轿厢高要求2500mm）。</w:t>
            </w:r>
            <w:r>
              <w:rPr>
                <w:rFonts w:hint="default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开门方式：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右开门；开门尺寸：1200</w:t>
            </w:r>
            <w:r>
              <w:rPr>
                <w:rFonts w:hint="default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(W)x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2100</w:t>
            </w:r>
            <w:r>
              <w:rPr>
                <w:rFonts w:hint="default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mm(D)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9.2轿厢门正对面的轿厢壁采用镜面不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锈钢，其余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三面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色304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抗指纹发纹不锈钢，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不锈钢材料厚度≥1.5mm，其中轿门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7套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厚度≥1.5mm，厅门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7套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厚度≥1.5mm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三面轿厢壁设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无障碍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扶手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轿厢吊灯及照明灯具：顶面采用不锈钢，一体化设计，由投标人提供样板，由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选定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9.4轿体要求制作精良，连接紧固，抗变形能力强，符合相关安全标准；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轿厢内外地板无高差，可以保证清洁机器人、轮椅等器械自由安全进入轿厢。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防滑大理石地面，石材厚度≥25mm；投标人提供样板，由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人选定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操纵箱、召唤箱面板：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主操纵箱布置在轿厢右侧壁，操纵箱面板材质为304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抗指纹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发纹不锈钢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，与轿厢前壁板一体成型；投标人提供样板，由招标人选定；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空调：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1.5P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冷暖空调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配有轿厢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IC卡系统，刷卡操作电梯；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电梯主操纵箱及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残疾人操纵箱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配置延时关门按钮，可延迟电梯关门；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9.10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显示器：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配置15寸液晶显示器，设有数字式楼层指示器和上下行箭头，显示电梯位置及运行方向；还应设有其他必要的装置如：楼层登记及显示按钮、开关门、对讲机、紧急呼叫及播报系统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9.11提供一体式光幕保护加安全触板系统；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9.12电梯内部摄像头：不少于400万像素；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9.13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 兼无障碍电梯的消防梯的轿厢需按无障碍电梯轿厢设计，配置残疾人操作功能，包括特制的残疾人厅外呼和内呼及特定的安装位置、语音报站、采集人操作箱、后壁镜、扶手、盲文按钮；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采用一体式按钮显示装置，各楼层均配楼层显示、运行方向、上下召唤按钮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按钮：金属按钮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直径不小于60mm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厅门、门套：小门套及厅门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指纹不锈钢镀色，板材厚度不小于1.5mm；投标人提供样板，由招标人选定；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9.17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地坎：采用冲压硬铝并留有灰尘清扫孔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五方通话系统：管理中心主机、电梯轿厢、电梯机房、电梯顶部、电梯底部五方之间可进行通话；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轿厢内照明和换气设备良好耐用。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10.要求采用渐进式安全钳。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缓冲器及限速器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采用液压型缓冲器；采用双向离心式限速器。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12.其他：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电梯配置停电应急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平层功能，在停电时自动切换到备用电源；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12.2大楼内有智能扫地机器人运行，投标单位应提供RS485通信协议，智能化采集授权信号供机器人使用；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12.3滑轨；采用滑动导轨；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12.4对重：采用铸铁材质，禁止使用符合对重；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12.5随行电缆：采用电梯专用电缆，并要求包括通讯，监控（包括设备监控和视频监控）电缆，并应延伸至控制箱；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12.6井道照明：要求电梯每层安装一组井道安全照明装置，最高最低照明装置距井道上下端各为0.5米。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12.7井道内固定件：要求其零部件结构合理，牢固耐用，抗锈蚀能力强。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12.8更换老旧电梯导轨；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更换机房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电源。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井道尺寸：2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0mm(W)x2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84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0mm(D)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顶层冲顶高度（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4420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与机房高度土建净高（2500mm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底坑深度：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00mm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电梯主要功能（产品具备类似功能即可，表述可以不完全一致）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全集选控制；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超载保护及报警功能；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超速电气保护功能；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超速机械保护功能；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门过载保护功能；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开关门时间超常保护功能；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开门异常自动选层功能；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电动机空转保护功能；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电动机过载保护功能；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多方对讲机通讯功能；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轿厢警铃；同时配置轿厢到站钟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停车在非门区报警功能；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位置异常自动校正功能；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停电应急照明功能；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轿顶检修操作功能；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轿内检修操作功能；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机房内检修操作功能；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自动基站停靠；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满载不停梯功能；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反向内指令自动消除功能；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开门时间自动调整功能；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延长开门时间功能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运行次数显示功能；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轿内照明自动控制功能；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轿内通风自动控制功能；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故障自动监测和存储功能；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待机定期自检；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层高自测定功能；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起动补偿功能；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抱闸制动；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层站直达显示；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轿内误指令人工消除；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轿内超载指示，轿厢到站钟；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光幕安全触板双重保护；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消防电梯迫降功能；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电梯2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总体要求：投标人所投两部电梯必须为同一品牌，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</w:rPr>
              <w:t>且必须在分项报价表中明确写明所投电梯“规格、品牌及型号”。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  <w:t>2.制造标准及安装标准符合：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</w:rPr>
              <w:t>《电梯制造与安装安全规范》（GB/T 7588.1-2020、GB/T7588.2-2020)《电梯监督检验和定期检验规则》（TSG T7001—2023）和《电梯自行检测规则》（TSG T7008—2023）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  <w:t>3.额定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</w:rPr>
              <w:t>载重量：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  <w:t>825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eastAsia="zh-CN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  <w:t>G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梯速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1.5m/s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层数/站数/开门数：7 / 7 / 7，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行程：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25M。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曳引系统</w:t>
            </w:r>
          </w:p>
          <w:p>
            <w:pPr>
              <w:pStyle w:val="9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要求提供永磁同步无齿轮曳引机，采用交流变频变压控制，一体化变频装置（非工业用变频器），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与所投电梯为同品牌产品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Cs w:val="21"/>
                <w:highlight w:val="none"/>
              </w:rPr>
              <w:t>；</w:t>
            </w:r>
          </w:p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曳引机绝缘等级≥F级；曳引机安全防护等级≥IP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曳引机具有中国能效标识1级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9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【提供第三方检测机构出具带有CMA标识的型式试验报告扫描件,报告需包含本项参数的全部内容;此外，需提供检测机构官网或“全国认证认可信息公共服务平台（http://cx.cnca.cn/)”的报告査询记录截图，此报告无法在公开渠道查询的，提供检测机构盖章的说明材料，证明该报告真实有效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控制系统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7.1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采用交流变频变压VVVF控制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要求与所投电梯为同品牌产品；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7.2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具备电梯物联网功能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7.3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控制柜：电梯应设主电源开关，用于切断该电梯的供电电路，但轿厢照明和通风、轿顶电源插座、机房内照明和电源插座及通风、电梯井道照明、报警装置除外；采用分布式微机网络数据传输；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7.4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控制方式为模块化的微机控制；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7.5 控制系统为32位CPU；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控制方式：单独控制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8.门机系统 ：</w:t>
            </w:r>
          </w:p>
          <w:p>
            <w:pPr>
              <w:pStyle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8.1交流变频变压控制，并采用无连杆门机系统，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与所投电梯为同品牌产品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Cs w:val="21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防护等级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不得低于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IP54；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绝缘等级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不得低于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F；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交流变频变压控制，并采用无连杆门机系统；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8.5 要求采用永磁同步变频门机；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8.6门锁装置：配置门锁装置。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9.轿厢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9.1轿厢尺寸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（宽*深*高）：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0mm(W)*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mm(D)*2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00mm(H)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（以现场实际测量为准，轿厢高要求2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；开门方式：中分门；开门尺寸：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800mm（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mm(D)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9.2轿厢门正对面的轿厢壁采用镜面不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锈钢，其余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三面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色304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抗指纹发纹不锈钢，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不锈钢材料厚度≥1.5mm，其中轿门厚度≥1.5mm，厅门厚度≥1.5mm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三面轿厢壁设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无障碍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扶手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轿厢吊灯及照明灯具：顶面采用不锈钢，一体化设计，由投标人提供样板，由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选定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9.4轿体要求制作精良，连接紧固，抗变形能力强，符合相关安全标准；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轿厢内外地板无高差，可以保证清洁机器人、轮椅等器械自由安全进入轿厢。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防滑大理石地面，石材厚度≥25mm；投标人提供样板，由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人选定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操纵箱、召唤箱面板：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主操纵箱布置在轿厢右侧壁，操纵箱面板材质为304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抗指纹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发纹不锈钢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，与轿厢前壁板一体成型；投标人提供样板，由招标人选定；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空调：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1.5P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冷暖空调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配有轿厢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IC卡系统，刷卡操作电梯；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电梯主操纵箱及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残疾人操纵箱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配置延时关门按钮，可延迟电梯关门；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9.10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显示器：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配置15寸液晶显示器，设有数字式楼层指示器和上下行箭头，显示电梯位置及运行方向；还应设有其他必要的装置如：楼层登记及显示按钮、开关门、对讲机、紧急呼叫及播报系统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9.11提供一体式光幕保护加安全触板系统；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9.12电梯内部摄像头：不少于400万像素；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9.13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 兼无障碍电梯的消防梯的轿厢需按无障碍电梯轿厢设计，配置残疾人操作功能，包括特制的残疾人厅外呼和内呼及特定的安装位置、语音报站、采集人操作箱、后壁镜、扶手、盲文按钮；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采用一体式按钮显示装置，各楼层均配楼层显示、运行方向、上下召唤按钮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按钮：金属按钮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直径不小于60mm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厅门、门套：小门套及厅门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指纹不锈钢镀色，板材厚度不小于1.5mm；投标人提供样板，由招标人选定；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地坎：采用冲压硬铝并留有灰尘清扫孔；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9.18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五方通话系统：管理中心主机、电梯轿厢、电梯机房、电梯顶部、电梯底部五方之间可进行通话；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华文彩云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9.19轿厢内照明和换气设备良好耐用。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10.要求采用渐进式安全钳；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缓冲器及限速器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采用液压型缓冲器；采用双向离心式限速器。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12.其他：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电梯配置停电应急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平层功能，在停电时自动切换到备用电源；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12.2大楼内有智能扫地机器人运行，投标单位应提供RS485通信协议，智能化采集授权信号供机器人使用；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12.3滑轨；采用滑动导轨；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12.4对重：采用铸铁材质，禁止使用符合对重；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12.5随行电缆：采用电梯专用电缆，并要求包括通讯，监控（包括设备监控和视频监控）电缆，并应延伸至控制箱；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12.6井道照明：要求电梯每层安装一组井道安全照明装置，最高最低照明装置距井道上下端各为0.5米。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12.7井道内固定件：要求其零部件结构合理，牢固耐用，抗锈蚀能力强。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12.8更换老旧电梯导轨；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  <w:t>12.9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更换机房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电源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井道尺寸：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1770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mm(W)x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0mm(D)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顶层冲顶高度（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与机房高度土建净高（2500mm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底坑深度：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00mm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电梯主要功能（产品具备类似功能即可，表述可以不完全一致）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全集选控制；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超载保护及报警功能；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超速电气保护功能；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超速机械保护功能；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门过载保护功能；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开关门时间超常保护功能；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开门异常自动选层功能；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电动机空转保护功能；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电动机过载保护功能；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多方对讲机通讯功能；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轿厢警铃；同时配置轿厢到站钟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停车在非门区报警功能；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位置异常自动校正功能；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停电应急照明功能；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轿顶检修操作功能；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轿内检修操作功能；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机房内检修操作功能；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自动基站停靠；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满载不停梯功能；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反向内指令自动消除功能；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开门时间自动调整功能；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延长开门时间功能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运行次数显示功能；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轿内照明自动控制功能；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轿内通风自动控制功能；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故障自动监测和存储功能；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待机定期自检；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层高自测定功能；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起动补偿功能；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抱闸制动；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层站直达显示；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轿内误指令人工消除；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轿内超载指示，轿厢到站钟；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光幕安全触板双重保护；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消防电梯迫降功能；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5B4EA"/>
    <w:multiLevelType w:val="singleLevel"/>
    <w:tmpl w:val="BC35B4EA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1">
    <w:nsid w:val="757F83CB"/>
    <w:multiLevelType w:val="singleLevel"/>
    <w:tmpl w:val="757F83CB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3F51722"/>
    <w:rsid w:val="0DFECD5B"/>
    <w:rsid w:val="1DFB5D6D"/>
    <w:rsid w:val="1F3EC91A"/>
    <w:rsid w:val="240A66CC"/>
    <w:rsid w:val="2B634FBD"/>
    <w:rsid w:val="35A21F09"/>
    <w:rsid w:val="376EC985"/>
    <w:rsid w:val="3A52002D"/>
    <w:rsid w:val="3BFF226E"/>
    <w:rsid w:val="3FBBBE4F"/>
    <w:rsid w:val="3FFFA1C5"/>
    <w:rsid w:val="43BA47C7"/>
    <w:rsid w:val="4A1947CF"/>
    <w:rsid w:val="4BFE568B"/>
    <w:rsid w:val="4EF7A5BC"/>
    <w:rsid w:val="4F672375"/>
    <w:rsid w:val="4FB218B7"/>
    <w:rsid w:val="528D5C4E"/>
    <w:rsid w:val="54613836"/>
    <w:rsid w:val="57DF9AD6"/>
    <w:rsid w:val="5AFED1EE"/>
    <w:rsid w:val="5EAC6620"/>
    <w:rsid w:val="5EE70DDC"/>
    <w:rsid w:val="5FE36A7B"/>
    <w:rsid w:val="5FF9597F"/>
    <w:rsid w:val="63473BF7"/>
    <w:rsid w:val="6DFEC722"/>
    <w:rsid w:val="6EDA34A7"/>
    <w:rsid w:val="6F771E26"/>
    <w:rsid w:val="766308F1"/>
    <w:rsid w:val="76B7DCA0"/>
    <w:rsid w:val="78BD32DB"/>
    <w:rsid w:val="79758C11"/>
    <w:rsid w:val="7BDE69F6"/>
    <w:rsid w:val="7CF50EDA"/>
    <w:rsid w:val="7D6DF787"/>
    <w:rsid w:val="7D6F23CB"/>
    <w:rsid w:val="7D9D090C"/>
    <w:rsid w:val="7DEE18C2"/>
    <w:rsid w:val="7EBD8FE9"/>
    <w:rsid w:val="7EF7989F"/>
    <w:rsid w:val="7F7F33E9"/>
    <w:rsid w:val="8FFF6B0B"/>
    <w:rsid w:val="9BE79B40"/>
    <w:rsid w:val="9F37710C"/>
    <w:rsid w:val="B19B9BB2"/>
    <w:rsid w:val="B6DDDFCC"/>
    <w:rsid w:val="BFAF6BA5"/>
    <w:rsid w:val="D7DED571"/>
    <w:rsid w:val="D7FFFEF2"/>
    <w:rsid w:val="DFF7743E"/>
    <w:rsid w:val="E0F79167"/>
    <w:rsid w:val="E67DDBDE"/>
    <w:rsid w:val="E82F0C2B"/>
    <w:rsid w:val="EBF589EF"/>
    <w:rsid w:val="EBFF2573"/>
    <w:rsid w:val="EEDDEC05"/>
    <w:rsid w:val="EFDF2328"/>
    <w:rsid w:val="F4AFCA11"/>
    <w:rsid w:val="F6AB52F4"/>
    <w:rsid w:val="F7EE51CC"/>
    <w:rsid w:val="F7EFD385"/>
    <w:rsid w:val="F7FE72F1"/>
    <w:rsid w:val="F935848B"/>
    <w:rsid w:val="FBE7A9CE"/>
    <w:rsid w:val="FF0BE033"/>
    <w:rsid w:val="FF775638"/>
    <w:rsid w:val="FFAD3AC9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Plain Text"/>
    <w:basedOn w:val="1"/>
    <w:qFormat/>
    <w:uiPriority w:val="99"/>
    <w:rPr>
      <w:rFonts w:ascii="宋体" w:hAnsi="Courier New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14">
    <w:name w:val="Body Text First Indent"/>
    <w:basedOn w:val="6"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4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635</Characters>
  <Lines>0</Lines>
  <Paragraphs>0</Paragraphs>
  <TotalTime>0</TotalTime>
  <ScaleCrop>false</ScaleCrop>
  <LinksUpToDate>false</LinksUpToDate>
  <CharactersWithSpaces>1362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2018-07-22T15:11:00Z</dcterms:created>
  <dc:creator>d</dc:creator>
  <cp:lastModifiedBy>lin</cp:lastModifiedBy>
  <cp:lastPrinted>2026-01-28T23:31:00Z</cp:lastPrinted>
  <dcterms:modified xsi:type="dcterms:W3CDTF">2026-02-05T18:29:54Z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CBF62550A0E74F5C6EC27969336240AD</vt:lpwstr>
  </property>
  <property fmtid="{D5CDD505-2E9C-101B-9397-08002B2CF9AE}" pid="4" name="KSOTemplateDocerSaveRecord">
    <vt:lpwstr>eyJoZGlkIjoiMjk5OGZjZjRjOWNmMTUwN2Y5NTg0NGFhZjYyOTRlMGMiLCJ1c2VySWQiOiI1MTUwNDE1NzAifQ==</vt:lpwstr>
  </property>
</Properties>
</file>