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outlineLvl w:val="9"/>
        <w:rPr>
          <w:rFonts w:hint="eastAsia" w:asciiTheme="majorEastAsia" w:hAnsiTheme="majorEastAsia" w:eastAsiaTheme="majorEastAsia" w:cstheme="majorEastAsia"/>
          <w:color w:val="auto"/>
          <w:sz w:val="36"/>
          <w:szCs w:val="36"/>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eastAsia="zh-CN"/>
        </w:rPr>
        <w:t>附件</w:t>
      </w:r>
      <w:r>
        <w:rPr>
          <w:rFonts w:hint="eastAsia" w:ascii="黑体" w:hAnsi="黑体" w:eastAsia="黑体" w:cs="黑体"/>
          <w:color w:val="auto"/>
          <w:sz w:val="32"/>
          <w:szCs w:val="32"/>
          <w:highlight w:val="none"/>
          <w:shd w:val="clear" w:color="auto" w:fill="FFFFFF"/>
          <w:lang w:val="en-US" w:eastAsia="zh-CN"/>
        </w:rPr>
        <w:t xml:space="preserve">5 </w:t>
      </w:r>
    </w:p>
    <w:p>
      <w:pPr>
        <w:pStyle w:val="11"/>
        <w:pageBreakBefore w:val="0"/>
        <w:widowControl/>
        <w:kinsoku/>
        <w:overflowPunct/>
        <w:topLinePunct w:val="0"/>
        <w:autoSpaceDE/>
        <w:autoSpaceDN/>
        <w:bidi w:val="0"/>
        <w:adjustRightInd/>
        <w:snapToGrid w:val="0"/>
        <w:spacing w:before="0" w:beforeAutospacing="0" w:after="0" w:afterAutospacing="0" w:line="560" w:lineRule="exact"/>
        <w:jc w:val="center"/>
        <w:rPr>
          <w:rFonts w:hint="eastAsia" w:asciiTheme="majorEastAsia" w:hAnsiTheme="majorEastAsia" w:eastAsiaTheme="majorEastAsia" w:cstheme="majorEastAsia"/>
          <w:color w:val="auto"/>
          <w:sz w:val="36"/>
          <w:szCs w:val="36"/>
          <w:highlight w:val="none"/>
          <w:shd w:val="clear" w:color="auto" w:fill="FFFFFF"/>
          <w:lang w:val="en-US" w:eastAsia="zh-CN"/>
        </w:rPr>
      </w:pPr>
      <w:r>
        <w:rPr>
          <w:rFonts w:hint="default" w:asciiTheme="majorEastAsia" w:hAnsiTheme="majorEastAsia" w:eastAsiaTheme="majorEastAsia" w:cstheme="majorEastAsia"/>
          <w:color w:val="auto"/>
          <w:sz w:val="36"/>
          <w:szCs w:val="36"/>
          <w:highlight w:val="none"/>
          <w:shd w:val="clear" w:color="auto" w:fill="FFFFFF"/>
          <w:lang w:val="en-US" w:eastAsia="zh-CN"/>
        </w:rPr>
        <w:t>家具</w:t>
      </w:r>
      <w:bookmarkStart w:id="0" w:name="_GoBack"/>
      <w:r>
        <w:rPr>
          <w:rFonts w:hint="eastAsia" w:asciiTheme="majorEastAsia" w:hAnsiTheme="majorEastAsia" w:eastAsiaTheme="majorEastAsia" w:cstheme="majorEastAsia"/>
          <w:color w:val="auto"/>
          <w:sz w:val="36"/>
          <w:szCs w:val="36"/>
          <w:highlight w:val="none"/>
          <w:shd w:val="clear" w:color="auto" w:fill="FFFFFF"/>
          <w:lang w:val="en-US" w:eastAsia="zh-CN"/>
        </w:rPr>
        <w:t>技术参数</w:t>
      </w:r>
      <w:bookmarkEnd w:id="0"/>
      <w:r>
        <w:rPr>
          <w:rFonts w:hint="eastAsia" w:asciiTheme="majorEastAsia" w:hAnsiTheme="majorEastAsia" w:eastAsiaTheme="majorEastAsia" w:cstheme="majorEastAsia"/>
          <w:color w:val="auto"/>
          <w:sz w:val="36"/>
          <w:szCs w:val="36"/>
          <w:highlight w:val="none"/>
          <w:shd w:val="clear" w:color="auto" w:fill="FFFFFF"/>
          <w:lang w:val="en-US" w:eastAsia="zh-CN"/>
        </w:rPr>
        <w:t>响应情况</w:t>
      </w:r>
    </w:p>
    <w:p>
      <w:pPr>
        <w:pStyle w:val="11"/>
        <w:pageBreakBefore w:val="0"/>
        <w:widowControl/>
        <w:kinsoku/>
        <w:overflowPunct/>
        <w:topLinePunct w:val="0"/>
        <w:autoSpaceDE/>
        <w:autoSpaceDN/>
        <w:bidi w:val="0"/>
        <w:adjustRightInd/>
        <w:snapToGrid w:val="0"/>
        <w:spacing w:before="0" w:beforeAutospacing="0" w:after="0" w:afterAutospacing="0" w:line="560" w:lineRule="exact"/>
        <w:jc w:val="left"/>
        <w:rPr>
          <w:rFonts w:hint="default" w:ascii="黑体" w:hAnsi="黑体" w:eastAsia="黑体" w:cs="黑体"/>
          <w:color w:val="auto"/>
          <w:sz w:val="32"/>
          <w:szCs w:val="32"/>
          <w:highlight w:val="none"/>
          <w:shd w:val="clear" w:color="auto" w:fill="FFFFFF"/>
          <w:lang w:val="en-US" w:eastAsia="zh-CN"/>
        </w:rPr>
      </w:pPr>
    </w:p>
    <w:tbl>
      <w:tblPr>
        <w:tblStyle w:val="15"/>
        <w:tblW w:w="9596"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448"/>
        <w:gridCol w:w="3206"/>
        <w:gridCol w:w="520"/>
        <w:gridCol w:w="520"/>
        <w:gridCol w:w="52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602" w:type="dxa"/>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9"/>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序号</w:t>
            </w:r>
          </w:p>
        </w:tc>
        <w:tc>
          <w:tcPr>
            <w:tcW w:w="3448" w:type="dxa"/>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9"/>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技术参数要求</w:t>
            </w:r>
          </w:p>
        </w:tc>
        <w:tc>
          <w:tcPr>
            <w:tcW w:w="3206" w:type="dxa"/>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投标技术参数</w:t>
            </w:r>
          </w:p>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响应情况</w:t>
            </w:r>
          </w:p>
          <w:p>
            <w:pPr>
              <w:pStyle w:val="13"/>
              <w:keepNext w:val="0"/>
              <w:keepLines w:val="0"/>
              <w:pageBreakBefore w:val="0"/>
              <w:widowControl w:val="0"/>
              <w:kinsoku/>
              <w:wordWrap/>
              <w:overflowPunct/>
              <w:topLinePunct w:val="0"/>
              <w:autoSpaceDE/>
              <w:autoSpaceDN/>
              <w:bidi w:val="0"/>
              <w:adjustRightInd/>
              <w:spacing w:after="0" w:line="0" w:lineRule="atLeast"/>
              <w:ind w:left="0" w:leftChars="0" w:firstLine="0" w:firstLineChars="0"/>
              <w:jc w:val="center"/>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（投标方填写此栏）</w:t>
            </w:r>
          </w:p>
        </w:tc>
        <w:tc>
          <w:tcPr>
            <w:tcW w:w="1560" w:type="dxa"/>
            <w:gridSpan w:val="3"/>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9"/>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偏离情况</w:t>
            </w:r>
          </w:p>
          <w:p>
            <w:pPr>
              <w:pStyle w:val="13"/>
              <w:keepNext w:val="0"/>
              <w:keepLines w:val="0"/>
              <w:pageBreakBefore w:val="0"/>
              <w:widowControl w:val="0"/>
              <w:kinsoku/>
              <w:wordWrap/>
              <w:overflowPunct/>
              <w:topLinePunct w:val="0"/>
              <w:autoSpaceDE/>
              <w:autoSpaceDN/>
              <w:bidi w:val="0"/>
              <w:adjustRightInd/>
              <w:spacing w:after="0" w:line="0" w:lineRule="atLeast"/>
              <w:ind w:left="0" w:leftChars="0" w:firstLine="0" w:firstLineChars="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（投标方在下方相应栏划“√”）</w:t>
            </w:r>
          </w:p>
        </w:tc>
        <w:tc>
          <w:tcPr>
            <w:tcW w:w="780" w:type="dxa"/>
            <w:vAlign w:val="center"/>
          </w:tcPr>
          <w:p>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outlineLvl w:val="9"/>
              <w:rPr>
                <w:rFonts w:hint="eastAsia" w:ascii="仿宋_GB2312" w:hAnsi="仿宋_GB2312" w:eastAsia="仿宋_GB2312" w:cs="仿宋_GB2312"/>
                <w:b w:val="0"/>
                <w:bCs w:val="0"/>
                <w:color w:val="auto"/>
                <w:spacing w:val="0"/>
                <w:sz w:val="28"/>
                <w:szCs w:val="28"/>
                <w:highlight w:val="none"/>
                <w:lang w:val="en-US" w:eastAsia="zh-CN"/>
              </w:rPr>
            </w:pPr>
            <w:r>
              <w:rPr>
                <w:rFonts w:hint="eastAsia" w:ascii="仿宋_GB2312" w:hAnsi="仿宋_GB2312" w:eastAsia="仿宋_GB2312" w:cs="仿宋_GB2312"/>
                <w:b w:val="0"/>
                <w:bCs w:val="0"/>
                <w:color w:val="auto"/>
                <w:spacing w:val="0"/>
                <w:sz w:val="28"/>
                <w:szCs w:val="28"/>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0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default" w:ascii="仿宋_GB2312" w:hAnsi="仿宋_GB2312" w:eastAsia="仿宋_GB2312" w:cs="仿宋_GB2312"/>
                <w:i w:val="0"/>
                <w:iCs w:val="0"/>
                <w:color w:val="000000"/>
                <w:kern w:val="0"/>
                <w:sz w:val="24"/>
                <w:szCs w:val="24"/>
                <w:u w:val="none"/>
                <w:lang w:val="en-US" w:eastAsia="zh-CN" w:bidi="ar"/>
              </w:rPr>
              <w:t>1</w:t>
            </w:r>
          </w:p>
        </w:tc>
        <w:tc>
          <w:tcPr>
            <w:tcW w:w="3448" w:type="dxa"/>
            <w:shd w:val="clear" w:color="auto" w:fill="BEBEBE" w:themeFill="background1" w:themeFillShade="BF"/>
            <w:vAlign w:val="center"/>
          </w:tcPr>
          <w:p>
            <w:pPr>
              <w:pStyle w:val="13"/>
              <w:keepNext w:val="0"/>
              <w:keepLines w:val="0"/>
              <w:pageBreakBefore w:val="0"/>
              <w:widowControl w:val="0"/>
              <w:numPr>
                <w:ilvl w:val="0"/>
                <w:numId w:val="0"/>
              </w:numPr>
              <w:kinsoku/>
              <w:wordWrap/>
              <w:overflowPunct/>
              <w:topLinePunct w:val="0"/>
              <w:autoSpaceDE/>
              <w:autoSpaceDN/>
              <w:bidi w:val="0"/>
              <w:adjustRightInd/>
              <w:snapToGrid/>
              <w:spacing w:after="0" w:line="0" w:lineRule="atLeas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1适老化桌</w:t>
            </w:r>
          </w:p>
        </w:tc>
        <w:tc>
          <w:tcPr>
            <w:tcW w:w="3206"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1适老化桌</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78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1.1规格尺寸：长1200*宽580*高750mm（整体尺寸允差±10mm），含2个抽屉。</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★1.2基材：桌面采用E0级实木多层板（胶合板），桌面厚度≥25mm，实木皮贴面、封边，纹理清晰色泽舒适，甲醛释放量≤0.50mg</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/m3</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，符合GB/T 39600-2021《人造板及其制品甲醛释放量分级》中E0级标准要求，静曲强度符合GB/T 17657-2022《人造板及饰面人造板理化性能试验方法》标准要求；外观质量符合GB/T 34722-2017《浸渍胶膜纸饰面 胶合板和细木工板》优等品的要求；防腐性能符合LY/T 3044-2018《人造板防腐性能评价》彩绒革盖菌、密粘褶菌，0级或以上标准要求；符合GB/T 9846-2015《普通胶合板》，含水率≤10%，胶合强度≥0.8Mpa。</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1.3工艺：实木皮贴面、封边，封边厚度≥2.0mm，封边倒角圆滑、经精修边，无外露胶痕，符合QB/T 4463-2013《家具用封边条技术要求》标准要求；家具用木材应经干燥处理，含水率要低于15.6%。符合GB/T 3324-20</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24</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《木家具通用技术条件》抽检检测标准。</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1.4桌脚采用白蜡木，符合GB/T 29894-2013《木材鉴别方法通则》标准。水性面漆：V0C含量≤ 300g/L ，苯系物总和含量≤250mg/kg，符合GB 18581 -2020《木器涂料中有害物质限量》标准。</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1.5抽屉：采用E0级实木多层板（胶合板）、底板厚度≥16mm；缓冲滑轨式抽屉，方便老人抽拉；抽屉不能完全抽出，保证老人使用安全。</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1.6所有材料安全无异味。所有板件和产品整体均符合GB 20286-2006《公共场所阻燃制品及组件燃烧性能要求和标识》阻燃1级标准要求。根据采购单位需求进行深化设计，确定后生产。</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0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3448" w:type="dxa"/>
            <w:shd w:val="clear" w:color="auto" w:fill="BEBEBE" w:themeFill="background1" w:themeFillShade="BF"/>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2.适老化椅</w:t>
            </w:r>
          </w:p>
        </w:tc>
        <w:tc>
          <w:tcPr>
            <w:tcW w:w="3206"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2.适老化椅</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78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2.1规格尺寸：长570*宽580*高880mm（整体尺寸允差±10mm）。</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★2.2基材：整体采用白蜡木原木制作，椅子框架≥30mm，不允许使用拼接板；符合GB/T 29894-2013《木材鉴别方法通则》标准。水性面漆：V0C含量≤ 300g/L ，苯系物总和含量≤250mg/kg，符合GB 18581 -2020《木器涂料中有害物质限量》标准。</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2.3工艺：木材充分烘干，保证含水率符合要求；木材纹理，无明显节子、虫眼，不得使用腐朽材，木制件外观达到国家合格标准，符合 GB/T 3324-2024《木家具通用技术条件》标准要求；人体可触及部位圆弧形设计；框架圆角设计，防止老人磕伤。涂装要求无桔皮、发白、流挂、泪油现象；成品纹理清晰、表层饱满、光泽润亮；结实耐用，耐磨损，耐腐蚀。</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★2.4坐垫及靠背内置海绵，采用高回弹软质聚氨酯海绵，符合QB/T2080-2018《高回弹软质聚氨酯泡沫塑料》，座面密度≥45kg/m³,其他部位密度≥40kg/m³，外饰加厚皮革，便于清洁卫生。</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★2.5靠背、座垫皮革：厚度≥1.2mm，具有耐腐蚀、耐紫外线消毒及抗老化性能、耐污耐磨损、具备100%防水防渗透能力，有害物质应符合HJ 507-2009《环境标志产品技术要求皮革和合成革》中C类的要求；其他理化性能符合GB/T 16799-2018《家具用皮革》要求。符合QB/T 4199-2011《皮革 防霉性能测试方法》、QB/T 4371-2012《家具抗菌性能的评价标准要求》抑菌率≥99%标准要求。</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2.6</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所有材料安全无异味。所有板件、座面海绵、椅背海绵和产品整体均符合GB 20286-2006《公共场所阻燃制品及组件燃烧性能要求和标识》阻燃1级标准要求，</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根据采购单位需求进行深化设计，确定后生产</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3448" w:type="dxa"/>
            <w:shd w:val="clear" w:color="auto" w:fill="BEBEBE" w:themeFill="background1" w:themeFillShade="BF"/>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jc w:val="both"/>
              <w:textAlignment w:val="auto"/>
              <w:rPr>
                <w:rFonts w:hint="eastAsia" w:ascii="仿宋_GB2312" w:hAnsi="仿宋_GB2312" w:eastAsia="仿宋_GB2312" w:cs="仿宋_GB2312"/>
                <w:i w:val="0"/>
                <w:iCs w:val="0"/>
                <w:color w:val="auto"/>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3.床头柜</w:t>
            </w:r>
          </w:p>
        </w:tc>
        <w:tc>
          <w:tcPr>
            <w:tcW w:w="3206"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3.床头柜</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78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3.1尺寸规格（参考尺寸）：长600*宽450*高</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6</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00mm（整体尺寸允差±10mm）。</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★3.2基材：采用E0级实木多层板（胶合板），桌面厚度≥25mm，门板、侧板、抽屉面板及其他厚度≥16mm，实木皮贴面、封边，纹理清晰色泽舒适，甲醛释放量≤0.50mg</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/m3</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，符合GB/T 39600-2021《人造板及其制品甲醛释放量分级》中E0级标准要求，静曲强度符合GB/T 17657-2022《人造板及饰面人造板理化性能试验方法》标准要求；外观质量符合GB/T 34722-2017《浸渍胶膜纸饰面 胶合板和细木工板》优等品的要求；防腐性能符合LY/T 3044-2018《人造板防腐性能评价》彩绒革盖菌、密粘褶菌，0级或以上标准要求；符合GB/T 9846-2015《普通胶合板》，含水率≤10%，胶合强度≥0.8Mpa。</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3.3结构功能：上抽屉下单掩门，缓冲滑轨式抽屉，方便老人抽拉，且抽屉不能完全抽出，保证老人使用安全。</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3.4五金配件：静音环保五金配件，均经过酸洗磷洗等防锈处理，表面镀层没有剥落现象。</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3.5所有材料安全无异味。所有板件和产品整体均符合GB 20286-2006《公共场所阻燃制品及组件燃烧性能要求和标识》阻燃1级标准要求。根据采购单位需求进行深化设计，确定后生产。</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448"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00" w:lineRule="exac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4.适老化活动桌</w:t>
            </w:r>
          </w:p>
        </w:tc>
        <w:tc>
          <w:tcPr>
            <w:tcW w:w="3206"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4.适老化活动桌</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78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4.1规格尺寸：长1400*宽</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70</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0*高750mm（整体尺寸允差±10mm）</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★4.2基材：桌面采用E0级实木多层板（胶合板），桌面厚度≥25mm，实木皮贴面、封边，纹理清晰色泽舒适，甲醛释放量≤0.50mg</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/m3</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，符合GB/T 39600-2021《人造板及其制品甲醛释放量分级》中E0级标准要求，静曲强度符合GB/T 17657-2022《人造板及饰面人造板理化性能试验方法》标准要求；外观质量符合GB/T 34722-2017《浸渍胶膜纸饰面 胶合板和细木工板》优等品的要求；防腐性能符合LY/T 3044-2018《人造板防腐性能评价》彩绒革盖菌、密粘褶菌，0级或以上标准要求；符合GB/T 9846-2015《普通胶合板》，含水率≤10%，胶合强度≥0.8Mpa。</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4.3工艺：实木皮贴面、封边，封边厚度≥2.0mm，封边倒角圆滑、经精修边，无外露胶痕，符合QB/T 4463-2013《家具用封边条技术要求》标准要求；家具用木材应经干燥处理，含水率要低于15.6%。符合GB/T 3324-20</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24</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《木家具通用技术条件》抽检检测标准。</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4.4桌脚采用白蜡木，符合GB/T 29894-2013《木材鉴别方法通则》标准。水性面漆：V0C含量≤ 300g/L ，苯系物总和含量≤250mg/kg，符合GB 18581 -2020《木器涂料中有害物质限量》标准。</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★4.5适老化设计：配拐杖孔或隐藏式拐杖架，便于长者放置拐杖。</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 xml:space="preserve">4.6所有材料安全无异味。所有板件和产品整体均符合GB 20286-2006《公共场所阻燃制品及组件燃烧性能要求和标识》阻燃1级标准要求。根据采购单位需求进行深化设计，确定后生产。                                                                                                                                                   </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3448" w:type="dxa"/>
            <w:shd w:val="clear" w:color="auto" w:fill="BEBEBE" w:themeFill="background1" w:themeFillShade="BF"/>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5.适老化餐桌</w:t>
            </w:r>
          </w:p>
        </w:tc>
        <w:tc>
          <w:tcPr>
            <w:tcW w:w="3206"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sz w:val="24"/>
                <w:szCs w:val="24"/>
                <w:vertAlign w:val="baseline"/>
                <w:lang w:val="en-US" w:eastAsia="zh-CN"/>
              </w:rPr>
              <w:t>5.适老化餐桌</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无</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52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b/>
                <w:bCs/>
                <w:i w:val="0"/>
                <w:iCs w:val="0"/>
                <w:color w:val="000000"/>
                <w:kern w:val="0"/>
                <w:sz w:val="21"/>
                <w:szCs w:val="21"/>
                <w:u w:val="none"/>
                <w:lang w:val="en-US" w:eastAsia="zh-CN" w:bidi="ar"/>
              </w:rPr>
            </w:pPr>
            <w:r>
              <w:rPr>
                <w:rFonts w:hint="eastAsia" w:ascii="仿宋_GB2312" w:hAnsi="仿宋_GB2312" w:eastAsia="仿宋_GB2312" w:cs="仿宋_GB2312"/>
                <w:b/>
                <w:bCs/>
                <w:i w:val="0"/>
                <w:iCs w:val="0"/>
                <w:color w:val="000000"/>
                <w:kern w:val="0"/>
                <w:sz w:val="21"/>
                <w:szCs w:val="21"/>
                <w:u w:val="none"/>
                <w:lang w:val="en-US" w:eastAsia="zh-CN" w:bidi="ar"/>
              </w:rPr>
              <w:t>负</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偏</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离</w:t>
            </w:r>
          </w:p>
        </w:tc>
        <w:tc>
          <w:tcPr>
            <w:tcW w:w="780" w:type="dxa"/>
            <w:shd w:val="clear" w:color="auto" w:fill="BEBEBE" w:themeFill="background1" w:themeFillShade="BF"/>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5.1规格尺寸：长1600*宽1000*高7</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6</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0mm（整体尺寸允差±10mm）</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5</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.2基材：桌面采用E0级实木多层板（胶合板），桌面厚度≥25mm，实木皮贴面、封边，纹理清晰色泽舒适，甲醛释放量≤0.50mg</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/m3</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，符合GB/T 39600-2021《人造板及其制品甲醛释放量分级》中E0级标准要求，静曲强度符合GB/T 17657-2022《人造板及饰面人造板理化性能试验方法》标准要求；外观质量符合GB/T 34722-2017《浸渍胶膜纸饰面 胶合板和细木工板》优等品的要求；防腐性能符合LY/T 3044-2018《人造板防腐性能评价》彩绒革盖菌、密粘褶菌，0级或以上标准要求；符合GB/T 9846-2015《普通胶合板》，含水率≤10%，胶合强度≥0.8Mpa。</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default"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5.3工艺：实木皮贴面、封边，封边厚度≥2.0mm，封边倒角圆滑、经精修边，无外露胶痕，符合QB/T 4463-2013《家具用封边条技术要求》标准要求；家具用木材应经干燥处理，含水率要低于15.6%。符合GB/T 3324-20</w:t>
            </w:r>
            <w:r>
              <w:rPr>
                <w:rFonts w:hint="default" w:ascii="仿宋_GB2312" w:hAnsi="仿宋_GB2312" w:eastAsia="仿宋_GB2312" w:cs="仿宋_GB2312"/>
                <w:b w:val="0"/>
                <w:bCs w:val="0"/>
                <w:color w:val="auto"/>
                <w:spacing w:val="10"/>
                <w:kern w:val="0"/>
                <w:sz w:val="24"/>
                <w:szCs w:val="24"/>
                <w:highlight w:val="none"/>
                <w:u w:val="none"/>
                <w:lang w:val="en-US" w:eastAsia="zh-CN" w:bidi="ar-SA"/>
              </w:rPr>
              <w:t>24</w:t>
            </w:r>
            <w:r>
              <w:rPr>
                <w:rFonts w:hint="eastAsia" w:ascii="仿宋_GB2312" w:hAnsi="仿宋_GB2312" w:eastAsia="仿宋_GB2312" w:cs="仿宋_GB2312"/>
                <w:b w:val="0"/>
                <w:bCs w:val="0"/>
                <w:color w:val="auto"/>
                <w:spacing w:val="10"/>
                <w:kern w:val="0"/>
                <w:sz w:val="24"/>
                <w:szCs w:val="24"/>
                <w:highlight w:val="none"/>
                <w:u w:val="none"/>
                <w:lang w:val="en-US" w:eastAsia="zh-CN" w:bidi="ar-SA"/>
              </w:rPr>
              <w:t>《木家具通用技术条件》抽检检测标准。</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5.4桌脚采用白蜡木，符合GB/T 29894-2013《木材鉴别方法通则》标准。水性面漆：V0C含量≤ 300g/L ，苯系物总和含量≤250mg/kg，符合GB 18581 -2020《木器涂料中有害物质限量》标准。</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★5.5适老化设计：配拐杖孔或隐藏式拐杖架（不用时可收纳到桌底下方），便于长者放置拐杖。长边每侧各2处桌边缘内缩，方便老人靠近。</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0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3448" w:type="dxa"/>
            <w:vAlign w:val="top"/>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300" w:lineRule="exact"/>
              <w:ind w:left="0" w:leftChars="0" w:firstLine="0" w:firstLineChars="0"/>
              <w:textAlignment w:val="auto"/>
              <w:rPr>
                <w:rFonts w:hint="eastAsia" w:ascii="仿宋_GB2312" w:hAnsi="仿宋_GB2312" w:eastAsia="仿宋_GB2312" w:cs="仿宋_GB2312"/>
                <w:b w:val="0"/>
                <w:bCs w:val="0"/>
                <w:color w:val="auto"/>
                <w:spacing w:val="10"/>
                <w:kern w:val="0"/>
                <w:sz w:val="24"/>
                <w:szCs w:val="24"/>
                <w:highlight w:val="none"/>
                <w:u w:val="none"/>
                <w:lang w:val="en-US" w:eastAsia="zh-CN" w:bidi="ar-SA"/>
              </w:rPr>
            </w:pPr>
            <w:r>
              <w:rPr>
                <w:rFonts w:hint="eastAsia" w:ascii="仿宋_GB2312" w:hAnsi="仿宋_GB2312" w:eastAsia="仿宋_GB2312" w:cs="仿宋_GB2312"/>
                <w:b w:val="0"/>
                <w:bCs w:val="0"/>
                <w:color w:val="auto"/>
                <w:spacing w:val="10"/>
                <w:kern w:val="0"/>
                <w:sz w:val="24"/>
                <w:szCs w:val="24"/>
                <w:highlight w:val="none"/>
                <w:u w:val="none"/>
                <w:lang w:val="en-US" w:eastAsia="zh-CN" w:bidi="ar-SA"/>
              </w:rPr>
              <w:t xml:space="preserve">5.6所有材料安全无异味。所有板件和产品整体均符合GB 20286-2006《公共场所阻燃制品及组件燃烧性能要求和标识》阻燃1级标准要求。根据采购单位需求进行深化设计，确定后生产。    </w:t>
            </w:r>
          </w:p>
        </w:tc>
        <w:tc>
          <w:tcPr>
            <w:tcW w:w="3206"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lang w:val="en-US" w:eastAsia="zh-CN"/>
              </w:rPr>
            </w:pPr>
          </w:p>
          <w:p>
            <w:pPr>
              <w:bidi w:val="0"/>
              <w:rPr>
                <w:rFonts w:hint="eastAsia"/>
                <w:lang w:val="en-US" w:eastAsia="zh-CN"/>
              </w:rPr>
            </w:pPr>
          </w:p>
          <w:p>
            <w:pPr>
              <w:tabs>
                <w:tab w:val="left" w:pos="769"/>
              </w:tabs>
              <w:bidi w:val="0"/>
              <w:jc w:val="left"/>
              <w:rPr>
                <w:rFonts w:hint="eastAsia"/>
                <w:lang w:val="en-US" w:eastAsia="zh-CN"/>
              </w:rPr>
            </w:pPr>
            <w:r>
              <w:rPr>
                <w:rFonts w:hint="default"/>
                <w:lang w:val="en-US" w:eastAsia="zh-CN"/>
              </w:rPr>
              <w:tab/>
            </w: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52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c>
          <w:tcPr>
            <w:tcW w:w="780" w:type="dxa"/>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050" w:type="dxa"/>
            <w:gridSpan w:val="2"/>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投标供应商技术参数响应情况统计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0" w:lineRule="atLeast"/>
              <w:ind w:left="0" w:leftChars="0" w:firstLine="0" w:firstLineChars="0"/>
              <w:jc w:val="center"/>
              <w:textAlignment w:val="auto"/>
              <w:rPr>
                <w:rFonts w:hint="eastAsia"/>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（投标方填写此栏）</w:t>
            </w:r>
          </w:p>
        </w:tc>
        <w:tc>
          <w:tcPr>
            <w:tcW w:w="5546" w:type="dxa"/>
            <w:gridSpan w:val="5"/>
            <w:vAlign w:val="center"/>
          </w:tcPr>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以上所有家具技术参数共有29个，其中</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正偏离（）个，含★（）个；</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0" w:lineRule="atLeast"/>
              <w:jc w:val="both"/>
              <w:textAlignment w:val="auto"/>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无偏离（）个，含★（）个；</w:t>
            </w:r>
          </w:p>
          <w:p>
            <w:pPr>
              <w:pStyle w:val="11"/>
              <w:keepNext w:val="0"/>
              <w:keepLines w:val="0"/>
              <w:pageBreakBefore w:val="0"/>
              <w:widowControl/>
              <w:kinsoku/>
              <w:wordWrap/>
              <w:overflowPunct/>
              <w:topLinePunct w:val="0"/>
              <w:autoSpaceDE/>
              <w:autoSpaceDN/>
              <w:bidi w:val="0"/>
              <w:adjustRightInd/>
              <w:snapToGrid w:val="0"/>
              <w:spacing w:before="0" w:beforeAutospacing="0" w:after="0" w:afterAutospacing="0" w:line="0" w:lineRule="atLeast"/>
              <w:jc w:val="both"/>
              <w:textAlignment w:val="auto"/>
              <w:rPr>
                <w:rFonts w:hint="eastAsia" w:ascii="仿宋_GB2312" w:hAnsi="仿宋_GB2312" w:eastAsia="仿宋_GB2312" w:cs="仿宋_GB2312"/>
                <w:color w:val="auto"/>
                <w:sz w:val="24"/>
                <w:szCs w:val="24"/>
                <w:highlight w:val="none"/>
                <w:shd w:val="clear" w:color="auto" w:fill="FFFFFF"/>
                <w:vertAlign w:val="baseline"/>
              </w:rPr>
            </w:pPr>
            <w:r>
              <w:rPr>
                <w:rFonts w:hint="eastAsia" w:ascii="仿宋_GB2312" w:hAnsi="仿宋_GB2312" w:eastAsia="仿宋_GB2312" w:cs="仿宋_GB2312"/>
                <w:i w:val="0"/>
                <w:iCs w:val="0"/>
                <w:color w:val="000000"/>
                <w:kern w:val="0"/>
                <w:sz w:val="24"/>
                <w:szCs w:val="24"/>
                <w:u w:val="none"/>
                <w:lang w:val="en-US" w:eastAsia="zh-CN" w:bidi="ar"/>
              </w:rPr>
              <w:t>负偏离（）个，含★（）个。</w:t>
            </w:r>
          </w:p>
        </w:tc>
      </w:tr>
    </w:tbl>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eastAsia" w:ascii="CESI黑体-GB13000" w:hAnsi="CESI黑体-GB13000" w:eastAsia="CESI黑体-GB13000" w:cs="CESI黑体-GB13000"/>
          <w:color w:val="auto"/>
          <w:spacing w:val="0"/>
          <w:sz w:val="30"/>
          <w:szCs w:val="30"/>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jc w:val="left"/>
        <w:textAlignment w:val="auto"/>
        <w:outlineLvl w:val="9"/>
        <w:rPr>
          <w:rFonts w:hint="eastAsia" w:ascii="CESI黑体-GB13000" w:hAnsi="CESI黑体-GB13000" w:eastAsia="CESI黑体-GB13000" w:cs="CESI黑体-GB13000"/>
          <w:color w:val="auto"/>
          <w:spacing w:val="0"/>
          <w:sz w:val="30"/>
          <w:szCs w:val="30"/>
          <w:highlight w:val="none"/>
          <w:lang w:val="en-US" w:eastAsia="zh-CN"/>
        </w:rPr>
      </w:pPr>
      <w:r>
        <w:rPr>
          <w:rFonts w:hint="eastAsia" w:ascii="CESI黑体-GB13000" w:hAnsi="CESI黑体-GB13000" w:eastAsia="CESI黑体-GB13000" w:cs="CESI黑体-GB13000"/>
          <w:color w:val="auto"/>
          <w:spacing w:val="0"/>
          <w:sz w:val="30"/>
          <w:szCs w:val="30"/>
          <w:highlight w:val="none"/>
          <w:lang w:val="en-US" w:eastAsia="zh-CN"/>
        </w:rPr>
        <w:t>填表说明：</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both"/>
        <w:textAlignment w:val="auto"/>
        <w:outlineLvl w:val="9"/>
        <w:rPr>
          <w:rFonts w:hint="eastAsia" w:ascii="CESI仿宋-GB13000" w:hAnsi="CESI仿宋-GB13000" w:eastAsia="CESI仿宋-GB13000" w:cs="CESI仿宋-GB13000"/>
          <w:color w:val="auto"/>
          <w:spacing w:val="0"/>
          <w:sz w:val="30"/>
          <w:szCs w:val="30"/>
          <w:highlight w:val="none"/>
          <w:lang w:val="en-US" w:eastAsia="zh-CN"/>
        </w:rPr>
      </w:pPr>
      <w:r>
        <w:rPr>
          <w:rFonts w:hint="eastAsia" w:ascii="CESI仿宋-GB13000" w:hAnsi="CESI仿宋-GB13000" w:eastAsia="CESI仿宋-GB13000" w:cs="CESI仿宋-GB13000"/>
          <w:color w:val="auto"/>
          <w:spacing w:val="0"/>
          <w:sz w:val="30"/>
          <w:szCs w:val="30"/>
          <w:highlight w:val="none"/>
          <w:lang w:val="en-US" w:eastAsia="zh-CN"/>
        </w:rPr>
        <w:t>1、请投标供应商如实填写家具技术参数响应情况中的“投标技术参响应情况”“偏离情况”“投标供应商技术参数相应情况统计”。</w:t>
      </w:r>
    </w:p>
    <w:p>
      <w:pPr>
        <w:keepNext w:val="0"/>
        <w:keepLines w:val="0"/>
        <w:pageBreakBefore w:val="0"/>
        <w:widowControl w:val="0"/>
        <w:kinsoku/>
        <w:wordWrap/>
        <w:overflowPunct/>
        <w:topLinePunct w:val="0"/>
        <w:autoSpaceDE/>
        <w:autoSpaceDN/>
        <w:bidi w:val="0"/>
        <w:adjustRightInd/>
        <w:snapToGrid w:val="0"/>
        <w:spacing w:line="560" w:lineRule="exact"/>
        <w:ind w:firstLine="600" w:firstLineChars="200"/>
        <w:jc w:val="both"/>
        <w:textAlignment w:val="auto"/>
        <w:outlineLvl w:val="9"/>
        <w:rPr>
          <w:rFonts w:hint="eastAsia" w:ascii="CESI仿宋-GB13000" w:hAnsi="CESI仿宋-GB13000" w:eastAsia="CESI仿宋-GB13000" w:cs="CESI仿宋-GB13000"/>
          <w:b w:val="0"/>
          <w:bCs w:val="0"/>
          <w:color w:val="auto"/>
          <w:spacing w:val="0"/>
          <w:sz w:val="30"/>
          <w:szCs w:val="30"/>
          <w:highlight w:val="none"/>
          <w:lang w:val="en-US" w:eastAsia="zh-CN"/>
        </w:rPr>
      </w:pPr>
      <w:r>
        <w:rPr>
          <w:rFonts w:hint="eastAsia" w:ascii="CESI仿宋-GB13000" w:hAnsi="CESI仿宋-GB13000" w:eastAsia="CESI仿宋-GB13000" w:cs="CESI仿宋-GB13000"/>
          <w:color w:val="auto"/>
          <w:spacing w:val="0"/>
          <w:sz w:val="30"/>
          <w:szCs w:val="30"/>
          <w:highlight w:val="none"/>
          <w:lang w:val="en-US" w:eastAsia="zh-CN"/>
        </w:rPr>
        <w:t>2、“投标技术参响应情况”一栏必须一一对照“技术参数要求”，如实详细填写投标供应商自身投标产品的具体参数，以体现具体响应情况。</w:t>
      </w:r>
      <w:r>
        <w:rPr>
          <w:rFonts w:hint="eastAsia" w:ascii="CESI仿宋-GB13000" w:hAnsi="CESI仿宋-GB13000" w:eastAsia="CESI仿宋-GB13000" w:cs="CESI仿宋-GB13000"/>
          <w:b/>
          <w:bCs/>
          <w:color w:val="auto"/>
          <w:spacing w:val="0"/>
          <w:sz w:val="30"/>
          <w:szCs w:val="30"/>
          <w:highlight w:val="none"/>
          <w:lang w:val="en-US" w:eastAsia="zh-CN"/>
        </w:rPr>
        <w:t>投标供应商中标后</w:t>
      </w:r>
      <w:r>
        <w:rPr>
          <w:rFonts w:hint="default" w:ascii="方正仿宋_GB2312" w:hAnsi="方正仿宋_GB2312" w:eastAsia="方正仿宋_GB2312" w:cs="方正仿宋_GB2312"/>
          <w:b/>
          <w:bCs/>
          <w:i w:val="0"/>
          <w:iCs w:val="0"/>
          <w:caps w:val="0"/>
          <w:color w:val="auto"/>
          <w:spacing w:val="0"/>
          <w:sz w:val="32"/>
          <w:szCs w:val="32"/>
        </w:rPr>
        <w:t>，</w:t>
      </w:r>
      <w:r>
        <w:rPr>
          <w:rFonts w:hint="eastAsia" w:ascii="方正仿宋_GB2312" w:hAnsi="方正仿宋_GB2312" w:eastAsia="方正仿宋_GB2312" w:cs="方正仿宋_GB2312"/>
          <w:b/>
          <w:bCs/>
          <w:i w:val="0"/>
          <w:iCs w:val="0"/>
          <w:caps w:val="0"/>
          <w:color w:val="auto"/>
          <w:spacing w:val="0"/>
          <w:sz w:val="32"/>
          <w:szCs w:val="32"/>
          <w:lang w:eastAsia="zh-CN"/>
        </w:rPr>
        <w:t>采购方</w:t>
      </w:r>
      <w:r>
        <w:rPr>
          <w:rFonts w:hint="default" w:ascii="方正仿宋_GB2312" w:hAnsi="方正仿宋_GB2312" w:eastAsia="方正仿宋_GB2312" w:cs="方正仿宋_GB2312"/>
          <w:b/>
          <w:bCs/>
          <w:i w:val="0"/>
          <w:iCs w:val="0"/>
          <w:caps w:val="0"/>
          <w:color w:val="auto"/>
          <w:spacing w:val="0"/>
          <w:sz w:val="32"/>
          <w:szCs w:val="32"/>
        </w:rPr>
        <w:t>将严格按照</w:t>
      </w:r>
      <w:r>
        <w:rPr>
          <w:rFonts w:hint="eastAsia" w:ascii="方正仿宋_GB2312" w:hAnsi="方正仿宋_GB2312" w:eastAsia="方正仿宋_GB2312" w:cs="方正仿宋_GB2312"/>
          <w:b/>
          <w:bCs/>
          <w:i w:val="0"/>
          <w:iCs w:val="0"/>
          <w:caps w:val="0"/>
          <w:color w:val="auto"/>
          <w:spacing w:val="0"/>
          <w:sz w:val="32"/>
          <w:szCs w:val="32"/>
        </w:rPr>
        <w:t>项目</w:t>
      </w:r>
      <w:r>
        <w:rPr>
          <w:rFonts w:hint="eastAsia" w:ascii="方正仿宋_GB2312" w:hAnsi="方正仿宋_GB2312" w:eastAsia="方正仿宋_GB2312" w:cs="方正仿宋_GB2312"/>
          <w:b/>
          <w:bCs/>
          <w:i w:val="0"/>
          <w:iCs w:val="0"/>
          <w:caps w:val="0"/>
          <w:color w:val="auto"/>
          <w:spacing w:val="0"/>
          <w:sz w:val="32"/>
          <w:szCs w:val="32"/>
          <w:lang w:eastAsia="zh-CN"/>
        </w:rPr>
        <w:t>中标供应商</w:t>
      </w:r>
      <w:r>
        <w:rPr>
          <w:rFonts w:hint="default" w:ascii="方正仿宋_GB2312" w:hAnsi="方正仿宋_GB2312" w:eastAsia="方正仿宋_GB2312" w:cs="方正仿宋_GB2312"/>
          <w:b/>
          <w:bCs/>
          <w:i w:val="0"/>
          <w:iCs w:val="0"/>
          <w:caps w:val="0"/>
          <w:color w:val="auto"/>
          <w:spacing w:val="0"/>
          <w:sz w:val="32"/>
          <w:szCs w:val="32"/>
        </w:rPr>
        <w:t>投标方案及</w:t>
      </w:r>
      <w:r>
        <w:rPr>
          <w:rFonts w:hint="eastAsia" w:ascii="方正仿宋_GB2312" w:hAnsi="方正仿宋_GB2312" w:eastAsia="方正仿宋_GB2312" w:cs="方正仿宋_GB2312"/>
          <w:b/>
          <w:bCs/>
          <w:i w:val="0"/>
          <w:iCs w:val="0"/>
          <w:caps w:val="0"/>
          <w:color w:val="auto"/>
          <w:spacing w:val="0"/>
          <w:sz w:val="32"/>
          <w:szCs w:val="32"/>
        </w:rPr>
        <w:t>合同</w:t>
      </w:r>
      <w:r>
        <w:rPr>
          <w:rFonts w:hint="default" w:ascii="方正仿宋_GB2312" w:hAnsi="方正仿宋_GB2312" w:eastAsia="方正仿宋_GB2312" w:cs="方正仿宋_GB2312"/>
          <w:b/>
          <w:bCs/>
          <w:i w:val="0"/>
          <w:iCs w:val="0"/>
          <w:caps w:val="0"/>
          <w:color w:val="auto"/>
          <w:spacing w:val="0"/>
          <w:sz w:val="32"/>
          <w:szCs w:val="32"/>
        </w:rPr>
        <w:t>条款</w:t>
      </w:r>
      <w:r>
        <w:rPr>
          <w:rFonts w:hint="eastAsia" w:ascii="方正仿宋_GB2312" w:hAnsi="方正仿宋_GB2312" w:eastAsia="方正仿宋_GB2312" w:cs="方正仿宋_GB2312"/>
          <w:b/>
          <w:bCs/>
          <w:i w:val="0"/>
          <w:iCs w:val="0"/>
          <w:caps w:val="0"/>
          <w:color w:val="auto"/>
          <w:spacing w:val="0"/>
          <w:sz w:val="32"/>
          <w:szCs w:val="32"/>
        </w:rPr>
        <w:t>履约；</w:t>
      </w:r>
      <w:r>
        <w:rPr>
          <w:rFonts w:hint="eastAsia" w:ascii="方正仿宋_GB2312" w:hAnsi="方正仿宋_GB2312" w:eastAsia="方正仿宋_GB2312" w:cs="方正仿宋_GB2312"/>
          <w:b/>
          <w:bCs/>
          <w:i w:val="0"/>
          <w:iCs w:val="0"/>
          <w:caps w:val="0"/>
          <w:color w:val="auto"/>
          <w:spacing w:val="0"/>
          <w:sz w:val="32"/>
          <w:szCs w:val="32"/>
          <w:lang w:eastAsia="zh-CN"/>
        </w:rPr>
        <w:t>如有违约，中标</w:t>
      </w:r>
      <w:r>
        <w:rPr>
          <w:rFonts w:hint="default" w:ascii="方正仿宋_GB2312" w:hAnsi="方正仿宋_GB2312" w:eastAsia="方正仿宋_GB2312" w:cs="方正仿宋_GB2312"/>
          <w:b/>
          <w:bCs/>
          <w:i w:val="0"/>
          <w:iCs w:val="0"/>
          <w:caps w:val="0"/>
          <w:color w:val="auto"/>
          <w:spacing w:val="0"/>
          <w:sz w:val="32"/>
          <w:szCs w:val="32"/>
          <w:lang w:eastAsia="zh-CN"/>
        </w:rPr>
        <w:t>单位将承担对采购方造成的全部损失，采购</w:t>
      </w:r>
      <w:r>
        <w:rPr>
          <w:rFonts w:hint="eastAsia" w:ascii="方正仿宋_GB2312" w:hAnsi="方正仿宋_GB2312" w:eastAsia="方正仿宋_GB2312" w:cs="方正仿宋_GB2312"/>
          <w:b/>
          <w:bCs/>
          <w:i w:val="0"/>
          <w:iCs w:val="0"/>
          <w:caps w:val="0"/>
          <w:color w:val="auto"/>
          <w:spacing w:val="0"/>
          <w:sz w:val="32"/>
          <w:szCs w:val="32"/>
          <w:lang w:eastAsia="zh-CN"/>
        </w:rPr>
        <w:t>方有权</w:t>
      </w:r>
      <w:r>
        <w:rPr>
          <w:rFonts w:hint="default" w:ascii="方正仿宋_GB2312" w:hAnsi="方正仿宋_GB2312" w:eastAsia="方正仿宋_GB2312" w:cs="方正仿宋_GB2312"/>
          <w:b/>
          <w:bCs/>
          <w:i w:val="0"/>
          <w:iCs w:val="0"/>
          <w:caps w:val="0"/>
          <w:color w:val="auto"/>
          <w:spacing w:val="0"/>
          <w:sz w:val="32"/>
          <w:szCs w:val="32"/>
          <w:lang w:eastAsia="zh-CN"/>
        </w:rPr>
        <w:t>就中标单位的失信行为</w:t>
      </w:r>
      <w:r>
        <w:rPr>
          <w:rFonts w:hint="eastAsia" w:ascii="方正仿宋_GB2312" w:hAnsi="方正仿宋_GB2312" w:eastAsia="方正仿宋_GB2312" w:cs="方正仿宋_GB2312"/>
          <w:b/>
          <w:bCs/>
          <w:i w:val="0"/>
          <w:iCs w:val="0"/>
          <w:caps w:val="0"/>
          <w:color w:val="auto"/>
          <w:spacing w:val="0"/>
          <w:sz w:val="32"/>
          <w:szCs w:val="32"/>
          <w:lang w:eastAsia="zh-CN"/>
        </w:rPr>
        <w:t>向</w:t>
      </w:r>
      <w:r>
        <w:rPr>
          <w:rFonts w:hint="default" w:ascii="方正仿宋_GB2312" w:hAnsi="方正仿宋_GB2312" w:eastAsia="方正仿宋_GB2312" w:cs="方正仿宋_GB2312"/>
          <w:b/>
          <w:bCs/>
          <w:i w:val="0"/>
          <w:iCs w:val="0"/>
          <w:caps w:val="0"/>
          <w:color w:val="auto"/>
          <w:spacing w:val="0"/>
          <w:sz w:val="32"/>
          <w:szCs w:val="32"/>
          <w:lang w:eastAsia="zh-CN"/>
        </w:rPr>
        <w:t>市区财政等相关</w:t>
      </w:r>
      <w:r>
        <w:rPr>
          <w:rFonts w:hint="eastAsia" w:ascii="方正仿宋_GB2312" w:hAnsi="方正仿宋_GB2312" w:eastAsia="方正仿宋_GB2312" w:cs="方正仿宋_GB2312"/>
          <w:b/>
          <w:bCs/>
          <w:i w:val="0"/>
          <w:iCs w:val="0"/>
          <w:caps w:val="0"/>
          <w:color w:val="auto"/>
          <w:spacing w:val="0"/>
          <w:sz w:val="32"/>
          <w:szCs w:val="32"/>
          <w:lang w:eastAsia="zh-CN"/>
        </w:rPr>
        <w:t>部门进行</w:t>
      </w:r>
      <w:r>
        <w:rPr>
          <w:rFonts w:hint="default" w:ascii="方正仿宋_GB2312" w:hAnsi="方正仿宋_GB2312" w:eastAsia="方正仿宋_GB2312" w:cs="方正仿宋_GB2312"/>
          <w:b/>
          <w:bCs/>
          <w:i w:val="0"/>
          <w:iCs w:val="0"/>
          <w:caps w:val="0"/>
          <w:color w:val="auto"/>
          <w:spacing w:val="0"/>
          <w:sz w:val="32"/>
          <w:szCs w:val="32"/>
          <w:lang w:eastAsia="zh-CN"/>
        </w:rPr>
        <w:t>举报</w:t>
      </w:r>
      <w:r>
        <w:rPr>
          <w:rFonts w:hint="eastAsia" w:ascii="方正仿宋_GB2312" w:hAnsi="方正仿宋_GB2312" w:eastAsia="方正仿宋_GB2312" w:cs="方正仿宋_GB2312"/>
          <w:b/>
          <w:bCs/>
          <w:i w:val="0"/>
          <w:iCs w:val="0"/>
          <w:cap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40"/>
        <w:jc w:val="both"/>
        <w:textAlignment w:val="auto"/>
        <w:outlineLvl w:val="9"/>
        <w:rPr>
          <w:color w:val="auto"/>
          <w:highlight w:val="none"/>
        </w:rPr>
      </w:pPr>
      <w:r>
        <w:rPr>
          <w:rFonts w:hint="eastAsia" w:ascii="CESI仿宋-GB13000" w:hAnsi="CESI仿宋-GB13000" w:eastAsia="CESI仿宋-GB13000" w:cs="CESI仿宋-GB13000"/>
          <w:color w:val="auto"/>
          <w:spacing w:val="0"/>
          <w:sz w:val="30"/>
          <w:szCs w:val="30"/>
          <w:highlight w:val="none"/>
          <w:lang w:val="en-US" w:eastAsia="zh-CN"/>
        </w:rPr>
        <w:t>3、“偏离情况”</w:t>
      </w:r>
      <w:r>
        <w:rPr>
          <w:rFonts w:hint="eastAsia" w:ascii="CESI仿宋-GB13000" w:hAnsi="CESI仿宋-GB13000" w:eastAsia="CESI仿宋-GB13000" w:cs="CESI仿宋-GB13000"/>
          <w:color w:val="auto"/>
          <w:spacing w:val="0"/>
          <w:sz w:val="30"/>
          <w:szCs w:val="30"/>
          <w:highlight w:val="none"/>
          <w:u w:val="none"/>
          <w:lang w:val="en-US" w:eastAsia="zh-CN"/>
        </w:rPr>
        <w:t>一栏如实在“正偏离”、“负偏离”或“无偏离”的相应栏中划“√”，</w:t>
      </w:r>
      <w:r>
        <w:rPr>
          <w:rFonts w:hint="eastAsia" w:ascii="CESI仿宋-GB13000" w:hAnsi="CESI仿宋-GB13000" w:eastAsia="CESI仿宋-GB13000" w:cs="CESI仿宋-GB13000"/>
          <w:color w:val="auto"/>
          <w:spacing w:val="0"/>
          <w:sz w:val="30"/>
          <w:szCs w:val="30"/>
          <w:highlight w:val="none"/>
          <w:lang w:val="en-US" w:eastAsia="zh-CN"/>
        </w:rPr>
        <w:t>其中： “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w:t>
      </w:r>
      <w:r>
        <w:rPr>
          <w:rFonts w:hint="eastAsia" w:ascii="CESI仿宋-GB13000" w:hAnsi="CESI仿宋-GB13000" w:eastAsia="CESI仿宋-GB13000" w:cs="CESI仿宋-GB13000"/>
          <w:color w:val="auto"/>
          <w:spacing w:val="0"/>
          <w:sz w:val="30"/>
          <w:szCs w:val="30"/>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40"/>
        <w:jc w:val="both"/>
        <w:textAlignment w:val="auto"/>
        <w:outlineLvl w:val="9"/>
        <w:rPr>
          <w:color w:val="auto"/>
          <w:highlight w:val="none"/>
        </w:rPr>
      </w:pPr>
    </w:p>
    <w:sectPr>
      <w:footerReference r:id="rId3" w:type="default"/>
      <w:pgSz w:w="11906" w:h="16838"/>
      <w:pgMar w:top="2154" w:right="1587" w:bottom="1701" w:left="1587"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ESI黑体-GB13000">
    <w:panose1 w:val="02000500000000000000"/>
    <w:charset w:val="86"/>
    <w:family w:val="auto"/>
    <w:pitch w:val="default"/>
    <w:sig w:usb0="800002BF" w:usb1="38CF7CF8" w:usb2="00000016" w:usb3="00000000" w:csb0="0004000F" w:csb1="00000000"/>
  </w:font>
  <w:font w:name="CESI仿宋-GB13000">
    <w:panose1 w:val="02000500000000000000"/>
    <w:charset w:val="86"/>
    <w:family w:val="auto"/>
    <w:pitch w:val="default"/>
    <w:sig w:usb0="800002BF" w:usb1="18CF7CF8" w:usb2="00000016" w:usb3="00000000" w:csb0="0004000F"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8"/>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2MTEzMmNiNGI5MjJmODEzMWU2OWRjNjA3NmU3OWQifQ=="/>
  </w:docVars>
  <w:rsids>
    <w:rsidRoot w:val="19B77064"/>
    <w:rsid w:val="00301063"/>
    <w:rsid w:val="00476DEC"/>
    <w:rsid w:val="00D34EFC"/>
    <w:rsid w:val="019C21AE"/>
    <w:rsid w:val="01EB724E"/>
    <w:rsid w:val="021C73C3"/>
    <w:rsid w:val="022C52A5"/>
    <w:rsid w:val="025F617E"/>
    <w:rsid w:val="02837130"/>
    <w:rsid w:val="033B23FA"/>
    <w:rsid w:val="03413725"/>
    <w:rsid w:val="037932AD"/>
    <w:rsid w:val="03F03558"/>
    <w:rsid w:val="04A1644A"/>
    <w:rsid w:val="04B236BC"/>
    <w:rsid w:val="05F8708B"/>
    <w:rsid w:val="061F7082"/>
    <w:rsid w:val="062F2523"/>
    <w:rsid w:val="0722584D"/>
    <w:rsid w:val="07227CF5"/>
    <w:rsid w:val="072F3BF9"/>
    <w:rsid w:val="07902F12"/>
    <w:rsid w:val="08233723"/>
    <w:rsid w:val="08751E3F"/>
    <w:rsid w:val="08F77E0C"/>
    <w:rsid w:val="08FF6B78"/>
    <w:rsid w:val="09B50BF1"/>
    <w:rsid w:val="09F4CA2D"/>
    <w:rsid w:val="0B674587"/>
    <w:rsid w:val="0BB83EAC"/>
    <w:rsid w:val="0BC4324D"/>
    <w:rsid w:val="0C673BB9"/>
    <w:rsid w:val="0C74160F"/>
    <w:rsid w:val="0CFD4D63"/>
    <w:rsid w:val="0D027890"/>
    <w:rsid w:val="0D283BA5"/>
    <w:rsid w:val="0D60461B"/>
    <w:rsid w:val="0DF46F68"/>
    <w:rsid w:val="0E545297"/>
    <w:rsid w:val="0E5B163F"/>
    <w:rsid w:val="0E772766"/>
    <w:rsid w:val="0EB44E7C"/>
    <w:rsid w:val="0F6069CA"/>
    <w:rsid w:val="0F9640E5"/>
    <w:rsid w:val="0FAE22CD"/>
    <w:rsid w:val="0FF05B1E"/>
    <w:rsid w:val="0FF9266B"/>
    <w:rsid w:val="10A23B9C"/>
    <w:rsid w:val="11802A71"/>
    <w:rsid w:val="11D86FA5"/>
    <w:rsid w:val="11F122DA"/>
    <w:rsid w:val="125970E0"/>
    <w:rsid w:val="12A81EF0"/>
    <w:rsid w:val="131B6383"/>
    <w:rsid w:val="1356560D"/>
    <w:rsid w:val="138F5C4A"/>
    <w:rsid w:val="13C25D85"/>
    <w:rsid w:val="13E4255B"/>
    <w:rsid w:val="14C30681"/>
    <w:rsid w:val="14ED5921"/>
    <w:rsid w:val="162A0B1B"/>
    <w:rsid w:val="16D95C8B"/>
    <w:rsid w:val="170610F8"/>
    <w:rsid w:val="178E7158"/>
    <w:rsid w:val="17B45180"/>
    <w:rsid w:val="17BD56A1"/>
    <w:rsid w:val="17CC79E3"/>
    <w:rsid w:val="17EC2619"/>
    <w:rsid w:val="18084DE5"/>
    <w:rsid w:val="189D534B"/>
    <w:rsid w:val="18BD4469"/>
    <w:rsid w:val="19B77064"/>
    <w:rsid w:val="19E96C24"/>
    <w:rsid w:val="1ABE674E"/>
    <w:rsid w:val="1AE118B8"/>
    <w:rsid w:val="1AFC6A9A"/>
    <w:rsid w:val="1B3501FE"/>
    <w:rsid w:val="1BC647DE"/>
    <w:rsid w:val="1BCE07FF"/>
    <w:rsid w:val="1BDE8185"/>
    <w:rsid w:val="1BE64050"/>
    <w:rsid w:val="1BFF75D9"/>
    <w:rsid w:val="1CA429CB"/>
    <w:rsid w:val="1D147E86"/>
    <w:rsid w:val="1D1D31C4"/>
    <w:rsid w:val="1D1D7E63"/>
    <w:rsid w:val="1D2F59C5"/>
    <w:rsid w:val="1D927C2A"/>
    <w:rsid w:val="1DDA5200"/>
    <w:rsid w:val="1E372F20"/>
    <w:rsid w:val="1E3F1691"/>
    <w:rsid w:val="1E6F4E28"/>
    <w:rsid w:val="1E8D39D0"/>
    <w:rsid w:val="1EA8520C"/>
    <w:rsid w:val="1EB630D8"/>
    <w:rsid w:val="1EC347B5"/>
    <w:rsid w:val="1F0C5C61"/>
    <w:rsid w:val="1F381A07"/>
    <w:rsid w:val="1F7F4E09"/>
    <w:rsid w:val="1FBFFA5E"/>
    <w:rsid w:val="1FF706A5"/>
    <w:rsid w:val="20570338"/>
    <w:rsid w:val="20C9566F"/>
    <w:rsid w:val="20DC5D35"/>
    <w:rsid w:val="20E214DD"/>
    <w:rsid w:val="211F239D"/>
    <w:rsid w:val="212705E9"/>
    <w:rsid w:val="213A5BDB"/>
    <w:rsid w:val="221F0A2C"/>
    <w:rsid w:val="223A365C"/>
    <w:rsid w:val="22903B49"/>
    <w:rsid w:val="2295338C"/>
    <w:rsid w:val="23222E59"/>
    <w:rsid w:val="234C013C"/>
    <w:rsid w:val="23517C4F"/>
    <w:rsid w:val="23537319"/>
    <w:rsid w:val="235D0D79"/>
    <w:rsid w:val="237D7B4B"/>
    <w:rsid w:val="23C45BB1"/>
    <w:rsid w:val="24375135"/>
    <w:rsid w:val="24391BE6"/>
    <w:rsid w:val="244D64C3"/>
    <w:rsid w:val="24F64197"/>
    <w:rsid w:val="25145328"/>
    <w:rsid w:val="25477D82"/>
    <w:rsid w:val="257DA7C9"/>
    <w:rsid w:val="25870486"/>
    <w:rsid w:val="25EF1778"/>
    <w:rsid w:val="265942F9"/>
    <w:rsid w:val="26A2363F"/>
    <w:rsid w:val="26FD2EE4"/>
    <w:rsid w:val="27040FC7"/>
    <w:rsid w:val="272C79C6"/>
    <w:rsid w:val="275639D6"/>
    <w:rsid w:val="27903B66"/>
    <w:rsid w:val="279838DD"/>
    <w:rsid w:val="291F7490"/>
    <w:rsid w:val="29262FDB"/>
    <w:rsid w:val="293F11EE"/>
    <w:rsid w:val="29A51144"/>
    <w:rsid w:val="29A52B1B"/>
    <w:rsid w:val="2BA4138E"/>
    <w:rsid w:val="2C2922D7"/>
    <w:rsid w:val="2C792B1E"/>
    <w:rsid w:val="2C7F03CA"/>
    <w:rsid w:val="2CCD6F06"/>
    <w:rsid w:val="2D5908CB"/>
    <w:rsid w:val="2D81332B"/>
    <w:rsid w:val="2E05616C"/>
    <w:rsid w:val="2EA206A2"/>
    <w:rsid w:val="2ED35195"/>
    <w:rsid w:val="2EFF70B2"/>
    <w:rsid w:val="2F4C2211"/>
    <w:rsid w:val="2F7DC66E"/>
    <w:rsid w:val="2F7F3A09"/>
    <w:rsid w:val="2FCC7C1D"/>
    <w:rsid w:val="2FF66119"/>
    <w:rsid w:val="2FFD7444"/>
    <w:rsid w:val="30073691"/>
    <w:rsid w:val="3008735E"/>
    <w:rsid w:val="306114CE"/>
    <w:rsid w:val="30D77290"/>
    <w:rsid w:val="311A495B"/>
    <w:rsid w:val="3153638C"/>
    <w:rsid w:val="31CF26D6"/>
    <w:rsid w:val="31D63C49"/>
    <w:rsid w:val="321D524B"/>
    <w:rsid w:val="322E3435"/>
    <w:rsid w:val="3267CD51"/>
    <w:rsid w:val="334E49A9"/>
    <w:rsid w:val="33812387"/>
    <w:rsid w:val="33DE2436"/>
    <w:rsid w:val="34633A4D"/>
    <w:rsid w:val="347A793A"/>
    <w:rsid w:val="34E741EB"/>
    <w:rsid w:val="34EB4C2D"/>
    <w:rsid w:val="34F52D2B"/>
    <w:rsid w:val="350E7825"/>
    <w:rsid w:val="35154ED0"/>
    <w:rsid w:val="355275CF"/>
    <w:rsid w:val="356F4547"/>
    <w:rsid w:val="357FC0F1"/>
    <w:rsid w:val="35821B03"/>
    <w:rsid w:val="358264E3"/>
    <w:rsid w:val="359B6FDE"/>
    <w:rsid w:val="35F01E89"/>
    <w:rsid w:val="35FF366F"/>
    <w:rsid w:val="36377FBE"/>
    <w:rsid w:val="366006E7"/>
    <w:rsid w:val="367D21E7"/>
    <w:rsid w:val="36F96BF3"/>
    <w:rsid w:val="373FD210"/>
    <w:rsid w:val="37EF7E76"/>
    <w:rsid w:val="37F50AD5"/>
    <w:rsid w:val="37F60FEE"/>
    <w:rsid w:val="38631891"/>
    <w:rsid w:val="389F4BD6"/>
    <w:rsid w:val="38CC71EE"/>
    <w:rsid w:val="39A3778C"/>
    <w:rsid w:val="39D35A13"/>
    <w:rsid w:val="39ED6243"/>
    <w:rsid w:val="39FDF253"/>
    <w:rsid w:val="3A4165E2"/>
    <w:rsid w:val="3B3824B9"/>
    <w:rsid w:val="3B8C1FA8"/>
    <w:rsid w:val="3BED6511"/>
    <w:rsid w:val="3BF0238C"/>
    <w:rsid w:val="3C0A3BF1"/>
    <w:rsid w:val="3C346AB8"/>
    <w:rsid w:val="3C7452CC"/>
    <w:rsid w:val="3C93234E"/>
    <w:rsid w:val="3C973026"/>
    <w:rsid w:val="3CD559DC"/>
    <w:rsid w:val="3CDA7307"/>
    <w:rsid w:val="3CDFF247"/>
    <w:rsid w:val="3CF5A950"/>
    <w:rsid w:val="3D510832"/>
    <w:rsid w:val="3D630247"/>
    <w:rsid w:val="3DA70C4A"/>
    <w:rsid w:val="3DF84AC8"/>
    <w:rsid w:val="3DFD6BC3"/>
    <w:rsid w:val="3DFF853B"/>
    <w:rsid w:val="3DFFF6A3"/>
    <w:rsid w:val="3E197EDF"/>
    <w:rsid w:val="3E7B054D"/>
    <w:rsid w:val="3EBFBA63"/>
    <w:rsid w:val="3EDE5AC4"/>
    <w:rsid w:val="3F67259E"/>
    <w:rsid w:val="3F75ACF5"/>
    <w:rsid w:val="3F7BDABB"/>
    <w:rsid w:val="3FDEE91F"/>
    <w:rsid w:val="403220B6"/>
    <w:rsid w:val="40CC685D"/>
    <w:rsid w:val="40F10EA7"/>
    <w:rsid w:val="41CB5A48"/>
    <w:rsid w:val="41E0113A"/>
    <w:rsid w:val="42213FC1"/>
    <w:rsid w:val="42441C24"/>
    <w:rsid w:val="427C48FC"/>
    <w:rsid w:val="42F93A27"/>
    <w:rsid w:val="438F22F2"/>
    <w:rsid w:val="443F0C1E"/>
    <w:rsid w:val="444924A1"/>
    <w:rsid w:val="449C2D84"/>
    <w:rsid w:val="44C13F46"/>
    <w:rsid w:val="44C17138"/>
    <w:rsid w:val="45520930"/>
    <w:rsid w:val="455C266A"/>
    <w:rsid w:val="4583068E"/>
    <w:rsid w:val="46110391"/>
    <w:rsid w:val="46211681"/>
    <w:rsid w:val="46777757"/>
    <w:rsid w:val="469A5235"/>
    <w:rsid w:val="46A31779"/>
    <w:rsid w:val="46E22278"/>
    <w:rsid w:val="46EC22D2"/>
    <w:rsid w:val="46F05561"/>
    <w:rsid w:val="473F7B8B"/>
    <w:rsid w:val="47496F93"/>
    <w:rsid w:val="474B5ECD"/>
    <w:rsid w:val="4776759F"/>
    <w:rsid w:val="47E55815"/>
    <w:rsid w:val="481246E2"/>
    <w:rsid w:val="486F7555"/>
    <w:rsid w:val="49191B7E"/>
    <w:rsid w:val="4A4D5D22"/>
    <w:rsid w:val="4A524638"/>
    <w:rsid w:val="4B396B91"/>
    <w:rsid w:val="4B500479"/>
    <w:rsid w:val="4B994E1B"/>
    <w:rsid w:val="4C112BC0"/>
    <w:rsid w:val="4C153CDE"/>
    <w:rsid w:val="4C265C6D"/>
    <w:rsid w:val="4C65144C"/>
    <w:rsid w:val="4C701E77"/>
    <w:rsid w:val="4D74511D"/>
    <w:rsid w:val="4D8E1D1D"/>
    <w:rsid w:val="4DE20421"/>
    <w:rsid w:val="4E82486A"/>
    <w:rsid w:val="4EA30112"/>
    <w:rsid w:val="4F6B61E2"/>
    <w:rsid w:val="4FD32EDB"/>
    <w:rsid w:val="4FDFE609"/>
    <w:rsid w:val="4FDFFFB2"/>
    <w:rsid w:val="4FEF7CE8"/>
    <w:rsid w:val="4FFFB366"/>
    <w:rsid w:val="500A342C"/>
    <w:rsid w:val="502142D2"/>
    <w:rsid w:val="5022584A"/>
    <w:rsid w:val="51024103"/>
    <w:rsid w:val="511509CB"/>
    <w:rsid w:val="511932BC"/>
    <w:rsid w:val="51350A98"/>
    <w:rsid w:val="5187285A"/>
    <w:rsid w:val="521560B8"/>
    <w:rsid w:val="52293F0F"/>
    <w:rsid w:val="529F6996"/>
    <w:rsid w:val="52A410B3"/>
    <w:rsid w:val="52D25281"/>
    <w:rsid w:val="533D728C"/>
    <w:rsid w:val="537F2D12"/>
    <w:rsid w:val="53CA2727"/>
    <w:rsid w:val="548F489E"/>
    <w:rsid w:val="54A27046"/>
    <w:rsid w:val="54AA1D6F"/>
    <w:rsid w:val="552E4A3F"/>
    <w:rsid w:val="556F1F95"/>
    <w:rsid w:val="55A50C82"/>
    <w:rsid w:val="55CD4444"/>
    <w:rsid w:val="55DC58C4"/>
    <w:rsid w:val="55EE1718"/>
    <w:rsid w:val="56B7749A"/>
    <w:rsid w:val="5777254A"/>
    <w:rsid w:val="579E08FE"/>
    <w:rsid w:val="57E6CAE0"/>
    <w:rsid w:val="57F8494B"/>
    <w:rsid w:val="58211B84"/>
    <w:rsid w:val="58622295"/>
    <w:rsid w:val="5A1C13C6"/>
    <w:rsid w:val="5A73345B"/>
    <w:rsid w:val="5AAC50E0"/>
    <w:rsid w:val="5AC443B9"/>
    <w:rsid w:val="5B8C5CD1"/>
    <w:rsid w:val="5BA81843"/>
    <w:rsid w:val="5CE1396A"/>
    <w:rsid w:val="5D3F1F11"/>
    <w:rsid w:val="5DBB1859"/>
    <w:rsid w:val="5E0F6D15"/>
    <w:rsid w:val="5E4F54AD"/>
    <w:rsid w:val="5E931B83"/>
    <w:rsid w:val="5EBF6D5A"/>
    <w:rsid w:val="5F157863"/>
    <w:rsid w:val="5F2C0E58"/>
    <w:rsid w:val="5F7FC0D2"/>
    <w:rsid w:val="5FB32A85"/>
    <w:rsid w:val="5FFB6592"/>
    <w:rsid w:val="5FFFB797"/>
    <w:rsid w:val="5FFFE425"/>
    <w:rsid w:val="602C4AE6"/>
    <w:rsid w:val="60740BE1"/>
    <w:rsid w:val="607F0C17"/>
    <w:rsid w:val="608368E3"/>
    <w:rsid w:val="61292BC0"/>
    <w:rsid w:val="61786480"/>
    <w:rsid w:val="619B02A2"/>
    <w:rsid w:val="61DB660E"/>
    <w:rsid w:val="623D2718"/>
    <w:rsid w:val="633649B6"/>
    <w:rsid w:val="63CF26AE"/>
    <w:rsid w:val="640420AA"/>
    <w:rsid w:val="642B2E3F"/>
    <w:rsid w:val="64345CAB"/>
    <w:rsid w:val="64966BE4"/>
    <w:rsid w:val="651F45F1"/>
    <w:rsid w:val="65560D68"/>
    <w:rsid w:val="656C3BC1"/>
    <w:rsid w:val="65BB6541"/>
    <w:rsid w:val="65CC0187"/>
    <w:rsid w:val="65E86887"/>
    <w:rsid w:val="65EB363E"/>
    <w:rsid w:val="664B5AB3"/>
    <w:rsid w:val="666D2985"/>
    <w:rsid w:val="66A27DF7"/>
    <w:rsid w:val="66A312A8"/>
    <w:rsid w:val="66EC3CA2"/>
    <w:rsid w:val="66FB1B7F"/>
    <w:rsid w:val="66FF14A1"/>
    <w:rsid w:val="675157A3"/>
    <w:rsid w:val="678849CE"/>
    <w:rsid w:val="67FF186B"/>
    <w:rsid w:val="68223326"/>
    <w:rsid w:val="689E5A24"/>
    <w:rsid w:val="68BE304E"/>
    <w:rsid w:val="68E66FDF"/>
    <w:rsid w:val="69531868"/>
    <w:rsid w:val="69B92A13"/>
    <w:rsid w:val="69CF01BB"/>
    <w:rsid w:val="69EA3A2A"/>
    <w:rsid w:val="6A086EC1"/>
    <w:rsid w:val="6A20124A"/>
    <w:rsid w:val="6A3948C0"/>
    <w:rsid w:val="6A805E6D"/>
    <w:rsid w:val="6AA031CD"/>
    <w:rsid w:val="6B2170EE"/>
    <w:rsid w:val="6B500B66"/>
    <w:rsid w:val="6B7AC9BC"/>
    <w:rsid w:val="6BDFF168"/>
    <w:rsid w:val="6BFA6D45"/>
    <w:rsid w:val="6BFE9583"/>
    <w:rsid w:val="6CBF3B4C"/>
    <w:rsid w:val="6CF30418"/>
    <w:rsid w:val="6D2D79CF"/>
    <w:rsid w:val="6D3722AC"/>
    <w:rsid w:val="6DF25C2D"/>
    <w:rsid w:val="6DFDDBF0"/>
    <w:rsid w:val="6DFEC368"/>
    <w:rsid w:val="6E100C2F"/>
    <w:rsid w:val="6E1B437E"/>
    <w:rsid w:val="6E3E5D92"/>
    <w:rsid w:val="6E816FD5"/>
    <w:rsid w:val="6E961391"/>
    <w:rsid w:val="6ED791C8"/>
    <w:rsid w:val="6EEB2CE5"/>
    <w:rsid w:val="6F230DA1"/>
    <w:rsid w:val="6F6ECC6F"/>
    <w:rsid w:val="6F7D7553"/>
    <w:rsid w:val="6FCA7781"/>
    <w:rsid w:val="6FCE6EAD"/>
    <w:rsid w:val="6FD827A7"/>
    <w:rsid w:val="6FDC010B"/>
    <w:rsid w:val="6FDFE548"/>
    <w:rsid w:val="6FEA5F7C"/>
    <w:rsid w:val="6FF79FAD"/>
    <w:rsid w:val="6FFF4A80"/>
    <w:rsid w:val="701E5686"/>
    <w:rsid w:val="70234D04"/>
    <w:rsid w:val="702B1AC9"/>
    <w:rsid w:val="705A3969"/>
    <w:rsid w:val="70B66E2C"/>
    <w:rsid w:val="710564EC"/>
    <w:rsid w:val="712B6C0D"/>
    <w:rsid w:val="722764B0"/>
    <w:rsid w:val="72A07D51"/>
    <w:rsid w:val="72FBC569"/>
    <w:rsid w:val="73460DE7"/>
    <w:rsid w:val="73AF5714"/>
    <w:rsid w:val="73BC5614"/>
    <w:rsid w:val="75895D74"/>
    <w:rsid w:val="75B715BA"/>
    <w:rsid w:val="75E5F936"/>
    <w:rsid w:val="75F717C7"/>
    <w:rsid w:val="764CED6F"/>
    <w:rsid w:val="765F7FCC"/>
    <w:rsid w:val="76AA0823"/>
    <w:rsid w:val="76F9929B"/>
    <w:rsid w:val="76FBCD8A"/>
    <w:rsid w:val="777F90F8"/>
    <w:rsid w:val="779E77C2"/>
    <w:rsid w:val="77A2747A"/>
    <w:rsid w:val="77DA292E"/>
    <w:rsid w:val="77DE3C5E"/>
    <w:rsid w:val="77F30F0F"/>
    <w:rsid w:val="77F747CD"/>
    <w:rsid w:val="77FF498C"/>
    <w:rsid w:val="78B13801"/>
    <w:rsid w:val="78FEEA5A"/>
    <w:rsid w:val="79325E63"/>
    <w:rsid w:val="795C8781"/>
    <w:rsid w:val="797F1C34"/>
    <w:rsid w:val="79B6D446"/>
    <w:rsid w:val="79EF6059"/>
    <w:rsid w:val="79FFAE25"/>
    <w:rsid w:val="7A4A06E8"/>
    <w:rsid w:val="7AA5112D"/>
    <w:rsid w:val="7AEBB497"/>
    <w:rsid w:val="7B3FD242"/>
    <w:rsid w:val="7B9F46C1"/>
    <w:rsid w:val="7BAB31BA"/>
    <w:rsid w:val="7BB7D8E6"/>
    <w:rsid w:val="7BBF87AE"/>
    <w:rsid w:val="7BDE1FC8"/>
    <w:rsid w:val="7BEF60DE"/>
    <w:rsid w:val="7BFEC0DD"/>
    <w:rsid w:val="7BFFA0B0"/>
    <w:rsid w:val="7C280598"/>
    <w:rsid w:val="7C9673D6"/>
    <w:rsid w:val="7CF747AE"/>
    <w:rsid w:val="7D134800"/>
    <w:rsid w:val="7D6D7FBA"/>
    <w:rsid w:val="7D6F6C79"/>
    <w:rsid w:val="7D9A9983"/>
    <w:rsid w:val="7DDF02D6"/>
    <w:rsid w:val="7DFF2B8C"/>
    <w:rsid w:val="7E42566A"/>
    <w:rsid w:val="7E49564F"/>
    <w:rsid w:val="7EBFA989"/>
    <w:rsid w:val="7EC80F15"/>
    <w:rsid w:val="7EDF1595"/>
    <w:rsid w:val="7EE97CD3"/>
    <w:rsid w:val="7EF74F03"/>
    <w:rsid w:val="7EFE5DAC"/>
    <w:rsid w:val="7F142C67"/>
    <w:rsid w:val="7F2317B7"/>
    <w:rsid w:val="7F356760"/>
    <w:rsid w:val="7F4974D0"/>
    <w:rsid w:val="7F5F2E2E"/>
    <w:rsid w:val="7F6F6D0C"/>
    <w:rsid w:val="7F75B538"/>
    <w:rsid w:val="7F9BCA30"/>
    <w:rsid w:val="7F9F6CF0"/>
    <w:rsid w:val="7FBB6F3D"/>
    <w:rsid w:val="7FDC5655"/>
    <w:rsid w:val="7FDDCC88"/>
    <w:rsid w:val="7FE63948"/>
    <w:rsid w:val="7FED1C67"/>
    <w:rsid w:val="7FEF0F31"/>
    <w:rsid w:val="7FFAD2D9"/>
    <w:rsid w:val="7FFBD771"/>
    <w:rsid w:val="7FFCA820"/>
    <w:rsid w:val="7FFD3763"/>
    <w:rsid w:val="7FFDF41E"/>
    <w:rsid w:val="7FFECD25"/>
    <w:rsid w:val="7FFF1124"/>
    <w:rsid w:val="7FFFA0C1"/>
    <w:rsid w:val="7FFFCC47"/>
    <w:rsid w:val="7FFFDFB3"/>
    <w:rsid w:val="874F78C7"/>
    <w:rsid w:val="8DFB17D3"/>
    <w:rsid w:val="97BF6373"/>
    <w:rsid w:val="97D5A37D"/>
    <w:rsid w:val="9BEEF94D"/>
    <w:rsid w:val="9CEEC33D"/>
    <w:rsid w:val="9D9C4AA2"/>
    <w:rsid w:val="9FD2C979"/>
    <w:rsid w:val="A34BCD54"/>
    <w:rsid w:val="A9FF43FA"/>
    <w:rsid w:val="ADD2CCD7"/>
    <w:rsid w:val="AF7715C5"/>
    <w:rsid w:val="AFFE7C5E"/>
    <w:rsid w:val="B1AB1BAD"/>
    <w:rsid w:val="B4A61270"/>
    <w:rsid w:val="B76EF76A"/>
    <w:rsid w:val="B7EDC2DF"/>
    <w:rsid w:val="B8FF41DC"/>
    <w:rsid w:val="BA65FF43"/>
    <w:rsid w:val="BB7F55EA"/>
    <w:rsid w:val="BBDF47EB"/>
    <w:rsid w:val="BE3F9BCE"/>
    <w:rsid w:val="BF7C87F0"/>
    <w:rsid w:val="BFF706D7"/>
    <w:rsid w:val="C946C1D4"/>
    <w:rsid w:val="CBFA2F8C"/>
    <w:rsid w:val="CDF9C08D"/>
    <w:rsid w:val="CDFD41A8"/>
    <w:rsid w:val="CFDB2AE2"/>
    <w:rsid w:val="D3D39A89"/>
    <w:rsid w:val="D5AAA050"/>
    <w:rsid w:val="D6AF64F6"/>
    <w:rsid w:val="D6FB144F"/>
    <w:rsid w:val="D77384AC"/>
    <w:rsid w:val="D84E66C7"/>
    <w:rsid w:val="D93F11AC"/>
    <w:rsid w:val="DAB3878D"/>
    <w:rsid w:val="DAC2D83F"/>
    <w:rsid w:val="DB1FC030"/>
    <w:rsid w:val="DD9BCBC7"/>
    <w:rsid w:val="DEEFE498"/>
    <w:rsid w:val="DEFF3899"/>
    <w:rsid w:val="DF9F2334"/>
    <w:rsid w:val="DFFB45DC"/>
    <w:rsid w:val="DFFD3921"/>
    <w:rsid w:val="DFFF15BB"/>
    <w:rsid w:val="DFFF94D7"/>
    <w:rsid w:val="E1FFB06B"/>
    <w:rsid w:val="E4FFCB3A"/>
    <w:rsid w:val="E501C358"/>
    <w:rsid w:val="E86F82F8"/>
    <w:rsid w:val="E9BF55D3"/>
    <w:rsid w:val="E9DF5420"/>
    <w:rsid w:val="EA2E64B6"/>
    <w:rsid w:val="EAFBC105"/>
    <w:rsid w:val="EBB7B4C0"/>
    <w:rsid w:val="EBFC29A5"/>
    <w:rsid w:val="EC7FBADF"/>
    <w:rsid w:val="EEFF884A"/>
    <w:rsid w:val="EF738DB6"/>
    <w:rsid w:val="EF8D03CD"/>
    <w:rsid w:val="EF9B7B46"/>
    <w:rsid w:val="EFC7578D"/>
    <w:rsid w:val="EFCCAD36"/>
    <w:rsid w:val="EFDD57F4"/>
    <w:rsid w:val="EFFCCC4E"/>
    <w:rsid w:val="EFFEB404"/>
    <w:rsid w:val="F1593724"/>
    <w:rsid w:val="F2F7032F"/>
    <w:rsid w:val="F35F9970"/>
    <w:rsid w:val="F3FFD720"/>
    <w:rsid w:val="F7650D96"/>
    <w:rsid w:val="F76B9300"/>
    <w:rsid w:val="F777517E"/>
    <w:rsid w:val="F77D537C"/>
    <w:rsid w:val="F7F5E3AA"/>
    <w:rsid w:val="F7F9673E"/>
    <w:rsid w:val="F7FE9435"/>
    <w:rsid w:val="F9BF9750"/>
    <w:rsid w:val="FB3E9812"/>
    <w:rsid w:val="FB5F2696"/>
    <w:rsid w:val="FB7E1C21"/>
    <w:rsid w:val="FBBB77CD"/>
    <w:rsid w:val="FBE37F5B"/>
    <w:rsid w:val="FBFF2C8D"/>
    <w:rsid w:val="FBFF848A"/>
    <w:rsid w:val="FC576FEA"/>
    <w:rsid w:val="FD5E556A"/>
    <w:rsid w:val="FD7F43D8"/>
    <w:rsid w:val="FD962F8F"/>
    <w:rsid w:val="FDBF498A"/>
    <w:rsid w:val="FDDC84EC"/>
    <w:rsid w:val="FDEFAB36"/>
    <w:rsid w:val="FDFE2E5E"/>
    <w:rsid w:val="FE7CDE97"/>
    <w:rsid w:val="FE967B1D"/>
    <w:rsid w:val="FE9FC71E"/>
    <w:rsid w:val="FEB283B5"/>
    <w:rsid w:val="FEBF6770"/>
    <w:rsid w:val="FEDFC297"/>
    <w:rsid w:val="FEEF7793"/>
    <w:rsid w:val="FEF7FCE9"/>
    <w:rsid w:val="FEFDAF27"/>
    <w:rsid w:val="FF6FF925"/>
    <w:rsid w:val="FF7D89B9"/>
    <w:rsid w:val="FF85AD32"/>
    <w:rsid w:val="FF9F43A4"/>
    <w:rsid w:val="FFA7DBCB"/>
    <w:rsid w:val="FFBD114F"/>
    <w:rsid w:val="FFBE77E9"/>
    <w:rsid w:val="FFBEB92E"/>
    <w:rsid w:val="FFCB571F"/>
    <w:rsid w:val="FFDEC9C4"/>
    <w:rsid w:val="FFDF48AD"/>
    <w:rsid w:val="FFFB9F32"/>
    <w:rsid w:val="FFFFE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仿宋_GB2312" w:asciiTheme="minorHAnsi" w:hAnsiTheme="minorHAnsi" w:eastAsiaTheme="minorEastAsia"/>
      <w:kern w:val="2"/>
      <w:sz w:val="32"/>
      <w:szCs w:val="32"/>
      <w:lang w:val="en-US" w:eastAsia="zh-CN" w:bidi="ar-SA"/>
    </w:rPr>
  </w:style>
  <w:style w:type="paragraph" w:styleId="3">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48"/>
      <w:szCs w:val="48"/>
      <w:lang w:val="en-US" w:eastAsia="zh-CN" w:bidi="ar"/>
    </w:rPr>
  </w:style>
  <w:style w:type="paragraph" w:styleId="4">
    <w:name w:val="heading 3"/>
    <w:basedOn w:val="5"/>
    <w:next w:val="1"/>
    <w:qFormat/>
    <w:uiPriority w:val="0"/>
    <w:pPr>
      <w:spacing w:line="415" w:lineRule="auto"/>
      <w:jc w:val="center"/>
      <w:outlineLvl w:val="2"/>
    </w:pPr>
    <w:rPr>
      <w:rFonts w:ascii="Times New Roman" w:hAnsi="Times New Roman" w:eastAsia="宋体"/>
      <w:sz w:val="30"/>
      <w:szCs w:val="32"/>
    </w:rPr>
  </w:style>
  <w:style w:type="paragraph" w:styleId="5">
    <w:name w:val="heading 4"/>
    <w:basedOn w:val="1"/>
    <w:next w:val="1"/>
    <w:qFormat/>
    <w:uiPriority w:val="0"/>
    <w:pPr>
      <w:keepNext/>
      <w:keepLines/>
      <w:spacing w:line="374" w:lineRule="auto"/>
      <w:outlineLvl w:val="3"/>
    </w:pPr>
    <w:rPr>
      <w:rFonts w:ascii="Arial" w:hAnsi="Arial" w:eastAsia="黑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6">
    <w:name w:val="annotation text"/>
    <w:basedOn w:val="1"/>
    <w:qFormat/>
    <w:uiPriority w:val="0"/>
    <w:pPr>
      <w:jc w:val="left"/>
    </w:pPr>
  </w:style>
  <w:style w:type="paragraph" w:styleId="7">
    <w:name w:val="Body Text Indent"/>
    <w:basedOn w:val="1"/>
    <w:qFormat/>
    <w:uiPriority w:val="0"/>
    <w:pPr>
      <w:ind w:firstLine="538" w:firstLineChars="192"/>
    </w:pPr>
    <w:rPr>
      <w:rFonts w:eastAsia="楷体_GB2312"/>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spacing w:before="100" w:beforeAutospacing="1" w:after="100" w:afterAutospacing="1"/>
      <w:ind w:left="420" w:leftChars="200"/>
    </w:pPr>
    <w:rPr>
      <w:rFonts w:ascii="Calibri" w:hAnsi="Calibri" w:eastAsia="宋体" w:cs="Times New Roman"/>
      <w:sz w:val="21"/>
      <w:szCs w:val="22"/>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w:basedOn w:val="2"/>
    <w:qFormat/>
    <w:uiPriority w:val="99"/>
    <w:pPr>
      <w:spacing w:after="0"/>
      <w:ind w:firstLine="420" w:firstLineChars="100"/>
    </w:pPr>
  </w:style>
  <w:style w:type="paragraph" w:styleId="13">
    <w:name w:val="Body Text First Indent 2"/>
    <w:basedOn w:val="7"/>
    <w:qFormat/>
    <w:uiPriority w:val="0"/>
    <w:pPr>
      <w:spacing w:after="120"/>
      <w:ind w:firstLine="420" w:firstLineChars="200"/>
    </w:pPr>
    <w:rPr>
      <w:szCs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color w:val="800080"/>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rPr>
      <w:color w:val="FF3300"/>
      <w:u w:val="none"/>
    </w:rPr>
  </w:style>
  <w:style w:type="character" w:styleId="23">
    <w:name w:val="Hyperlink"/>
    <w:basedOn w:val="16"/>
    <w:qFormat/>
    <w:uiPriority w:val="0"/>
    <w:rPr>
      <w:color w:val="0000FF"/>
      <w:u w:val="none"/>
    </w:rPr>
  </w:style>
  <w:style w:type="character" w:styleId="24">
    <w:name w:val="HTML Code"/>
    <w:basedOn w:val="16"/>
    <w:qFormat/>
    <w:uiPriority w:val="0"/>
    <w:rPr>
      <w:rFonts w:ascii="Courier New" w:hAnsi="Courier New"/>
      <w:sz w:val="20"/>
    </w:rPr>
  </w:style>
  <w:style w:type="character" w:styleId="25">
    <w:name w:val="annotation reference"/>
    <w:basedOn w:val="16"/>
    <w:qFormat/>
    <w:uiPriority w:val="0"/>
    <w:rPr>
      <w:sz w:val="21"/>
      <w:szCs w:val="21"/>
    </w:rPr>
  </w:style>
  <w:style w:type="character" w:styleId="26">
    <w:name w:val="HTML Cite"/>
    <w:basedOn w:val="16"/>
    <w:qFormat/>
    <w:uiPriority w:val="0"/>
  </w:style>
  <w:style w:type="character" w:customStyle="1" w:styleId="27">
    <w:name w:val="bsharetext"/>
    <w:basedOn w:val="16"/>
    <w:qFormat/>
    <w:uiPriority w:val="0"/>
  </w:style>
  <w:style w:type="character" w:customStyle="1" w:styleId="28">
    <w:name w:val="calendar-head__next-year-btn"/>
    <w:basedOn w:val="16"/>
    <w:qFormat/>
    <w:uiPriority w:val="0"/>
  </w:style>
  <w:style w:type="character" w:customStyle="1" w:styleId="29">
    <w:name w:val="hover2"/>
    <w:basedOn w:val="16"/>
    <w:qFormat/>
    <w:uiPriority w:val="0"/>
    <w:rPr>
      <w:color w:val="2F6EA2"/>
    </w:rPr>
  </w:style>
  <w:style w:type="character" w:customStyle="1" w:styleId="30">
    <w:name w:val="calendar-head__next-range-btn"/>
    <w:basedOn w:val="16"/>
    <w:qFormat/>
    <w:uiPriority w:val="0"/>
    <w:rPr>
      <w:vanish/>
    </w:rPr>
  </w:style>
  <w:style w:type="character" w:customStyle="1" w:styleId="31">
    <w:name w:val="calendar-head__prev-range-btn"/>
    <w:basedOn w:val="16"/>
    <w:qFormat/>
    <w:uiPriority w:val="0"/>
    <w:rPr>
      <w:vanish/>
    </w:rPr>
  </w:style>
  <w:style w:type="character" w:customStyle="1" w:styleId="32">
    <w:name w:val="active4"/>
    <w:basedOn w:val="16"/>
    <w:qFormat/>
    <w:uiPriority w:val="0"/>
    <w:rPr>
      <w:color w:val="333333"/>
    </w:rPr>
  </w:style>
  <w:style w:type="character" w:customStyle="1" w:styleId="33">
    <w:name w:val="calendar-head__text-display"/>
    <w:basedOn w:val="16"/>
    <w:qFormat/>
    <w:uiPriority w:val="0"/>
    <w:rPr>
      <w:vanish/>
    </w:rPr>
  </w:style>
  <w:style w:type="character" w:customStyle="1" w:styleId="34">
    <w:name w:val="calendar-head__next-month-btn"/>
    <w:basedOn w:val="16"/>
    <w:qFormat/>
    <w:uiPriority w:val="0"/>
  </w:style>
  <w:style w:type="character" w:customStyle="1" w:styleId="35">
    <w:name w:val="calendar-head__year-range"/>
    <w:basedOn w:val="16"/>
    <w:qFormat/>
    <w:uiPriority w:val="0"/>
    <w:rPr>
      <w:vanish/>
    </w:rPr>
  </w:style>
  <w:style w:type="character" w:customStyle="1" w:styleId="36">
    <w:name w:val="hover"/>
    <w:basedOn w:val="16"/>
    <w:qFormat/>
    <w:uiPriority w:val="0"/>
    <w:rPr>
      <w:color w:val="2F6EA2"/>
    </w:rPr>
  </w:style>
  <w:style w:type="character" w:customStyle="1" w:styleId="37">
    <w:name w:val="active"/>
    <w:basedOn w:val="16"/>
    <w:qFormat/>
    <w:uiPriority w:val="0"/>
    <w:rPr>
      <w:color w:val="333333"/>
    </w:rPr>
  </w:style>
  <w:style w:type="paragraph" w:customStyle="1" w:styleId="38">
    <w:name w:val="Revision"/>
    <w:hidden/>
    <w:semiHidden/>
    <w:qFormat/>
    <w:uiPriority w:val="99"/>
    <w:rPr>
      <w:rFonts w:cs="仿宋_GB2312" w:asciiTheme="minorHAnsi" w:hAnsiTheme="minorHAnsi" w:eastAsiaTheme="minorEastAsia"/>
      <w:kern w:val="2"/>
      <w:sz w:val="32"/>
      <w:szCs w:val="32"/>
      <w:lang w:val="en-US" w:eastAsia="zh-CN" w:bidi="ar-SA"/>
    </w:rPr>
  </w:style>
  <w:style w:type="character" w:customStyle="1" w:styleId="39">
    <w:name w:val="font01"/>
    <w:basedOn w:val="16"/>
    <w:qFormat/>
    <w:uiPriority w:val="0"/>
    <w:rPr>
      <w:rFonts w:hint="eastAsia" w:ascii="宋体" w:hAnsi="宋体" w:eastAsia="宋体" w:cs="宋体"/>
      <w:color w:val="FF0000"/>
      <w:sz w:val="16"/>
      <w:szCs w:val="16"/>
      <w:u w:val="none"/>
    </w:rPr>
  </w:style>
  <w:style w:type="character" w:customStyle="1" w:styleId="40">
    <w:name w:val="font11"/>
    <w:basedOn w:val="16"/>
    <w:qFormat/>
    <w:uiPriority w:val="0"/>
    <w:rPr>
      <w:rFonts w:hint="eastAsia" w:ascii="宋体" w:hAnsi="宋体" w:eastAsia="宋体" w:cs="宋体"/>
      <w:color w:val="000000"/>
      <w:sz w:val="16"/>
      <w:szCs w:val="16"/>
      <w:u w:val="none"/>
    </w:rPr>
  </w:style>
  <w:style w:type="paragraph" w:styleId="4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1684</Words>
  <Characters>2219</Characters>
  <Lines>11</Lines>
  <Paragraphs>3</Paragraphs>
  <TotalTime>3</TotalTime>
  <ScaleCrop>false</ScaleCrop>
  <LinksUpToDate>false</LinksUpToDate>
  <CharactersWithSpaces>2386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2019-04-17T17:44:00Z</dcterms:created>
  <dc:creator>fullmoon</dc:creator>
  <cp:lastModifiedBy>民政局陈淑君</cp:lastModifiedBy>
  <cp:lastPrinted>2025-08-11T03:25:00Z</cp:lastPrinted>
  <dcterms:modified xsi:type="dcterms:W3CDTF">2026-01-29T11:02:28Z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19515CE4845446213F3C8767FAA57E1F</vt:lpwstr>
  </property>
  <property fmtid="{D5CDD505-2E9C-101B-9397-08002B2CF9AE}" pid="4" name="commondata">
    <vt:lpwstr>eyJoZGlkIjoiNjE2MTEzMmNiNGI5MjJmODEzMWU2OWRjNjA3NmU3OWQifQ==</vt:lpwstr>
  </property>
  <property fmtid="{D5CDD505-2E9C-101B-9397-08002B2CF9AE}" pid="5" name="KSOTemplateDocerSaveRecord">
    <vt:lpwstr>eyJoZGlkIjoiYTFkNmY3OTZmOGZkOGQ0NjIwOGY4ZGI1YTIyZTc3NzMiLCJ1c2VySWQiOiI0ODMxNTA4NzkifQ==</vt:lpwstr>
  </property>
</Properties>
</file>