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C03A">
      <w:pPr>
        <w:rPr>
          <w:rFonts w:hint="eastAsia" w:ascii="CESI黑体-GB2312" w:hAnsi="CESI黑体-GB2312" w:eastAsia="CESI黑体-GB2312" w:cs="CESI黑体-GB2312"/>
          <w:color w:val="55555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4</w:t>
      </w:r>
    </w:p>
    <w:p w14:paraId="7C214D30">
      <w:pPr>
        <w:widowControl/>
        <w:snapToGrid w:val="0"/>
        <w:spacing w:line="240" w:lineRule="atLeast"/>
        <w:jc w:val="center"/>
        <w:rPr>
          <w:rFonts w:ascii="宋体" w:hAnsi="宋体" w:eastAsia="宋体" w:cs="宋体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评标方法及标准</w:t>
      </w:r>
    </w:p>
    <w:p w14:paraId="139A91CE">
      <w:pPr>
        <w:snapToGrid w:val="0"/>
        <w:spacing w:line="540" w:lineRule="atLeast"/>
        <w:ind w:firstLine="643" w:firstLineChars="200"/>
        <w:rPr>
          <w:rFonts w:ascii="楷体" w:hAnsi="楷体" w:eastAsia="楷体" w:cs="楷体"/>
          <w:b/>
          <w:bCs/>
          <w:sz w:val="32"/>
        </w:rPr>
      </w:pPr>
    </w:p>
    <w:p w14:paraId="79E835D1">
      <w:pPr>
        <w:snapToGrid w:val="0"/>
        <w:spacing w:line="540" w:lineRule="atLeast"/>
        <w:ind w:firstLine="640" w:firstLineChars="200"/>
        <w:rPr>
          <w:rFonts w:hint="eastAsia" w:ascii="仿宋_GB2312" w:hAnsi="仿宋_GB2312" w:eastAsia="黑体" w:cs="仿宋_GB2312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一、评标方法：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票决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eastAsia="zh-CN"/>
        </w:rPr>
        <w:t>法，评审员给予的分数最高者计入得票数。最终按得票数最高，选定为项目中标单位。</w:t>
      </w:r>
    </w:p>
    <w:p w14:paraId="383AFFA5">
      <w:pPr>
        <w:snapToGrid w:val="0"/>
        <w:spacing w:line="540" w:lineRule="atLeast"/>
        <w:ind w:firstLine="64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二、评审标准</w:t>
      </w:r>
    </w:p>
    <w:tbl>
      <w:tblPr>
        <w:tblStyle w:val="4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52"/>
        <w:gridCol w:w="5507"/>
        <w:gridCol w:w="870"/>
      </w:tblGrid>
      <w:tr w14:paraId="444A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  <w:jc w:val="center"/>
        </w:trPr>
        <w:tc>
          <w:tcPr>
            <w:tcW w:w="855" w:type="dxa"/>
            <w:noWrap w:val="0"/>
            <w:vAlign w:val="center"/>
          </w:tcPr>
          <w:p w14:paraId="1C6F9F9B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52" w:type="dxa"/>
            <w:noWrap w:val="0"/>
            <w:vAlign w:val="center"/>
          </w:tcPr>
          <w:p w14:paraId="557D3AB0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评审指标</w:t>
            </w:r>
          </w:p>
        </w:tc>
        <w:tc>
          <w:tcPr>
            <w:tcW w:w="5507" w:type="dxa"/>
            <w:noWrap w:val="0"/>
            <w:vAlign w:val="center"/>
          </w:tcPr>
          <w:p w14:paraId="5FF075F0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评分标准</w:t>
            </w:r>
          </w:p>
        </w:tc>
        <w:tc>
          <w:tcPr>
            <w:tcW w:w="870" w:type="dxa"/>
            <w:noWrap w:val="0"/>
            <w:vAlign w:val="center"/>
          </w:tcPr>
          <w:p w14:paraId="6144E86B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分值</w:t>
            </w:r>
          </w:p>
        </w:tc>
      </w:tr>
      <w:tr w14:paraId="03A7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0833E504">
            <w:pPr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2" w:type="dxa"/>
            <w:noWrap w:val="0"/>
            <w:vAlign w:val="center"/>
          </w:tcPr>
          <w:p w14:paraId="64C624F5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项目报价</w:t>
            </w:r>
          </w:p>
        </w:tc>
        <w:tc>
          <w:tcPr>
            <w:tcW w:w="5507" w:type="dxa"/>
            <w:noWrap w:val="0"/>
            <w:vAlign w:val="center"/>
          </w:tcPr>
          <w:p w14:paraId="664C5390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投标报价符合要求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各项经费报价合理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，20分。    </w:t>
            </w:r>
          </w:p>
        </w:tc>
        <w:tc>
          <w:tcPr>
            <w:tcW w:w="870" w:type="dxa"/>
            <w:noWrap w:val="0"/>
            <w:vAlign w:val="center"/>
          </w:tcPr>
          <w:p w14:paraId="47C6A50C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</w:tr>
      <w:tr w14:paraId="3583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0811B78D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2" w:type="dxa"/>
            <w:noWrap w:val="0"/>
            <w:vAlign w:val="center"/>
          </w:tcPr>
          <w:p w14:paraId="17703DB2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实施方案</w:t>
            </w:r>
          </w:p>
        </w:tc>
        <w:tc>
          <w:tcPr>
            <w:tcW w:w="5507" w:type="dxa"/>
            <w:noWrap w:val="0"/>
            <w:vAlign w:val="center"/>
          </w:tcPr>
          <w:p w14:paraId="23ABD087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制定详细的实施方案，课程安排具有针对性、系统性，项目重难点分析准确、可操作，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40分。</w:t>
            </w:r>
          </w:p>
        </w:tc>
        <w:tc>
          <w:tcPr>
            <w:tcW w:w="870" w:type="dxa"/>
            <w:noWrap w:val="0"/>
            <w:vAlign w:val="center"/>
          </w:tcPr>
          <w:p w14:paraId="168D904D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40分</w:t>
            </w:r>
          </w:p>
        </w:tc>
      </w:tr>
      <w:tr w14:paraId="06A0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617D29D2">
            <w:pPr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2" w:type="dxa"/>
            <w:noWrap w:val="0"/>
            <w:vAlign w:val="center"/>
          </w:tcPr>
          <w:p w14:paraId="0C602814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综合实力</w:t>
            </w:r>
          </w:p>
        </w:tc>
        <w:tc>
          <w:tcPr>
            <w:tcW w:w="5507" w:type="dxa"/>
            <w:noWrap w:val="0"/>
            <w:vAlign w:val="center"/>
          </w:tcPr>
          <w:p w14:paraId="1AC1A2E4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配备专业人员及团队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，10分；</w:t>
            </w:r>
          </w:p>
          <w:p w14:paraId="3696777E">
            <w:pPr>
              <w:snapToGrid w:val="0"/>
              <w:spacing w:line="500" w:lineRule="atLeas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（2）承担本项目的有利条件和优势，10分。</w:t>
            </w:r>
          </w:p>
        </w:tc>
        <w:tc>
          <w:tcPr>
            <w:tcW w:w="870" w:type="dxa"/>
            <w:noWrap w:val="0"/>
            <w:vAlign w:val="center"/>
          </w:tcPr>
          <w:p w14:paraId="4599C024">
            <w:pPr>
              <w:snapToGrid w:val="0"/>
              <w:spacing w:line="500" w:lineRule="atLeas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</w:tr>
      <w:tr w14:paraId="086C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6F638179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2" w:type="dxa"/>
            <w:noWrap w:val="0"/>
            <w:vAlign w:val="center"/>
          </w:tcPr>
          <w:p w14:paraId="14E70616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相关项目业绩</w:t>
            </w:r>
          </w:p>
        </w:tc>
        <w:tc>
          <w:tcPr>
            <w:tcW w:w="5507" w:type="dxa"/>
            <w:noWrap w:val="0"/>
            <w:vAlign w:val="center"/>
          </w:tcPr>
          <w:p w14:paraId="4B3D73D5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近三年同类项目业绩情况，20分。</w:t>
            </w:r>
          </w:p>
        </w:tc>
        <w:tc>
          <w:tcPr>
            <w:tcW w:w="870" w:type="dxa"/>
            <w:noWrap w:val="0"/>
            <w:vAlign w:val="center"/>
          </w:tcPr>
          <w:p w14:paraId="465DAE6E"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</w:tr>
    </w:tbl>
    <w:p w14:paraId="51C56BAC">
      <w:pPr>
        <w:widowControl/>
        <w:ind w:firstLine="0" w:firstLineChars="0"/>
        <w:jc w:val="left"/>
      </w:pPr>
    </w:p>
    <w:p w14:paraId="3ADF784B">
      <w:pPr>
        <w:jc w:val="both"/>
        <w:rPr>
          <w:rFonts w:hint="eastAsia" w:ascii="仿宋_GB2312" w:hAnsi="宋体" w:eastAsia="仿宋_GB2312" w:cs="Times New Roman"/>
          <w:spacing w:val="0"/>
          <w:sz w:val="32"/>
          <w:szCs w:val="32"/>
          <w:lang w:val="en-US" w:eastAsia="zh-CN"/>
        </w:rPr>
      </w:pPr>
    </w:p>
    <w:p w14:paraId="7480B45C">
      <w:pPr>
        <w:rPr>
          <w:rFonts w:hint="default"/>
          <w:lang w:val="en-US" w:eastAsia="zh-CN"/>
        </w:rPr>
      </w:pPr>
    </w:p>
    <w:p w14:paraId="099D9C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D993"/>
    <w:rsid w:val="6F99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2026-01-22T09:27:00Z</dcterms:created>
  <dc:creator>老龄工作和养老服务科</dc:creator>
  <cp:lastModifiedBy>老龄工作和养老服务科</cp:lastModifiedBy>
  <dcterms:modified xsi:type="dcterms:W3CDTF">2026-01-22T09:28:25Z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948E365A1C0E204C057D71693DC443A3_41</vt:lpwstr>
  </property>
</Properties>
</file>