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outlineLvl w:val="9"/>
        <w:rPr>
          <w:rFonts w:hint="eastAsia" w:asciiTheme="majorEastAsia" w:hAnsiTheme="majorEastAsia" w:eastAsiaTheme="majorEastAsia" w:cstheme="majorEastAsia"/>
          <w:color w:val="auto"/>
          <w:sz w:val="36"/>
          <w:szCs w:val="36"/>
          <w:highlight w:val="none"/>
          <w:shd w:val="clear" w:color="auto" w:fill="FFFFFF"/>
          <w:lang w:val="en-US" w:eastAsia="zh-CN"/>
        </w:rPr>
      </w:pPr>
      <w:r>
        <w:rPr>
          <w:rFonts w:hint="eastAsia" w:ascii="黑体" w:hAnsi="黑体" w:eastAsia="黑体" w:cs="黑体"/>
          <w:color w:val="auto"/>
          <w:sz w:val="32"/>
          <w:szCs w:val="32"/>
          <w:highlight w:val="none"/>
          <w:shd w:val="clear" w:color="auto" w:fill="FFFFFF"/>
          <w:lang w:eastAsia="zh-CN"/>
        </w:rPr>
        <w:t>附件</w:t>
      </w:r>
      <w:r>
        <w:rPr>
          <w:rFonts w:hint="eastAsia" w:ascii="黑体" w:hAnsi="黑体" w:eastAsia="黑体" w:cs="黑体"/>
          <w:color w:val="auto"/>
          <w:sz w:val="32"/>
          <w:szCs w:val="32"/>
          <w:highlight w:val="none"/>
          <w:shd w:val="clear" w:color="auto" w:fill="FFFFFF"/>
          <w:lang w:val="en-US" w:eastAsia="zh-CN"/>
        </w:rPr>
        <w:t xml:space="preserve">5 </w:t>
      </w:r>
    </w:p>
    <w:p>
      <w:pPr>
        <w:pStyle w:val="12"/>
        <w:pageBreakBefore w:val="0"/>
        <w:widowControl/>
        <w:kinsoku/>
        <w:overflowPunct/>
        <w:topLinePunct w:val="0"/>
        <w:autoSpaceDE/>
        <w:autoSpaceDN/>
        <w:bidi w:val="0"/>
        <w:adjustRightInd/>
        <w:snapToGrid w:val="0"/>
        <w:spacing w:before="0" w:beforeAutospacing="0" w:after="0" w:afterAutospacing="0" w:line="560" w:lineRule="exact"/>
        <w:jc w:val="center"/>
        <w:rPr>
          <w:rFonts w:hint="eastAsia" w:asciiTheme="majorEastAsia" w:hAnsiTheme="majorEastAsia" w:eastAsiaTheme="majorEastAsia" w:cstheme="majorEastAsia"/>
          <w:color w:val="auto"/>
          <w:sz w:val="36"/>
          <w:szCs w:val="36"/>
          <w:highlight w:val="none"/>
          <w:shd w:val="clear" w:color="auto" w:fill="FFFFFF"/>
          <w:lang w:val="en-US" w:eastAsia="zh-CN"/>
        </w:rPr>
      </w:pPr>
      <w:r>
        <w:rPr>
          <w:rFonts w:hint="eastAsia" w:asciiTheme="majorEastAsia" w:hAnsiTheme="majorEastAsia" w:eastAsiaTheme="majorEastAsia" w:cstheme="majorEastAsia"/>
          <w:color w:val="auto"/>
          <w:sz w:val="36"/>
          <w:szCs w:val="36"/>
          <w:highlight w:val="none"/>
          <w:shd w:val="clear" w:color="auto" w:fill="FFFFFF"/>
          <w:lang w:val="en-US" w:eastAsia="zh-CN"/>
        </w:rPr>
        <w:t>参数偏离表</w:t>
      </w:r>
    </w:p>
    <w:p>
      <w:pPr>
        <w:pStyle w:val="12"/>
        <w:pageBreakBefore w:val="0"/>
        <w:widowControl/>
        <w:kinsoku/>
        <w:overflowPunct/>
        <w:topLinePunct w:val="0"/>
        <w:autoSpaceDE/>
        <w:autoSpaceDN/>
        <w:bidi w:val="0"/>
        <w:adjustRightInd/>
        <w:snapToGrid w:val="0"/>
        <w:spacing w:before="0" w:beforeAutospacing="0" w:after="0" w:afterAutospacing="0" w:line="560" w:lineRule="exact"/>
        <w:jc w:val="left"/>
        <w:rPr>
          <w:rFonts w:hint="default" w:ascii="黑体" w:hAnsi="黑体" w:eastAsia="黑体" w:cs="黑体"/>
          <w:color w:val="auto"/>
          <w:sz w:val="32"/>
          <w:szCs w:val="32"/>
          <w:highlight w:val="none"/>
          <w:shd w:val="clear" w:color="auto" w:fill="FFFFFF"/>
          <w:lang w:val="en-US" w:eastAsia="zh-CN"/>
        </w:rPr>
      </w:pPr>
    </w:p>
    <w:tbl>
      <w:tblPr>
        <w:tblStyle w:val="15"/>
        <w:tblW w:w="9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8"/>
        <w:gridCol w:w="2232"/>
        <w:gridCol w:w="2504"/>
        <w:gridCol w:w="1525"/>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eastAsia" w:ascii="CESI仿宋-GB13000" w:hAnsi="CESI仿宋-GB13000" w:eastAsia="CESI仿宋-GB13000" w:cs="CESI仿宋-GB13000"/>
                <w:b/>
                <w:bCs/>
                <w:color w:val="auto"/>
                <w:spacing w:val="0"/>
                <w:sz w:val="30"/>
                <w:szCs w:val="30"/>
                <w:highlight w:val="none"/>
                <w:lang w:val="en-US" w:eastAsia="zh-CN"/>
              </w:rPr>
            </w:pPr>
            <w:r>
              <w:rPr>
                <w:rFonts w:hint="eastAsia" w:ascii="CESI仿宋-GB13000" w:hAnsi="CESI仿宋-GB13000" w:eastAsia="CESI仿宋-GB13000" w:cs="CESI仿宋-GB13000"/>
                <w:b/>
                <w:bCs/>
                <w:color w:val="auto"/>
                <w:spacing w:val="0"/>
                <w:sz w:val="30"/>
                <w:szCs w:val="30"/>
                <w:highlight w:val="none"/>
                <w:lang w:val="en-US" w:eastAsia="zh-CN"/>
              </w:rPr>
              <w:t>序号</w:t>
            </w:r>
          </w:p>
          <w:p>
            <w:pPr>
              <w:keepNext w:val="0"/>
              <w:keepLines w:val="0"/>
              <w:pageBreakBefore w:val="0"/>
              <w:widowControl w:val="0"/>
              <w:kinsoku/>
              <w:wordWrap/>
              <w:overflowPunct/>
              <w:topLinePunct w:val="0"/>
              <w:autoSpaceDE/>
              <w:autoSpaceDN/>
              <w:bidi w:val="0"/>
              <w:adjustRightInd/>
              <w:snapToGrid w:val="0"/>
              <w:spacing w:line="560" w:lineRule="exact"/>
              <w:ind w:firstLine="540"/>
              <w:jc w:val="center"/>
              <w:textAlignment w:val="auto"/>
              <w:outlineLvl w:val="9"/>
              <w:rPr>
                <w:rFonts w:hint="eastAsia" w:ascii="CESI仿宋-GB13000" w:hAnsi="CESI仿宋-GB13000" w:eastAsia="CESI仿宋-GB13000" w:cs="CESI仿宋-GB13000"/>
                <w:b/>
                <w:bCs/>
                <w:color w:val="auto"/>
                <w:spacing w:val="0"/>
                <w:sz w:val="30"/>
                <w:szCs w:val="30"/>
                <w:highlight w:val="none"/>
                <w:lang w:val="en-US" w:eastAsia="zh-CN"/>
              </w:rPr>
            </w:pPr>
          </w:p>
        </w:tc>
        <w:tc>
          <w:tcPr>
            <w:tcW w:w="2232"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eastAsia" w:ascii="CESI仿宋-GB13000" w:hAnsi="CESI仿宋-GB13000" w:eastAsia="CESI仿宋-GB13000" w:cs="CESI仿宋-GB13000"/>
                <w:b/>
                <w:bCs/>
                <w:color w:val="auto"/>
                <w:spacing w:val="0"/>
                <w:sz w:val="30"/>
                <w:szCs w:val="30"/>
                <w:highlight w:val="none"/>
                <w:lang w:val="en-US" w:eastAsia="zh-CN"/>
              </w:rPr>
            </w:pPr>
            <w:r>
              <w:rPr>
                <w:rFonts w:hint="eastAsia" w:ascii="CESI仿宋-GB13000" w:hAnsi="CESI仿宋-GB13000" w:eastAsia="CESI仿宋-GB13000" w:cs="CESI仿宋-GB13000"/>
                <w:b/>
                <w:bCs/>
                <w:color w:val="auto"/>
                <w:spacing w:val="0"/>
                <w:sz w:val="30"/>
                <w:szCs w:val="30"/>
                <w:highlight w:val="none"/>
                <w:lang w:val="en-US" w:eastAsia="zh-CN"/>
              </w:rPr>
              <w:t>招标技术参数具体内容</w:t>
            </w:r>
          </w:p>
          <w:p>
            <w:pPr>
              <w:keepNext w:val="0"/>
              <w:keepLines w:val="0"/>
              <w:pageBreakBefore w:val="0"/>
              <w:widowControl w:val="0"/>
              <w:kinsoku/>
              <w:wordWrap/>
              <w:overflowPunct/>
              <w:topLinePunct w:val="0"/>
              <w:autoSpaceDE/>
              <w:autoSpaceDN/>
              <w:bidi w:val="0"/>
              <w:adjustRightInd/>
              <w:snapToGrid w:val="0"/>
              <w:spacing w:line="560" w:lineRule="exact"/>
              <w:ind w:firstLine="540"/>
              <w:jc w:val="center"/>
              <w:textAlignment w:val="auto"/>
              <w:outlineLvl w:val="9"/>
              <w:rPr>
                <w:rFonts w:hint="eastAsia" w:ascii="CESI仿宋-GB13000" w:hAnsi="CESI仿宋-GB13000" w:eastAsia="CESI仿宋-GB13000" w:cs="CESI仿宋-GB13000"/>
                <w:b/>
                <w:bCs/>
                <w:color w:val="auto"/>
                <w:spacing w:val="0"/>
                <w:sz w:val="30"/>
                <w:szCs w:val="30"/>
                <w:highlight w:val="none"/>
                <w:lang w:val="en-US" w:eastAsia="zh-CN"/>
              </w:rPr>
            </w:pPr>
          </w:p>
        </w:tc>
        <w:tc>
          <w:tcPr>
            <w:tcW w:w="2504"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eastAsia" w:ascii="CESI仿宋-GB13000" w:hAnsi="CESI仿宋-GB13000" w:eastAsia="CESI仿宋-GB13000" w:cs="CESI仿宋-GB13000"/>
                <w:b/>
                <w:bCs/>
                <w:color w:val="auto"/>
                <w:spacing w:val="0"/>
                <w:sz w:val="30"/>
                <w:szCs w:val="30"/>
                <w:highlight w:val="none"/>
                <w:lang w:val="en-US" w:eastAsia="zh-CN"/>
              </w:rPr>
            </w:pPr>
            <w:r>
              <w:rPr>
                <w:rFonts w:hint="eastAsia" w:ascii="CESI仿宋-GB13000" w:hAnsi="CESI仿宋-GB13000" w:eastAsia="CESI仿宋-GB13000" w:cs="CESI仿宋-GB13000"/>
                <w:b/>
                <w:bCs/>
                <w:color w:val="auto"/>
                <w:spacing w:val="0"/>
                <w:sz w:val="30"/>
                <w:szCs w:val="30"/>
                <w:highlight w:val="none"/>
                <w:lang w:val="en-US" w:eastAsia="zh-CN"/>
              </w:rPr>
              <w:t>投标响应情况</w:t>
            </w:r>
          </w:p>
          <w:p>
            <w:pPr>
              <w:keepNext w:val="0"/>
              <w:keepLines w:val="0"/>
              <w:pageBreakBefore w:val="0"/>
              <w:widowControl w:val="0"/>
              <w:kinsoku/>
              <w:wordWrap/>
              <w:overflowPunct/>
              <w:topLinePunct w:val="0"/>
              <w:autoSpaceDE/>
              <w:autoSpaceDN/>
              <w:bidi w:val="0"/>
              <w:adjustRightInd/>
              <w:snapToGrid w:val="0"/>
              <w:spacing w:line="560" w:lineRule="exact"/>
              <w:ind w:firstLine="540"/>
              <w:jc w:val="center"/>
              <w:textAlignment w:val="auto"/>
              <w:outlineLvl w:val="9"/>
              <w:rPr>
                <w:rFonts w:hint="eastAsia" w:ascii="CESI仿宋-GB13000" w:hAnsi="CESI仿宋-GB13000" w:eastAsia="CESI仿宋-GB13000" w:cs="CESI仿宋-GB13000"/>
                <w:b/>
                <w:bCs/>
                <w:color w:val="auto"/>
                <w:spacing w:val="0"/>
                <w:sz w:val="30"/>
                <w:szCs w:val="30"/>
                <w:highlight w:val="none"/>
                <w:lang w:val="en-US" w:eastAsia="zh-CN"/>
              </w:rPr>
            </w:pPr>
          </w:p>
        </w:tc>
        <w:tc>
          <w:tcPr>
            <w:tcW w:w="1525"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eastAsia" w:ascii="CESI仿宋-GB13000" w:hAnsi="CESI仿宋-GB13000" w:eastAsia="CESI仿宋-GB13000" w:cs="CESI仿宋-GB13000"/>
                <w:b/>
                <w:bCs/>
                <w:color w:val="auto"/>
                <w:spacing w:val="0"/>
                <w:sz w:val="30"/>
                <w:szCs w:val="30"/>
                <w:highlight w:val="none"/>
                <w:lang w:val="en-US" w:eastAsia="zh-CN"/>
              </w:rPr>
            </w:pPr>
            <w:r>
              <w:rPr>
                <w:rFonts w:hint="eastAsia" w:ascii="CESI仿宋-GB13000" w:hAnsi="CESI仿宋-GB13000" w:eastAsia="CESI仿宋-GB13000" w:cs="CESI仿宋-GB13000"/>
                <w:b/>
                <w:bCs/>
                <w:color w:val="auto"/>
                <w:spacing w:val="0"/>
                <w:sz w:val="30"/>
                <w:szCs w:val="30"/>
                <w:highlight w:val="none"/>
                <w:lang w:val="en-US" w:eastAsia="zh-CN"/>
              </w:rPr>
              <w:t>偏离情况</w:t>
            </w:r>
          </w:p>
          <w:p>
            <w:pPr>
              <w:keepNext w:val="0"/>
              <w:keepLines w:val="0"/>
              <w:pageBreakBefore w:val="0"/>
              <w:widowControl w:val="0"/>
              <w:kinsoku/>
              <w:wordWrap/>
              <w:overflowPunct/>
              <w:topLinePunct w:val="0"/>
              <w:autoSpaceDE/>
              <w:autoSpaceDN/>
              <w:bidi w:val="0"/>
              <w:adjustRightInd/>
              <w:snapToGrid w:val="0"/>
              <w:spacing w:line="560" w:lineRule="exact"/>
              <w:ind w:firstLine="540"/>
              <w:jc w:val="center"/>
              <w:textAlignment w:val="auto"/>
              <w:outlineLvl w:val="9"/>
              <w:rPr>
                <w:rFonts w:hint="eastAsia" w:ascii="CESI仿宋-GB13000" w:hAnsi="CESI仿宋-GB13000" w:eastAsia="CESI仿宋-GB13000" w:cs="CESI仿宋-GB13000"/>
                <w:b/>
                <w:bCs/>
                <w:color w:val="auto"/>
                <w:spacing w:val="0"/>
                <w:sz w:val="30"/>
                <w:szCs w:val="30"/>
                <w:highlight w:val="none"/>
                <w:lang w:val="en-US" w:eastAsia="zh-CN"/>
              </w:rPr>
            </w:pPr>
          </w:p>
        </w:tc>
        <w:tc>
          <w:tcPr>
            <w:tcW w:w="2156" w:type="dxa"/>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540"/>
              <w:jc w:val="both"/>
              <w:textAlignment w:val="auto"/>
              <w:outlineLvl w:val="9"/>
              <w:rPr>
                <w:rFonts w:hint="eastAsia" w:ascii="CESI仿宋-GB13000" w:hAnsi="CESI仿宋-GB13000" w:eastAsia="CESI仿宋-GB13000" w:cs="CESI仿宋-GB13000"/>
                <w:b/>
                <w:bCs/>
                <w:color w:val="auto"/>
                <w:spacing w:val="0"/>
                <w:sz w:val="30"/>
                <w:szCs w:val="30"/>
                <w:highlight w:val="none"/>
                <w:lang w:val="en-US" w:eastAsia="zh-CN"/>
              </w:rPr>
            </w:pPr>
            <w:r>
              <w:rPr>
                <w:rFonts w:hint="eastAsia" w:ascii="CESI仿宋-GB13000" w:hAnsi="CESI仿宋-GB13000" w:eastAsia="CESI仿宋-GB13000" w:cs="CESI仿宋-GB13000"/>
                <w:b/>
                <w:bCs/>
                <w:color w:val="auto"/>
                <w:spacing w:val="0"/>
                <w:sz w:val="30"/>
                <w:szCs w:val="30"/>
                <w:highlight w:val="none"/>
                <w:lang w:val="en-US" w:eastAsia="zh-CN"/>
              </w:rPr>
              <w:t>说明</w:t>
            </w:r>
          </w:p>
          <w:p>
            <w:pPr>
              <w:keepNext w:val="0"/>
              <w:keepLines w:val="0"/>
              <w:pageBreakBefore w:val="0"/>
              <w:widowControl w:val="0"/>
              <w:kinsoku/>
              <w:wordWrap/>
              <w:overflowPunct/>
              <w:topLinePunct w:val="0"/>
              <w:autoSpaceDE/>
              <w:autoSpaceDN/>
              <w:bidi w:val="0"/>
              <w:adjustRightInd/>
              <w:snapToGrid w:val="0"/>
              <w:spacing w:line="560" w:lineRule="exact"/>
              <w:ind w:firstLine="540"/>
              <w:jc w:val="center"/>
              <w:textAlignment w:val="auto"/>
              <w:outlineLvl w:val="9"/>
              <w:rPr>
                <w:rFonts w:hint="eastAsia" w:ascii="CESI仿宋-GB13000" w:hAnsi="CESI仿宋-GB13000" w:eastAsia="CESI仿宋-GB13000" w:cs="CESI仿宋-GB13000"/>
                <w:b/>
                <w:bCs/>
                <w:color w:val="auto"/>
                <w:spacing w:val="0"/>
                <w:sz w:val="30"/>
                <w:szCs w:val="3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58" w:type="dxa"/>
          </w:tcPr>
          <w:p>
            <w:pPr>
              <w:pStyle w:val="12"/>
              <w:pageBreakBefore w:val="0"/>
              <w:widowControl/>
              <w:kinsoku/>
              <w:overflowPunct/>
              <w:topLinePunct w:val="0"/>
              <w:autoSpaceDE/>
              <w:autoSpaceDN/>
              <w:bidi w:val="0"/>
              <w:adjustRightInd/>
              <w:snapToGrid w:val="0"/>
              <w:spacing w:before="0" w:beforeAutospacing="0" w:after="0" w:afterAutospacing="0" w:line="560" w:lineRule="exact"/>
              <w:jc w:val="left"/>
              <w:rPr>
                <w:rFonts w:hint="eastAsia" w:ascii="黑体" w:hAnsi="黑体" w:eastAsia="黑体" w:cs="黑体"/>
                <w:color w:val="auto"/>
                <w:sz w:val="32"/>
                <w:szCs w:val="32"/>
                <w:highlight w:val="none"/>
                <w:shd w:val="clear" w:color="auto" w:fill="FFFFFF"/>
                <w:vertAlign w:val="baseline"/>
              </w:rPr>
            </w:pPr>
          </w:p>
        </w:tc>
        <w:tc>
          <w:tcPr>
            <w:tcW w:w="2232" w:type="dxa"/>
          </w:tcPr>
          <w:p>
            <w:pPr>
              <w:pStyle w:val="12"/>
              <w:pageBreakBefore w:val="0"/>
              <w:widowControl/>
              <w:kinsoku/>
              <w:overflowPunct/>
              <w:topLinePunct w:val="0"/>
              <w:autoSpaceDE/>
              <w:autoSpaceDN/>
              <w:bidi w:val="0"/>
              <w:adjustRightInd/>
              <w:snapToGrid w:val="0"/>
              <w:spacing w:before="0" w:beforeAutospacing="0" w:after="0" w:afterAutospacing="0" w:line="560" w:lineRule="exact"/>
              <w:jc w:val="left"/>
              <w:rPr>
                <w:rFonts w:hint="eastAsia" w:ascii="黑体" w:hAnsi="黑体" w:eastAsia="黑体" w:cs="黑体"/>
                <w:color w:val="auto"/>
                <w:sz w:val="32"/>
                <w:szCs w:val="32"/>
                <w:highlight w:val="none"/>
                <w:shd w:val="clear" w:color="auto" w:fill="FFFFFF"/>
                <w:vertAlign w:val="baseline"/>
              </w:rPr>
            </w:pPr>
          </w:p>
        </w:tc>
        <w:tc>
          <w:tcPr>
            <w:tcW w:w="2504" w:type="dxa"/>
          </w:tcPr>
          <w:p>
            <w:pPr>
              <w:pStyle w:val="12"/>
              <w:pageBreakBefore w:val="0"/>
              <w:widowControl/>
              <w:kinsoku/>
              <w:overflowPunct/>
              <w:topLinePunct w:val="0"/>
              <w:autoSpaceDE/>
              <w:autoSpaceDN/>
              <w:bidi w:val="0"/>
              <w:adjustRightInd/>
              <w:snapToGrid w:val="0"/>
              <w:spacing w:before="0" w:beforeAutospacing="0" w:after="0" w:afterAutospacing="0" w:line="560" w:lineRule="exact"/>
              <w:jc w:val="left"/>
              <w:rPr>
                <w:rFonts w:hint="eastAsia" w:ascii="黑体" w:hAnsi="黑体" w:eastAsia="黑体" w:cs="黑体"/>
                <w:color w:val="auto"/>
                <w:sz w:val="32"/>
                <w:szCs w:val="32"/>
                <w:highlight w:val="none"/>
                <w:shd w:val="clear" w:color="auto" w:fill="FFFFFF"/>
                <w:vertAlign w:val="baseline"/>
              </w:rPr>
            </w:pPr>
          </w:p>
        </w:tc>
        <w:tc>
          <w:tcPr>
            <w:tcW w:w="1525" w:type="dxa"/>
          </w:tcPr>
          <w:p>
            <w:pPr>
              <w:pStyle w:val="12"/>
              <w:pageBreakBefore w:val="0"/>
              <w:widowControl/>
              <w:kinsoku/>
              <w:overflowPunct/>
              <w:topLinePunct w:val="0"/>
              <w:autoSpaceDE/>
              <w:autoSpaceDN/>
              <w:bidi w:val="0"/>
              <w:adjustRightInd/>
              <w:snapToGrid w:val="0"/>
              <w:spacing w:before="0" w:beforeAutospacing="0" w:after="0" w:afterAutospacing="0" w:line="560" w:lineRule="exact"/>
              <w:jc w:val="left"/>
              <w:rPr>
                <w:rFonts w:hint="eastAsia" w:ascii="黑体" w:hAnsi="黑体" w:eastAsia="黑体" w:cs="黑体"/>
                <w:color w:val="auto"/>
                <w:sz w:val="32"/>
                <w:szCs w:val="32"/>
                <w:highlight w:val="none"/>
                <w:shd w:val="clear" w:color="auto" w:fill="FFFFFF"/>
                <w:vertAlign w:val="baseline"/>
              </w:rPr>
            </w:pPr>
          </w:p>
        </w:tc>
        <w:tc>
          <w:tcPr>
            <w:tcW w:w="2156" w:type="dxa"/>
          </w:tcPr>
          <w:p>
            <w:pPr>
              <w:pStyle w:val="12"/>
              <w:pageBreakBefore w:val="0"/>
              <w:widowControl/>
              <w:kinsoku/>
              <w:overflowPunct/>
              <w:topLinePunct w:val="0"/>
              <w:autoSpaceDE/>
              <w:autoSpaceDN/>
              <w:bidi w:val="0"/>
              <w:adjustRightInd/>
              <w:snapToGrid w:val="0"/>
              <w:spacing w:before="0" w:beforeAutospacing="0" w:after="0" w:afterAutospacing="0" w:line="560" w:lineRule="exact"/>
              <w:jc w:val="left"/>
              <w:rPr>
                <w:rFonts w:hint="eastAsia" w:ascii="黑体" w:hAnsi="黑体" w:eastAsia="黑体" w:cs="黑体"/>
                <w:color w:val="auto"/>
                <w:sz w:val="32"/>
                <w:szCs w:val="32"/>
                <w:highlight w:val="none"/>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58" w:type="dxa"/>
          </w:tcPr>
          <w:p>
            <w:pPr>
              <w:pStyle w:val="12"/>
              <w:pageBreakBefore w:val="0"/>
              <w:widowControl/>
              <w:kinsoku/>
              <w:overflowPunct/>
              <w:topLinePunct w:val="0"/>
              <w:autoSpaceDE/>
              <w:autoSpaceDN/>
              <w:bidi w:val="0"/>
              <w:adjustRightInd/>
              <w:snapToGrid w:val="0"/>
              <w:spacing w:before="0" w:beforeAutospacing="0" w:after="0" w:afterAutospacing="0" w:line="560" w:lineRule="exact"/>
              <w:jc w:val="left"/>
              <w:rPr>
                <w:rFonts w:hint="eastAsia" w:ascii="黑体" w:hAnsi="黑体" w:eastAsia="黑体" w:cs="黑体"/>
                <w:color w:val="auto"/>
                <w:sz w:val="32"/>
                <w:szCs w:val="32"/>
                <w:highlight w:val="none"/>
                <w:shd w:val="clear" w:color="auto" w:fill="FFFFFF"/>
                <w:vertAlign w:val="baseline"/>
              </w:rPr>
            </w:pPr>
          </w:p>
        </w:tc>
        <w:tc>
          <w:tcPr>
            <w:tcW w:w="2232" w:type="dxa"/>
          </w:tcPr>
          <w:p>
            <w:pPr>
              <w:pStyle w:val="12"/>
              <w:pageBreakBefore w:val="0"/>
              <w:widowControl/>
              <w:kinsoku/>
              <w:overflowPunct/>
              <w:topLinePunct w:val="0"/>
              <w:autoSpaceDE/>
              <w:autoSpaceDN/>
              <w:bidi w:val="0"/>
              <w:adjustRightInd/>
              <w:snapToGrid w:val="0"/>
              <w:spacing w:before="0" w:beforeAutospacing="0" w:after="0" w:afterAutospacing="0" w:line="560" w:lineRule="exact"/>
              <w:jc w:val="left"/>
              <w:rPr>
                <w:rFonts w:hint="eastAsia" w:ascii="黑体" w:hAnsi="黑体" w:eastAsia="黑体" w:cs="黑体"/>
                <w:color w:val="auto"/>
                <w:sz w:val="32"/>
                <w:szCs w:val="32"/>
                <w:highlight w:val="none"/>
                <w:shd w:val="clear" w:color="auto" w:fill="FFFFFF"/>
                <w:vertAlign w:val="baseline"/>
              </w:rPr>
            </w:pPr>
          </w:p>
        </w:tc>
        <w:tc>
          <w:tcPr>
            <w:tcW w:w="2504" w:type="dxa"/>
          </w:tcPr>
          <w:p>
            <w:pPr>
              <w:pStyle w:val="12"/>
              <w:pageBreakBefore w:val="0"/>
              <w:widowControl/>
              <w:kinsoku/>
              <w:overflowPunct/>
              <w:topLinePunct w:val="0"/>
              <w:autoSpaceDE/>
              <w:autoSpaceDN/>
              <w:bidi w:val="0"/>
              <w:adjustRightInd/>
              <w:snapToGrid w:val="0"/>
              <w:spacing w:before="0" w:beforeAutospacing="0" w:after="0" w:afterAutospacing="0" w:line="560" w:lineRule="exact"/>
              <w:jc w:val="left"/>
              <w:rPr>
                <w:rFonts w:hint="eastAsia" w:ascii="黑体" w:hAnsi="黑体" w:eastAsia="黑体" w:cs="黑体"/>
                <w:color w:val="auto"/>
                <w:sz w:val="32"/>
                <w:szCs w:val="32"/>
                <w:highlight w:val="none"/>
                <w:shd w:val="clear" w:color="auto" w:fill="FFFFFF"/>
                <w:vertAlign w:val="baseline"/>
              </w:rPr>
            </w:pPr>
          </w:p>
        </w:tc>
        <w:tc>
          <w:tcPr>
            <w:tcW w:w="1525" w:type="dxa"/>
          </w:tcPr>
          <w:p>
            <w:pPr>
              <w:pStyle w:val="12"/>
              <w:pageBreakBefore w:val="0"/>
              <w:widowControl/>
              <w:kinsoku/>
              <w:overflowPunct/>
              <w:topLinePunct w:val="0"/>
              <w:autoSpaceDE/>
              <w:autoSpaceDN/>
              <w:bidi w:val="0"/>
              <w:adjustRightInd/>
              <w:snapToGrid w:val="0"/>
              <w:spacing w:before="0" w:beforeAutospacing="0" w:after="0" w:afterAutospacing="0" w:line="560" w:lineRule="exact"/>
              <w:jc w:val="left"/>
              <w:rPr>
                <w:rFonts w:hint="eastAsia" w:ascii="黑体" w:hAnsi="黑体" w:eastAsia="黑体" w:cs="黑体"/>
                <w:color w:val="auto"/>
                <w:sz w:val="32"/>
                <w:szCs w:val="32"/>
                <w:highlight w:val="none"/>
                <w:shd w:val="clear" w:color="auto" w:fill="FFFFFF"/>
                <w:vertAlign w:val="baseline"/>
              </w:rPr>
            </w:pPr>
          </w:p>
        </w:tc>
        <w:tc>
          <w:tcPr>
            <w:tcW w:w="2156" w:type="dxa"/>
          </w:tcPr>
          <w:p>
            <w:pPr>
              <w:pStyle w:val="12"/>
              <w:pageBreakBefore w:val="0"/>
              <w:widowControl/>
              <w:kinsoku/>
              <w:overflowPunct/>
              <w:topLinePunct w:val="0"/>
              <w:autoSpaceDE/>
              <w:autoSpaceDN/>
              <w:bidi w:val="0"/>
              <w:adjustRightInd/>
              <w:snapToGrid w:val="0"/>
              <w:spacing w:before="0" w:beforeAutospacing="0" w:after="0" w:afterAutospacing="0" w:line="560" w:lineRule="exact"/>
              <w:jc w:val="left"/>
              <w:rPr>
                <w:rFonts w:hint="eastAsia" w:ascii="黑体" w:hAnsi="黑体" w:eastAsia="黑体" w:cs="黑体"/>
                <w:color w:val="auto"/>
                <w:sz w:val="32"/>
                <w:szCs w:val="32"/>
                <w:highlight w:val="none"/>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58" w:type="dxa"/>
          </w:tcPr>
          <w:p>
            <w:pPr>
              <w:pStyle w:val="12"/>
              <w:pageBreakBefore w:val="0"/>
              <w:widowControl/>
              <w:kinsoku/>
              <w:overflowPunct/>
              <w:topLinePunct w:val="0"/>
              <w:autoSpaceDE/>
              <w:autoSpaceDN/>
              <w:bidi w:val="0"/>
              <w:adjustRightInd/>
              <w:snapToGrid w:val="0"/>
              <w:spacing w:before="0" w:beforeAutospacing="0" w:after="0" w:afterAutospacing="0" w:line="560" w:lineRule="exact"/>
              <w:jc w:val="left"/>
              <w:rPr>
                <w:rFonts w:hint="eastAsia" w:ascii="黑体" w:hAnsi="黑体" w:eastAsia="黑体" w:cs="黑体"/>
                <w:color w:val="auto"/>
                <w:sz w:val="32"/>
                <w:szCs w:val="32"/>
                <w:highlight w:val="none"/>
                <w:shd w:val="clear" w:color="auto" w:fill="FFFFFF"/>
                <w:vertAlign w:val="baseline"/>
              </w:rPr>
            </w:pPr>
          </w:p>
        </w:tc>
        <w:tc>
          <w:tcPr>
            <w:tcW w:w="2232" w:type="dxa"/>
          </w:tcPr>
          <w:p>
            <w:pPr>
              <w:pStyle w:val="12"/>
              <w:pageBreakBefore w:val="0"/>
              <w:widowControl/>
              <w:kinsoku/>
              <w:overflowPunct/>
              <w:topLinePunct w:val="0"/>
              <w:autoSpaceDE/>
              <w:autoSpaceDN/>
              <w:bidi w:val="0"/>
              <w:adjustRightInd/>
              <w:snapToGrid w:val="0"/>
              <w:spacing w:before="0" w:beforeAutospacing="0" w:after="0" w:afterAutospacing="0" w:line="560" w:lineRule="exact"/>
              <w:jc w:val="left"/>
              <w:rPr>
                <w:rFonts w:hint="eastAsia" w:ascii="黑体" w:hAnsi="黑体" w:eastAsia="黑体" w:cs="黑体"/>
                <w:color w:val="auto"/>
                <w:sz w:val="32"/>
                <w:szCs w:val="32"/>
                <w:highlight w:val="none"/>
                <w:shd w:val="clear" w:color="auto" w:fill="FFFFFF"/>
                <w:vertAlign w:val="baseline"/>
              </w:rPr>
            </w:pPr>
          </w:p>
        </w:tc>
        <w:tc>
          <w:tcPr>
            <w:tcW w:w="2504" w:type="dxa"/>
          </w:tcPr>
          <w:p>
            <w:pPr>
              <w:pStyle w:val="12"/>
              <w:pageBreakBefore w:val="0"/>
              <w:widowControl/>
              <w:kinsoku/>
              <w:overflowPunct/>
              <w:topLinePunct w:val="0"/>
              <w:autoSpaceDE/>
              <w:autoSpaceDN/>
              <w:bidi w:val="0"/>
              <w:adjustRightInd/>
              <w:snapToGrid w:val="0"/>
              <w:spacing w:before="0" w:beforeAutospacing="0" w:after="0" w:afterAutospacing="0" w:line="560" w:lineRule="exact"/>
              <w:jc w:val="left"/>
              <w:rPr>
                <w:rFonts w:hint="eastAsia" w:ascii="黑体" w:hAnsi="黑体" w:eastAsia="黑体" w:cs="黑体"/>
                <w:color w:val="auto"/>
                <w:sz w:val="32"/>
                <w:szCs w:val="32"/>
                <w:highlight w:val="none"/>
                <w:shd w:val="clear" w:color="auto" w:fill="FFFFFF"/>
                <w:vertAlign w:val="baseline"/>
              </w:rPr>
            </w:pPr>
          </w:p>
        </w:tc>
        <w:tc>
          <w:tcPr>
            <w:tcW w:w="1525" w:type="dxa"/>
          </w:tcPr>
          <w:p>
            <w:pPr>
              <w:pStyle w:val="12"/>
              <w:pageBreakBefore w:val="0"/>
              <w:widowControl/>
              <w:kinsoku/>
              <w:overflowPunct/>
              <w:topLinePunct w:val="0"/>
              <w:autoSpaceDE/>
              <w:autoSpaceDN/>
              <w:bidi w:val="0"/>
              <w:adjustRightInd/>
              <w:snapToGrid w:val="0"/>
              <w:spacing w:before="0" w:beforeAutospacing="0" w:after="0" w:afterAutospacing="0" w:line="560" w:lineRule="exact"/>
              <w:jc w:val="left"/>
              <w:rPr>
                <w:rFonts w:hint="eastAsia" w:ascii="黑体" w:hAnsi="黑体" w:eastAsia="黑体" w:cs="黑体"/>
                <w:color w:val="auto"/>
                <w:sz w:val="32"/>
                <w:szCs w:val="32"/>
                <w:highlight w:val="none"/>
                <w:shd w:val="clear" w:color="auto" w:fill="FFFFFF"/>
                <w:vertAlign w:val="baseline"/>
              </w:rPr>
            </w:pPr>
          </w:p>
        </w:tc>
        <w:tc>
          <w:tcPr>
            <w:tcW w:w="2156" w:type="dxa"/>
          </w:tcPr>
          <w:p>
            <w:pPr>
              <w:pStyle w:val="12"/>
              <w:pageBreakBefore w:val="0"/>
              <w:widowControl/>
              <w:kinsoku/>
              <w:overflowPunct/>
              <w:topLinePunct w:val="0"/>
              <w:autoSpaceDE/>
              <w:autoSpaceDN/>
              <w:bidi w:val="0"/>
              <w:adjustRightInd/>
              <w:snapToGrid w:val="0"/>
              <w:spacing w:before="0" w:beforeAutospacing="0" w:after="0" w:afterAutospacing="0" w:line="560" w:lineRule="exact"/>
              <w:jc w:val="left"/>
              <w:rPr>
                <w:rFonts w:hint="eastAsia" w:ascii="黑体" w:hAnsi="黑体" w:eastAsia="黑体" w:cs="黑体"/>
                <w:color w:val="auto"/>
                <w:sz w:val="32"/>
                <w:szCs w:val="32"/>
                <w:highlight w:val="none"/>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58" w:type="dxa"/>
          </w:tcPr>
          <w:p>
            <w:pPr>
              <w:pStyle w:val="12"/>
              <w:pageBreakBefore w:val="0"/>
              <w:widowControl/>
              <w:kinsoku/>
              <w:overflowPunct/>
              <w:topLinePunct w:val="0"/>
              <w:autoSpaceDE/>
              <w:autoSpaceDN/>
              <w:bidi w:val="0"/>
              <w:adjustRightInd/>
              <w:snapToGrid w:val="0"/>
              <w:spacing w:before="0" w:beforeAutospacing="0" w:after="0" w:afterAutospacing="0" w:line="560" w:lineRule="exact"/>
              <w:jc w:val="left"/>
              <w:rPr>
                <w:rFonts w:hint="eastAsia" w:ascii="黑体" w:hAnsi="黑体" w:eastAsia="黑体" w:cs="黑体"/>
                <w:color w:val="auto"/>
                <w:sz w:val="32"/>
                <w:szCs w:val="32"/>
                <w:highlight w:val="none"/>
                <w:shd w:val="clear" w:color="auto" w:fill="FFFFFF"/>
                <w:vertAlign w:val="baseline"/>
              </w:rPr>
            </w:pPr>
          </w:p>
        </w:tc>
        <w:tc>
          <w:tcPr>
            <w:tcW w:w="2232" w:type="dxa"/>
          </w:tcPr>
          <w:p>
            <w:pPr>
              <w:pStyle w:val="12"/>
              <w:pageBreakBefore w:val="0"/>
              <w:widowControl/>
              <w:kinsoku/>
              <w:overflowPunct/>
              <w:topLinePunct w:val="0"/>
              <w:autoSpaceDE/>
              <w:autoSpaceDN/>
              <w:bidi w:val="0"/>
              <w:adjustRightInd/>
              <w:snapToGrid w:val="0"/>
              <w:spacing w:before="0" w:beforeAutospacing="0" w:after="0" w:afterAutospacing="0" w:line="560" w:lineRule="exact"/>
              <w:jc w:val="left"/>
              <w:rPr>
                <w:rFonts w:hint="eastAsia" w:ascii="黑体" w:hAnsi="黑体" w:eastAsia="黑体" w:cs="黑体"/>
                <w:color w:val="auto"/>
                <w:sz w:val="32"/>
                <w:szCs w:val="32"/>
                <w:highlight w:val="none"/>
                <w:shd w:val="clear" w:color="auto" w:fill="FFFFFF"/>
                <w:vertAlign w:val="baseline"/>
              </w:rPr>
            </w:pPr>
          </w:p>
        </w:tc>
        <w:tc>
          <w:tcPr>
            <w:tcW w:w="2504" w:type="dxa"/>
          </w:tcPr>
          <w:p>
            <w:pPr>
              <w:pStyle w:val="12"/>
              <w:pageBreakBefore w:val="0"/>
              <w:widowControl/>
              <w:kinsoku/>
              <w:overflowPunct/>
              <w:topLinePunct w:val="0"/>
              <w:autoSpaceDE/>
              <w:autoSpaceDN/>
              <w:bidi w:val="0"/>
              <w:adjustRightInd/>
              <w:snapToGrid w:val="0"/>
              <w:spacing w:before="0" w:beforeAutospacing="0" w:after="0" w:afterAutospacing="0" w:line="560" w:lineRule="exact"/>
              <w:jc w:val="left"/>
              <w:rPr>
                <w:rFonts w:hint="eastAsia" w:ascii="黑体" w:hAnsi="黑体" w:eastAsia="黑体" w:cs="黑体"/>
                <w:color w:val="auto"/>
                <w:sz w:val="32"/>
                <w:szCs w:val="32"/>
                <w:highlight w:val="none"/>
                <w:shd w:val="clear" w:color="auto" w:fill="FFFFFF"/>
                <w:vertAlign w:val="baseline"/>
              </w:rPr>
            </w:pPr>
          </w:p>
        </w:tc>
        <w:tc>
          <w:tcPr>
            <w:tcW w:w="1525" w:type="dxa"/>
          </w:tcPr>
          <w:p>
            <w:pPr>
              <w:pStyle w:val="12"/>
              <w:pageBreakBefore w:val="0"/>
              <w:widowControl/>
              <w:kinsoku/>
              <w:overflowPunct/>
              <w:topLinePunct w:val="0"/>
              <w:autoSpaceDE/>
              <w:autoSpaceDN/>
              <w:bidi w:val="0"/>
              <w:adjustRightInd/>
              <w:snapToGrid w:val="0"/>
              <w:spacing w:before="0" w:beforeAutospacing="0" w:after="0" w:afterAutospacing="0" w:line="560" w:lineRule="exact"/>
              <w:jc w:val="left"/>
              <w:rPr>
                <w:rFonts w:hint="eastAsia" w:ascii="黑体" w:hAnsi="黑体" w:eastAsia="黑体" w:cs="黑体"/>
                <w:color w:val="auto"/>
                <w:sz w:val="32"/>
                <w:szCs w:val="32"/>
                <w:highlight w:val="none"/>
                <w:shd w:val="clear" w:color="auto" w:fill="FFFFFF"/>
                <w:vertAlign w:val="baseline"/>
              </w:rPr>
            </w:pPr>
          </w:p>
        </w:tc>
        <w:tc>
          <w:tcPr>
            <w:tcW w:w="2156" w:type="dxa"/>
          </w:tcPr>
          <w:p>
            <w:pPr>
              <w:pStyle w:val="12"/>
              <w:pageBreakBefore w:val="0"/>
              <w:widowControl/>
              <w:kinsoku/>
              <w:overflowPunct/>
              <w:topLinePunct w:val="0"/>
              <w:autoSpaceDE/>
              <w:autoSpaceDN/>
              <w:bidi w:val="0"/>
              <w:adjustRightInd/>
              <w:snapToGrid w:val="0"/>
              <w:spacing w:before="0" w:beforeAutospacing="0" w:after="0" w:afterAutospacing="0" w:line="560" w:lineRule="exact"/>
              <w:jc w:val="left"/>
              <w:rPr>
                <w:rFonts w:hint="eastAsia" w:ascii="黑体" w:hAnsi="黑体" w:eastAsia="黑体" w:cs="黑体"/>
                <w:color w:val="auto"/>
                <w:sz w:val="32"/>
                <w:szCs w:val="32"/>
                <w:highlight w:val="none"/>
                <w:shd w:val="clear" w:color="auto" w:fill="FFFFFF"/>
                <w:vertAlign w:val="baseline"/>
              </w:rPr>
            </w:pPr>
          </w:p>
        </w:tc>
      </w:tr>
    </w:tbl>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9"/>
        <w:rPr>
          <w:rFonts w:hint="eastAsia" w:ascii="CESI黑体-GB13000" w:hAnsi="CESI黑体-GB13000" w:eastAsia="CESI黑体-GB13000" w:cs="CESI黑体-GB13000"/>
          <w:color w:val="auto"/>
          <w:spacing w:val="0"/>
          <w:sz w:val="30"/>
          <w:szCs w:val="30"/>
          <w:highlight w:val="none"/>
          <w:lang w:val="en-US" w:eastAsia="zh-CN"/>
        </w:rPr>
      </w:pPr>
      <w:r>
        <w:rPr>
          <w:rFonts w:hint="eastAsia" w:ascii="CESI黑体-GB13000" w:hAnsi="CESI黑体-GB13000" w:eastAsia="CESI黑体-GB13000" w:cs="CESI黑体-GB13000"/>
          <w:color w:val="auto"/>
          <w:spacing w:val="0"/>
          <w:sz w:val="30"/>
          <w:szCs w:val="30"/>
          <w:highlight w:val="none"/>
          <w:lang w:val="en-US" w:eastAsia="zh-CN"/>
        </w:rPr>
        <w:t>说明：</w:t>
      </w:r>
    </w:p>
    <w:p>
      <w:pPr>
        <w:keepNext w:val="0"/>
        <w:keepLines w:val="0"/>
        <w:pageBreakBefore w:val="0"/>
        <w:widowControl w:val="0"/>
        <w:kinsoku/>
        <w:wordWrap/>
        <w:overflowPunct/>
        <w:topLinePunct w:val="0"/>
        <w:autoSpaceDE/>
        <w:autoSpaceDN/>
        <w:bidi w:val="0"/>
        <w:adjustRightInd/>
        <w:snapToGrid w:val="0"/>
        <w:spacing w:line="560" w:lineRule="exact"/>
        <w:ind w:firstLine="540"/>
        <w:jc w:val="left"/>
        <w:textAlignment w:val="auto"/>
        <w:outlineLvl w:val="9"/>
        <w:rPr>
          <w:rFonts w:hint="eastAsia" w:ascii="CESI仿宋-GB13000" w:hAnsi="CESI仿宋-GB13000" w:eastAsia="CESI仿宋-GB13000" w:cs="CESI仿宋-GB13000"/>
          <w:color w:val="auto"/>
          <w:spacing w:val="0"/>
          <w:sz w:val="30"/>
          <w:szCs w:val="30"/>
          <w:highlight w:val="none"/>
        </w:rPr>
      </w:pPr>
      <w:r>
        <w:rPr>
          <w:rFonts w:hint="eastAsia" w:ascii="CESI仿宋-GB13000" w:hAnsi="CESI仿宋-GB13000" w:eastAsia="CESI仿宋-GB13000" w:cs="CESI仿宋-GB13000"/>
          <w:color w:val="auto"/>
          <w:spacing w:val="0"/>
          <w:sz w:val="30"/>
          <w:szCs w:val="30"/>
          <w:highlight w:val="none"/>
          <w:lang w:val="en-US" w:eastAsia="zh-CN"/>
        </w:rPr>
        <w:t xml:space="preserve">1、技术要求偏离表的序号、货物名称、技术要求等栏目对应“项目清单及技术参数”中的“技术要求”章节相关内容。 </w:t>
      </w:r>
    </w:p>
    <w:p>
      <w:pPr>
        <w:keepNext w:val="0"/>
        <w:keepLines w:val="0"/>
        <w:pageBreakBefore w:val="0"/>
        <w:widowControl w:val="0"/>
        <w:kinsoku/>
        <w:wordWrap/>
        <w:overflowPunct/>
        <w:topLinePunct w:val="0"/>
        <w:autoSpaceDE/>
        <w:autoSpaceDN/>
        <w:bidi w:val="0"/>
        <w:adjustRightInd/>
        <w:snapToGrid w:val="0"/>
        <w:spacing w:line="560" w:lineRule="exact"/>
        <w:ind w:firstLine="540"/>
        <w:jc w:val="left"/>
        <w:textAlignment w:val="auto"/>
        <w:outlineLvl w:val="9"/>
        <w:rPr>
          <w:rFonts w:hint="eastAsia" w:ascii="CESI仿宋-GB13000" w:hAnsi="CESI仿宋-GB13000" w:eastAsia="CESI仿宋-GB13000" w:cs="CESI仿宋-GB13000"/>
          <w:color w:val="auto"/>
          <w:spacing w:val="0"/>
          <w:sz w:val="30"/>
          <w:szCs w:val="30"/>
          <w:highlight w:val="none"/>
        </w:rPr>
      </w:pPr>
      <w:r>
        <w:rPr>
          <w:rFonts w:hint="eastAsia" w:ascii="CESI仿宋-GB13000" w:hAnsi="CESI仿宋-GB13000" w:eastAsia="CESI仿宋-GB13000" w:cs="CESI仿宋-GB13000"/>
          <w:color w:val="auto"/>
          <w:spacing w:val="0"/>
          <w:sz w:val="30"/>
          <w:szCs w:val="30"/>
          <w:highlight w:val="none"/>
          <w:lang w:val="en-US" w:eastAsia="zh-CN"/>
        </w:rPr>
        <w:t>2、</w:t>
      </w:r>
      <w:r>
        <w:rPr>
          <w:rFonts w:hint="eastAsia" w:ascii="方正黑体_GBK" w:hAnsi="方正黑体_GBK" w:eastAsia="方正黑体_GBK" w:cs="方正黑体_GBK"/>
          <w:b w:val="0"/>
          <w:bCs w:val="0"/>
          <w:color w:val="auto"/>
          <w:spacing w:val="0"/>
          <w:sz w:val="30"/>
          <w:szCs w:val="30"/>
          <w:highlight w:val="none"/>
          <w:lang w:val="en-US" w:eastAsia="zh-CN"/>
        </w:rPr>
        <w:t>“投标技术响应”一栏必须一一对照“招标技术要求”，详细填写投标单位自身投标货物的具</w:t>
      </w:r>
      <w:bookmarkStart w:id="0" w:name="_GoBack"/>
      <w:bookmarkEnd w:id="0"/>
      <w:r>
        <w:rPr>
          <w:rFonts w:hint="eastAsia" w:ascii="方正黑体_GBK" w:hAnsi="方正黑体_GBK" w:eastAsia="方正黑体_GBK" w:cs="方正黑体_GBK"/>
          <w:b w:val="0"/>
          <w:bCs w:val="0"/>
          <w:color w:val="auto"/>
          <w:spacing w:val="0"/>
          <w:sz w:val="30"/>
          <w:szCs w:val="30"/>
          <w:highlight w:val="none"/>
          <w:lang w:val="en-US" w:eastAsia="zh-CN"/>
        </w:rPr>
        <w:t>体参数</w:t>
      </w:r>
      <w:r>
        <w:rPr>
          <w:rFonts w:hint="eastAsia" w:ascii="方正黑体_GBK" w:hAnsi="方正黑体_GBK" w:eastAsia="方正黑体_GBK" w:cs="方正黑体_GBK"/>
          <w:b w:val="0"/>
          <w:bCs w:val="0"/>
          <w:color w:val="auto"/>
          <w:spacing w:val="0"/>
          <w:sz w:val="30"/>
          <w:szCs w:val="30"/>
          <w:highlight w:val="none"/>
          <w:lang w:val="en-US" w:eastAsia="zh-CN"/>
        </w:rPr>
        <w:t>，</w:t>
      </w:r>
      <w:r>
        <w:rPr>
          <w:rFonts w:hint="eastAsia" w:ascii="方正黑体_GBK" w:hAnsi="方正黑体_GBK" w:eastAsia="方正黑体_GBK" w:cs="方正黑体_GBK"/>
          <w:b w:val="0"/>
          <w:bCs w:val="0"/>
          <w:color w:val="auto"/>
          <w:spacing w:val="0"/>
          <w:sz w:val="30"/>
          <w:szCs w:val="30"/>
          <w:highlight w:val="none"/>
          <w:lang w:val="en-US" w:eastAsia="zh-CN"/>
        </w:rPr>
        <w:t>以体现具体响应情况。</w:t>
      </w:r>
      <w:r>
        <w:rPr>
          <w:rFonts w:hint="eastAsia" w:ascii="CESI仿宋-GB13000" w:hAnsi="CESI仿宋-GB13000" w:eastAsia="CESI仿宋-GB13000" w:cs="CESI仿宋-GB13000"/>
          <w:b w:val="0"/>
          <w:bCs w:val="0"/>
          <w:color w:val="auto"/>
          <w:spacing w:val="0"/>
          <w:sz w:val="30"/>
          <w:szCs w:val="30"/>
          <w:highlight w:val="none"/>
          <w:lang w:val="en-US" w:eastAsia="zh-CN"/>
        </w:rPr>
        <w:t>如不能诚信履约，采购方视情况上报采购主管部门调查。</w:t>
      </w:r>
    </w:p>
    <w:p>
      <w:pPr>
        <w:keepNext w:val="0"/>
        <w:keepLines w:val="0"/>
        <w:pageBreakBefore w:val="0"/>
        <w:widowControl w:val="0"/>
        <w:kinsoku/>
        <w:wordWrap/>
        <w:overflowPunct/>
        <w:topLinePunct w:val="0"/>
        <w:autoSpaceDE/>
        <w:autoSpaceDN/>
        <w:bidi w:val="0"/>
        <w:adjustRightInd/>
        <w:snapToGrid w:val="0"/>
        <w:spacing w:line="560" w:lineRule="exact"/>
        <w:ind w:firstLine="540"/>
        <w:jc w:val="left"/>
        <w:textAlignment w:val="auto"/>
        <w:outlineLvl w:val="9"/>
        <w:rPr>
          <w:color w:val="auto"/>
          <w:highlight w:val="none"/>
        </w:rPr>
      </w:pPr>
      <w:r>
        <w:rPr>
          <w:rFonts w:hint="eastAsia" w:ascii="CESI仿宋-GB13000" w:hAnsi="CESI仿宋-GB13000" w:eastAsia="CESI仿宋-GB13000" w:cs="CESI仿宋-GB13000"/>
          <w:color w:val="auto"/>
          <w:spacing w:val="0"/>
          <w:sz w:val="30"/>
          <w:szCs w:val="30"/>
          <w:highlight w:val="none"/>
          <w:lang w:val="en-US" w:eastAsia="zh-CN"/>
        </w:rPr>
        <w:t>3、“偏离情况”一栏填写如实填写“正偏离”、“负偏离”或“无偏离”，其中： “正偏离”表示“投标响应优于招标技术要求”，“负偏离”表示“投标响应不满足招标 技术要求”，“无偏离”表示“投标响应与招标技术要求一致”。“投标技术响应”对比“招标技术要求”存在响应不全（包括未响应整项招标技术要求或者未响应一项招标技术要求的部分内容），均视为“负偏离”</w:t>
      </w:r>
      <w:r>
        <w:rPr>
          <w:rFonts w:hint="eastAsia" w:ascii="CESI仿宋-GB13000" w:hAnsi="CESI仿宋-GB13000" w:eastAsia="CESI仿宋-GB13000" w:cs="CESI仿宋-GB13000"/>
          <w:color w:val="auto"/>
          <w:spacing w:val="0"/>
          <w:sz w:val="30"/>
          <w:szCs w:val="30"/>
          <w:highlight w:val="none"/>
          <w:lang w:eastAsia="zh-CN"/>
        </w:rPr>
        <w:t>。</w:t>
      </w:r>
    </w:p>
    <w:sectPr>
      <w:footerReference r:id="rId3" w:type="default"/>
      <w:pgSz w:w="11906" w:h="16838"/>
      <w:pgMar w:top="2154" w:right="1587" w:bottom="1701" w:left="1587" w:header="851" w:footer="992" w:gutter="0"/>
      <w:pgBorders>
        <w:top w:val="none" w:sz="0" w:space="0"/>
        <w:left w:val="none" w:sz="0" w:space="0"/>
        <w:bottom w:val="none" w:sz="0" w:space="0"/>
        <w:right w:val="none" w:sz="0" w:space="0"/>
      </w:pgBorders>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CESI仿宋-GB13000">
    <w:panose1 w:val="02000500000000000000"/>
    <w:charset w:val="86"/>
    <w:family w:val="auto"/>
    <w:pitch w:val="default"/>
    <w:sig w:usb0="800002BF" w:usb1="18CF7CF8" w:usb2="00000016" w:usb3="00000000" w:csb0="0004000F" w:csb1="00000000"/>
  </w:font>
  <w:font w:name="CESI黑体-GB13000">
    <w:panose1 w:val="02000500000000000000"/>
    <w:charset w:val="86"/>
    <w:family w:val="auto"/>
    <w:pitch w:val="default"/>
    <w:sig w:usb0="800002BF" w:usb1="38CF7CF8" w:usb2="00000016" w:usb3="00000000" w:csb0="0004000F"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9"/>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2MTEzMmNiNGI5MjJmODEzMWU2OWRjNjA3NmU3OWQifQ=="/>
  </w:docVars>
  <w:rsids>
    <w:rsidRoot w:val="19B77064"/>
    <w:rsid w:val="00301063"/>
    <w:rsid w:val="00476DEC"/>
    <w:rsid w:val="00D34EFC"/>
    <w:rsid w:val="019C21AE"/>
    <w:rsid w:val="01EB724E"/>
    <w:rsid w:val="021C73C3"/>
    <w:rsid w:val="022C52A5"/>
    <w:rsid w:val="025F617E"/>
    <w:rsid w:val="02837130"/>
    <w:rsid w:val="033B23FA"/>
    <w:rsid w:val="03413725"/>
    <w:rsid w:val="037932AD"/>
    <w:rsid w:val="03F03558"/>
    <w:rsid w:val="04A1644A"/>
    <w:rsid w:val="04B236BC"/>
    <w:rsid w:val="05F8708B"/>
    <w:rsid w:val="061F7082"/>
    <w:rsid w:val="062F2523"/>
    <w:rsid w:val="0722584D"/>
    <w:rsid w:val="07227CF5"/>
    <w:rsid w:val="072F3BF9"/>
    <w:rsid w:val="07902F12"/>
    <w:rsid w:val="08233723"/>
    <w:rsid w:val="08751E3F"/>
    <w:rsid w:val="08F77E0C"/>
    <w:rsid w:val="09B50BF1"/>
    <w:rsid w:val="0B674587"/>
    <w:rsid w:val="0BB83EAC"/>
    <w:rsid w:val="0BC4324D"/>
    <w:rsid w:val="0C673BB9"/>
    <w:rsid w:val="0C74160F"/>
    <w:rsid w:val="0CFD4D63"/>
    <w:rsid w:val="0D027890"/>
    <w:rsid w:val="0D283BA5"/>
    <w:rsid w:val="0D60461B"/>
    <w:rsid w:val="0DF46F68"/>
    <w:rsid w:val="0E545297"/>
    <w:rsid w:val="0E5B163F"/>
    <w:rsid w:val="0E772766"/>
    <w:rsid w:val="0EB44E7C"/>
    <w:rsid w:val="0F6069CA"/>
    <w:rsid w:val="0F9640E5"/>
    <w:rsid w:val="0FAE22CD"/>
    <w:rsid w:val="0FF05B1E"/>
    <w:rsid w:val="0FF9266B"/>
    <w:rsid w:val="10A23B9C"/>
    <w:rsid w:val="11802A71"/>
    <w:rsid w:val="11D86FA5"/>
    <w:rsid w:val="11F122DA"/>
    <w:rsid w:val="125970E0"/>
    <w:rsid w:val="12A81EF0"/>
    <w:rsid w:val="131B6383"/>
    <w:rsid w:val="1356560D"/>
    <w:rsid w:val="138F5C4A"/>
    <w:rsid w:val="13C25D85"/>
    <w:rsid w:val="13E4255B"/>
    <w:rsid w:val="14C30681"/>
    <w:rsid w:val="14ED5921"/>
    <w:rsid w:val="162A0B1B"/>
    <w:rsid w:val="16D95C8B"/>
    <w:rsid w:val="170610F8"/>
    <w:rsid w:val="178E7158"/>
    <w:rsid w:val="17B45180"/>
    <w:rsid w:val="17BD56A1"/>
    <w:rsid w:val="17CC79E3"/>
    <w:rsid w:val="17EC2619"/>
    <w:rsid w:val="18084DE5"/>
    <w:rsid w:val="189D534B"/>
    <w:rsid w:val="18BD4469"/>
    <w:rsid w:val="19B77064"/>
    <w:rsid w:val="19E96C24"/>
    <w:rsid w:val="1AE118B8"/>
    <w:rsid w:val="1AFC6A9A"/>
    <w:rsid w:val="1B3501FE"/>
    <w:rsid w:val="1BC647DE"/>
    <w:rsid w:val="1BCE07FF"/>
    <w:rsid w:val="1BE64050"/>
    <w:rsid w:val="1CA429CB"/>
    <w:rsid w:val="1D147E86"/>
    <w:rsid w:val="1D1D31C4"/>
    <w:rsid w:val="1D1D7E63"/>
    <w:rsid w:val="1D2F59C5"/>
    <w:rsid w:val="1D927C2A"/>
    <w:rsid w:val="1DDA5200"/>
    <w:rsid w:val="1E3F1691"/>
    <w:rsid w:val="1E8D39D0"/>
    <w:rsid w:val="1EA8520C"/>
    <w:rsid w:val="1EB630D8"/>
    <w:rsid w:val="1EC347B5"/>
    <w:rsid w:val="1F0C5C61"/>
    <w:rsid w:val="1F381A07"/>
    <w:rsid w:val="1FBFFA5E"/>
    <w:rsid w:val="1FF706A5"/>
    <w:rsid w:val="20570338"/>
    <w:rsid w:val="20C9566F"/>
    <w:rsid w:val="20DC5D35"/>
    <w:rsid w:val="20E214DD"/>
    <w:rsid w:val="211F239D"/>
    <w:rsid w:val="212705E9"/>
    <w:rsid w:val="213A5BDB"/>
    <w:rsid w:val="221F0A2C"/>
    <w:rsid w:val="223A365C"/>
    <w:rsid w:val="22903B49"/>
    <w:rsid w:val="2295338C"/>
    <w:rsid w:val="23222E59"/>
    <w:rsid w:val="234C013C"/>
    <w:rsid w:val="23517C4F"/>
    <w:rsid w:val="23537319"/>
    <w:rsid w:val="235D0D79"/>
    <w:rsid w:val="237D7B4B"/>
    <w:rsid w:val="23C45BB1"/>
    <w:rsid w:val="24375135"/>
    <w:rsid w:val="24391BE6"/>
    <w:rsid w:val="244D64C3"/>
    <w:rsid w:val="24F64197"/>
    <w:rsid w:val="25145328"/>
    <w:rsid w:val="25477D82"/>
    <w:rsid w:val="25870486"/>
    <w:rsid w:val="25EF1778"/>
    <w:rsid w:val="265942F9"/>
    <w:rsid w:val="26A2363F"/>
    <w:rsid w:val="26FD2EE4"/>
    <w:rsid w:val="27040FC7"/>
    <w:rsid w:val="272C79C6"/>
    <w:rsid w:val="275639D6"/>
    <w:rsid w:val="27903B66"/>
    <w:rsid w:val="279838DD"/>
    <w:rsid w:val="291F7490"/>
    <w:rsid w:val="29262FDB"/>
    <w:rsid w:val="293F11EE"/>
    <w:rsid w:val="29A51144"/>
    <w:rsid w:val="29A52B1B"/>
    <w:rsid w:val="2BA4138E"/>
    <w:rsid w:val="2C2922D7"/>
    <w:rsid w:val="2C792B1E"/>
    <w:rsid w:val="2C7F03CA"/>
    <w:rsid w:val="2CCD6F06"/>
    <w:rsid w:val="2D5908CB"/>
    <w:rsid w:val="2D81332B"/>
    <w:rsid w:val="2E05616C"/>
    <w:rsid w:val="2EA206A2"/>
    <w:rsid w:val="2ED35195"/>
    <w:rsid w:val="2EFF70B2"/>
    <w:rsid w:val="2F4C2211"/>
    <w:rsid w:val="2F7F3A09"/>
    <w:rsid w:val="2FCC7C1D"/>
    <w:rsid w:val="2FF66119"/>
    <w:rsid w:val="2FFD7444"/>
    <w:rsid w:val="30073691"/>
    <w:rsid w:val="3008735E"/>
    <w:rsid w:val="306114CE"/>
    <w:rsid w:val="30D77290"/>
    <w:rsid w:val="311A495B"/>
    <w:rsid w:val="3153638C"/>
    <w:rsid w:val="31CF26D6"/>
    <w:rsid w:val="31D63C49"/>
    <w:rsid w:val="321D524B"/>
    <w:rsid w:val="322E3435"/>
    <w:rsid w:val="334E49A9"/>
    <w:rsid w:val="33812387"/>
    <w:rsid w:val="34633A4D"/>
    <w:rsid w:val="347A793A"/>
    <w:rsid w:val="34E741EB"/>
    <w:rsid w:val="34EB4C2D"/>
    <w:rsid w:val="34F52D2B"/>
    <w:rsid w:val="350E7825"/>
    <w:rsid w:val="35154ED0"/>
    <w:rsid w:val="355275CF"/>
    <w:rsid w:val="356F4547"/>
    <w:rsid w:val="35821B03"/>
    <w:rsid w:val="358264E3"/>
    <w:rsid w:val="359B6FDE"/>
    <w:rsid w:val="35F01E89"/>
    <w:rsid w:val="35FF366F"/>
    <w:rsid w:val="36377FBE"/>
    <w:rsid w:val="366006E7"/>
    <w:rsid w:val="367D21E7"/>
    <w:rsid w:val="36F96BF3"/>
    <w:rsid w:val="37EF7E76"/>
    <w:rsid w:val="37F50AD5"/>
    <w:rsid w:val="37F60FEE"/>
    <w:rsid w:val="38631891"/>
    <w:rsid w:val="389F4BD6"/>
    <w:rsid w:val="38CC71EE"/>
    <w:rsid w:val="39A3778C"/>
    <w:rsid w:val="39D35A13"/>
    <w:rsid w:val="39ED6243"/>
    <w:rsid w:val="3A4165E2"/>
    <w:rsid w:val="3B3824B9"/>
    <w:rsid w:val="3B8C1FA8"/>
    <w:rsid w:val="3BED6511"/>
    <w:rsid w:val="3BF0238C"/>
    <w:rsid w:val="3C0A3BF1"/>
    <w:rsid w:val="3C346AB8"/>
    <w:rsid w:val="3C7452CC"/>
    <w:rsid w:val="3C93234E"/>
    <w:rsid w:val="3C973026"/>
    <w:rsid w:val="3CD559DC"/>
    <w:rsid w:val="3CDA7307"/>
    <w:rsid w:val="3CDFF247"/>
    <w:rsid w:val="3CF5A950"/>
    <w:rsid w:val="3D510832"/>
    <w:rsid w:val="3D630247"/>
    <w:rsid w:val="3DF84AC8"/>
    <w:rsid w:val="3DFD6BC3"/>
    <w:rsid w:val="3DFF853B"/>
    <w:rsid w:val="3DFFF6A3"/>
    <w:rsid w:val="3E197EDF"/>
    <w:rsid w:val="3E7B054D"/>
    <w:rsid w:val="3EBFBA63"/>
    <w:rsid w:val="3EDE5AC4"/>
    <w:rsid w:val="3F75ACF5"/>
    <w:rsid w:val="3F7BDABB"/>
    <w:rsid w:val="3FDEE91F"/>
    <w:rsid w:val="403220B6"/>
    <w:rsid w:val="40CC685D"/>
    <w:rsid w:val="40F10EA7"/>
    <w:rsid w:val="41CB5A48"/>
    <w:rsid w:val="41E0113A"/>
    <w:rsid w:val="42213FC1"/>
    <w:rsid w:val="42441C24"/>
    <w:rsid w:val="427C48FC"/>
    <w:rsid w:val="42F93A27"/>
    <w:rsid w:val="438F22F2"/>
    <w:rsid w:val="443F0C1E"/>
    <w:rsid w:val="444924A1"/>
    <w:rsid w:val="449C2D84"/>
    <w:rsid w:val="44C13F46"/>
    <w:rsid w:val="44C17138"/>
    <w:rsid w:val="45520930"/>
    <w:rsid w:val="455C266A"/>
    <w:rsid w:val="4583068E"/>
    <w:rsid w:val="46110391"/>
    <w:rsid w:val="46211681"/>
    <w:rsid w:val="46777757"/>
    <w:rsid w:val="469A5235"/>
    <w:rsid w:val="46A31779"/>
    <w:rsid w:val="46E22278"/>
    <w:rsid w:val="46EC22D2"/>
    <w:rsid w:val="46F05561"/>
    <w:rsid w:val="473F7B8B"/>
    <w:rsid w:val="47496F93"/>
    <w:rsid w:val="474B5ECD"/>
    <w:rsid w:val="4776759F"/>
    <w:rsid w:val="47E55815"/>
    <w:rsid w:val="481246E2"/>
    <w:rsid w:val="486F7555"/>
    <w:rsid w:val="49191B7E"/>
    <w:rsid w:val="4A4D5D22"/>
    <w:rsid w:val="4A524638"/>
    <w:rsid w:val="4B396B91"/>
    <w:rsid w:val="4B500479"/>
    <w:rsid w:val="4B994E1B"/>
    <w:rsid w:val="4C112BC0"/>
    <w:rsid w:val="4C153CDE"/>
    <w:rsid w:val="4C265C6D"/>
    <w:rsid w:val="4C65144C"/>
    <w:rsid w:val="4C701E77"/>
    <w:rsid w:val="4D74511D"/>
    <w:rsid w:val="4D8E1D1D"/>
    <w:rsid w:val="4DE20421"/>
    <w:rsid w:val="4E82486A"/>
    <w:rsid w:val="4EA30112"/>
    <w:rsid w:val="4F6B61E2"/>
    <w:rsid w:val="4FD32EDB"/>
    <w:rsid w:val="4FDFE609"/>
    <w:rsid w:val="4FDFFFB2"/>
    <w:rsid w:val="500A342C"/>
    <w:rsid w:val="502142D2"/>
    <w:rsid w:val="5022584A"/>
    <w:rsid w:val="51024103"/>
    <w:rsid w:val="511509CB"/>
    <w:rsid w:val="511932BC"/>
    <w:rsid w:val="51350A98"/>
    <w:rsid w:val="5187285A"/>
    <w:rsid w:val="521560B8"/>
    <w:rsid w:val="52293F0F"/>
    <w:rsid w:val="529F6996"/>
    <w:rsid w:val="52A410B3"/>
    <w:rsid w:val="52D25281"/>
    <w:rsid w:val="533D728C"/>
    <w:rsid w:val="53CA2727"/>
    <w:rsid w:val="548F489E"/>
    <w:rsid w:val="54A27046"/>
    <w:rsid w:val="54AA1D6F"/>
    <w:rsid w:val="552E4A3F"/>
    <w:rsid w:val="556F1F95"/>
    <w:rsid w:val="55A50C82"/>
    <w:rsid w:val="55CD4444"/>
    <w:rsid w:val="55DC58C4"/>
    <w:rsid w:val="55EE1718"/>
    <w:rsid w:val="56B7749A"/>
    <w:rsid w:val="579E08FE"/>
    <w:rsid w:val="57E6CAE0"/>
    <w:rsid w:val="58211B84"/>
    <w:rsid w:val="58622295"/>
    <w:rsid w:val="5A1C13C6"/>
    <w:rsid w:val="5A73345B"/>
    <w:rsid w:val="5AAC50E0"/>
    <w:rsid w:val="5AC443B9"/>
    <w:rsid w:val="5B8C5CD1"/>
    <w:rsid w:val="5BA81843"/>
    <w:rsid w:val="5CE1396A"/>
    <w:rsid w:val="5DBB1859"/>
    <w:rsid w:val="5E0F6D15"/>
    <w:rsid w:val="5E4F54AD"/>
    <w:rsid w:val="5E931B83"/>
    <w:rsid w:val="5EBF6D5A"/>
    <w:rsid w:val="5F157863"/>
    <w:rsid w:val="5F2C0E58"/>
    <w:rsid w:val="5FB32A85"/>
    <w:rsid w:val="5FFB6592"/>
    <w:rsid w:val="5FFFB797"/>
    <w:rsid w:val="602C4AE6"/>
    <w:rsid w:val="60740BE1"/>
    <w:rsid w:val="607F0C17"/>
    <w:rsid w:val="608368E3"/>
    <w:rsid w:val="61292BC0"/>
    <w:rsid w:val="61786480"/>
    <w:rsid w:val="619B02A2"/>
    <w:rsid w:val="61DB660E"/>
    <w:rsid w:val="623D2718"/>
    <w:rsid w:val="63CF26AE"/>
    <w:rsid w:val="640420AA"/>
    <w:rsid w:val="642B2E3F"/>
    <w:rsid w:val="64345CAB"/>
    <w:rsid w:val="64966BE4"/>
    <w:rsid w:val="651F45F1"/>
    <w:rsid w:val="65560D68"/>
    <w:rsid w:val="656C3BC1"/>
    <w:rsid w:val="65BB6541"/>
    <w:rsid w:val="65CC0187"/>
    <w:rsid w:val="65E86887"/>
    <w:rsid w:val="664B5AB3"/>
    <w:rsid w:val="666D2985"/>
    <w:rsid w:val="66A27DF7"/>
    <w:rsid w:val="66A312A8"/>
    <w:rsid w:val="66EC3CA2"/>
    <w:rsid w:val="66FB1B7F"/>
    <w:rsid w:val="675157A3"/>
    <w:rsid w:val="678849CE"/>
    <w:rsid w:val="67FF186B"/>
    <w:rsid w:val="68223326"/>
    <w:rsid w:val="689E5A24"/>
    <w:rsid w:val="68BE304E"/>
    <w:rsid w:val="68E66FDF"/>
    <w:rsid w:val="69531868"/>
    <w:rsid w:val="69B92A13"/>
    <w:rsid w:val="69CF01BB"/>
    <w:rsid w:val="69EA3A2A"/>
    <w:rsid w:val="6A086EC1"/>
    <w:rsid w:val="6A20124A"/>
    <w:rsid w:val="6A805E6D"/>
    <w:rsid w:val="6AA031CD"/>
    <w:rsid w:val="6B2170EE"/>
    <w:rsid w:val="6B500B66"/>
    <w:rsid w:val="6BDFF168"/>
    <w:rsid w:val="6BFA6D45"/>
    <w:rsid w:val="6CF30418"/>
    <w:rsid w:val="6D2D79CF"/>
    <w:rsid w:val="6D3722AC"/>
    <w:rsid w:val="6DF25C2D"/>
    <w:rsid w:val="6DFDDBF0"/>
    <w:rsid w:val="6DFEC368"/>
    <w:rsid w:val="6E100C2F"/>
    <w:rsid w:val="6E1B437E"/>
    <w:rsid w:val="6E3E5D92"/>
    <w:rsid w:val="6E816FD5"/>
    <w:rsid w:val="6E961391"/>
    <w:rsid w:val="6EEB2CE5"/>
    <w:rsid w:val="6F230DA1"/>
    <w:rsid w:val="6F6ECC6F"/>
    <w:rsid w:val="6F7D7553"/>
    <w:rsid w:val="6FCA7781"/>
    <w:rsid w:val="6FCE6EAD"/>
    <w:rsid w:val="6FD827A7"/>
    <w:rsid w:val="6FDC010B"/>
    <w:rsid w:val="6FDFE548"/>
    <w:rsid w:val="6FEA5F7C"/>
    <w:rsid w:val="6FFF4A80"/>
    <w:rsid w:val="701E5686"/>
    <w:rsid w:val="70234D04"/>
    <w:rsid w:val="702B1AC9"/>
    <w:rsid w:val="705A3969"/>
    <w:rsid w:val="70B66E2C"/>
    <w:rsid w:val="710564EC"/>
    <w:rsid w:val="712B6C0D"/>
    <w:rsid w:val="722764B0"/>
    <w:rsid w:val="72A07D51"/>
    <w:rsid w:val="72FBC569"/>
    <w:rsid w:val="73460DE7"/>
    <w:rsid w:val="73AF5714"/>
    <w:rsid w:val="73BC5614"/>
    <w:rsid w:val="75895D74"/>
    <w:rsid w:val="75B715BA"/>
    <w:rsid w:val="75E5F936"/>
    <w:rsid w:val="75F717C7"/>
    <w:rsid w:val="765F7FCC"/>
    <w:rsid w:val="76AA0823"/>
    <w:rsid w:val="76F9929B"/>
    <w:rsid w:val="76FBCD8A"/>
    <w:rsid w:val="777F90F8"/>
    <w:rsid w:val="779E77C2"/>
    <w:rsid w:val="77A2747A"/>
    <w:rsid w:val="77DA292E"/>
    <w:rsid w:val="77F30F0F"/>
    <w:rsid w:val="77FF498C"/>
    <w:rsid w:val="78B13801"/>
    <w:rsid w:val="79325E63"/>
    <w:rsid w:val="797F1C34"/>
    <w:rsid w:val="79EF6059"/>
    <w:rsid w:val="79FFAE25"/>
    <w:rsid w:val="7A4A06E8"/>
    <w:rsid w:val="7AA5112D"/>
    <w:rsid w:val="7AEBB497"/>
    <w:rsid w:val="7B3FD242"/>
    <w:rsid w:val="7B9F46C1"/>
    <w:rsid w:val="7BAB31BA"/>
    <w:rsid w:val="7BBF87AE"/>
    <w:rsid w:val="7BFEC0DD"/>
    <w:rsid w:val="7C280598"/>
    <w:rsid w:val="7C9673D6"/>
    <w:rsid w:val="7CF747AE"/>
    <w:rsid w:val="7D6D7FBA"/>
    <w:rsid w:val="7D6F6C79"/>
    <w:rsid w:val="7D9A9983"/>
    <w:rsid w:val="7DDF02D6"/>
    <w:rsid w:val="7DFF2B8C"/>
    <w:rsid w:val="7E42566A"/>
    <w:rsid w:val="7E49564F"/>
    <w:rsid w:val="7EBFA989"/>
    <w:rsid w:val="7EC80F15"/>
    <w:rsid w:val="7EDF1595"/>
    <w:rsid w:val="7EFE5DAC"/>
    <w:rsid w:val="7F142C67"/>
    <w:rsid w:val="7F2317B7"/>
    <w:rsid w:val="7F356760"/>
    <w:rsid w:val="7F4974D0"/>
    <w:rsid w:val="7F6F6D0C"/>
    <w:rsid w:val="7F9BCA30"/>
    <w:rsid w:val="7FDDCC88"/>
    <w:rsid w:val="7FE63948"/>
    <w:rsid w:val="7FEF0F31"/>
    <w:rsid w:val="7FFAD2D9"/>
    <w:rsid w:val="7FFECD25"/>
    <w:rsid w:val="874F78C7"/>
    <w:rsid w:val="97D5A37D"/>
    <w:rsid w:val="9FD2C979"/>
    <w:rsid w:val="A9FF43FA"/>
    <w:rsid w:val="ADD2CCD7"/>
    <w:rsid w:val="B76EF76A"/>
    <w:rsid w:val="B7EDC2DF"/>
    <w:rsid w:val="BA65FF43"/>
    <w:rsid w:val="BE3F9BCE"/>
    <w:rsid w:val="C946C1D4"/>
    <w:rsid w:val="CDF9C08D"/>
    <w:rsid w:val="CFDB2AE2"/>
    <w:rsid w:val="D3D39A89"/>
    <w:rsid w:val="D5AAA050"/>
    <w:rsid w:val="D93F11AC"/>
    <w:rsid w:val="DEEFE498"/>
    <w:rsid w:val="DFFB45DC"/>
    <w:rsid w:val="DFFF15BB"/>
    <w:rsid w:val="DFFF94D7"/>
    <w:rsid w:val="E501C358"/>
    <w:rsid w:val="E86F82F8"/>
    <w:rsid w:val="EAFBC105"/>
    <w:rsid w:val="EBFC29A5"/>
    <w:rsid w:val="EC7FBADF"/>
    <w:rsid w:val="EEFF884A"/>
    <w:rsid w:val="EF738DB6"/>
    <w:rsid w:val="EF8D03CD"/>
    <w:rsid w:val="EF9B7B46"/>
    <w:rsid w:val="EFC7578D"/>
    <w:rsid w:val="EFFCCC4E"/>
    <w:rsid w:val="EFFEB404"/>
    <w:rsid w:val="F1593724"/>
    <w:rsid w:val="F76B9300"/>
    <w:rsid w:val="F7F5E3AA"/>
    <w:rsid w:val="F7F9673E"/>
    <w:rsid w:val="F7FE9435"/>
    <w:rsid w:val="FB3E9812"/>
    <w:rsid w:val="FB5F2696"/>
    <w:rsid w:val="FBE37F5B"/>
    <w:rsid w:val="FC576FEA"/>
    <w:rsid w:val="FDBF498A"/>
    <w:rsid w:val="FDDC84EC"/>
    <w:rsid w:val="FDFE2E5E"/>
    <w:rsid w:val="FE967B1D"/>
    <w:rsid w:val="FE9FC71E"/>
    <w:rsid w:val="FEBF6770"/>
    <w:rsid w:val="FEDFC297"/>
    <w:rsid w:val="FEF7FCE9"/>
    <w:rsid w:val="FF6FF925"/>
    <w:rsid w:val="FF7D89B9"/>
    <w:rsid w:val="FF85AD32"/>
    <w:rsid w:val="FF9F43A4"/>
    <w:rsid w:val="FFBD114F"/>
    <w:rsid w:val="FFBE77E9"/>
    <w:rsid w:val="FFCB571F"/>
    <w:rsid w:val="FFDF48AD"/>
    <w:rsid w:val="FFFB9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仿宋_GB2312" w:asciiTheme="minorHAnsi" w:hAnsiTheme="minorHAnsi" w:eastAsiaTheme="minorEastAsia"/>
      <w:kern w:val="2"/>
      <w:sz w:val="32"/>
      <w:szCs w:val="32"/>
      <w:lang w:val="en-US" w:eastAsia="zh-CN" w:bidi="ar-SA"/>
    </w:rPr>
  </w:style>
  <w:style w:type="paragraph" w:styleId="4">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0"/>
    </w:pPr>
    <w:rPr>
      <w:rFonts w:hint="eastAsia" w:ascii="宋体" w:hAnsi="宋体" w:eastAsia="宋体" w:cs="宋体"/>
      <w:b/>
      <w:kern w:val="44"/>
      <w:sz w:val="48"/>
      <w:szCs w:val="48"/>
      <w:lang w:val="en-US" w:eastAsia="zh-CN" w:bidi="ar"/>
    </w:rPr>
  </w:style>
  <w:style w:type="paragraph" w:styleId="5">
    <w:name w:val="heading 3"/>
    <w:basedOn w:val="6"/>
    <w:next w:val="1"/>
    <w:qFormat/>
    <w:uiPriority w:val="0"/>
    <w:pPr>
      <w:spacing w:line="415" w:lineRule="auto"/>
      <w:jc w:val="center"/>
      <w:outlineLvl w:val="2"/>
    </w:pPr>
    <w:rPr>
      <w:rFonts w:ascii="Times New Roman" w:hAnsi="Times New Roman" w:eastAsia="宋体"/>
      <w:sz w:val="30"/>
      <w:szCs w:val="32"/>
    </w:rPr>
  </w:style>
  <w:style w:type="paragraph" w:styleId="6">
    <w:name w:val="heading 4"/>
    <w:basedOn w:val="1"/>
    <w:next w:val="1"/>
    <w:qFormat/>
    <w:uiPriority w:val="0"/>
    <w:pPr>
      <w:keepNext/>
      <w:keepLines/>
      <w:spacing w:line="374" w:lineRule="auto"/>
      <w:outlineLvl w:val="3"/>
    </w:pPr>
    <w:rPr>
      <w:rFonts w:ascii="Arial" w:hAnsi="Arial" w:eastAsia="黑体"/>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firstLine="420" w:firstLineChars="200"/>
    </w:pPr>
    <w:rPr>
      <w:szCs w:val="24"/>
    </w:rPr>
  </w:style>
  <w:style w:type="paragraph" w:styleId="3">
    <w:name w:val="Body Text Indent"/>
    <w:basedOn w:val="1"/>
    <w:qFormat/>
    <w:uiPriority w:val="0"/>
    <w:pPr>
      <w:ind w:firstLine="538" w:firstLineChars="192"/>
    </w:pPr>
    <w:rPr>
      <w:rFonts w:eastAsia="楷体_GB2312"/>
      <w:sz w:val="28"/>
    </w:rPr>
  </w:style>
  <w:style w:type="paragraph" w:styleId="7">
    <w:name w:val="annotation text"/>
    <w:basedOn w:val="1"/>
    <w:qFormat/>
    <w:uiPriority w:val="0"/>
    <w:pPr>
      <w:jc w:val="left"/>
    </w:pPr>
  </w:style>
  <w:style w:type="paragraph" w:styleId="8">
    <w:name w:val="Body Text"/>
    <w:basedOn w:val="1"/>
    <w:next w:val="1"/>
    <w:qFormat/>
    <w:uiPriority w:val="99"/>
    <w:pPr>
      <w:tabs>
        <w:tab w:val="left" w:pos="2020"/>
        <w:tab w:val="center" w:pos="4535"/>
      </w:tabs>
      <w:spacing w:line="500" w:lineRule="exact"/>
      <w:outlineLvl w:val="0"/>
    </w:pPr>
    <w:rPr>
      <w:rFonts w:ascii="华文彩云" w:hAnsi="宋体" w:eastAsia="华文彩云"/>
      <w:bCs/>
      <w:color w:val="000000"/>
      <w:sz w:val="2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2"/>
    <w:basedOn w:val="1"/>
    <w:next w:val="1"/>
    <w:qFormat/>
    <w:uiPriority w:val="0"/>
    <w:pPr>
      <w:spacing w:before="100" w:beforeAutospacing="1" w:after="100" w:afterAutospacing="1"/>
      <w:ind w:left="420" w:leftChars="200"/>
    </w:pPr>
    <w:rPr>
      <w:rFonts w:ascii="Calibri" w:hAnsi="Calibri" w:eastAsia="宋体" w:cs="Times New Roman"/>
      <w:sz w:val="21"/>
      <w:szCs w:val="22"/>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Body Text First Indent"/>
    <w:basedOn w:val="8"/>
    <w:qFormat/>
    <w:uiPriority w:val="99"/>
    <w:pPr>
      <w:spacing w:after="0"/>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FollowedHyperlink"/>
    <w:basedOn w:val="16"/>
    <w:qFormat/>
    <w:uiPriority w:val="0"/>
    <w:rPr>
      <w:color w:val="800080"/>
      <w:u w:val="none"/>
    </w:rPr>
  </w:style>
  <w:style w:type="character" w:styleId="19">
    <w:name w:val="Emphasis"/>
    <w:basedOn w:val="16"/>
    <w:qFormat/>
    <w:uiPriority w:val="0"/>
  </w:style>
  <w:style w:type="character" w:styleId="20">
    <w:name w:val="HTML Definition"/>
    <w:basedOn w:val="16"/>
    <w:qFormat/>
    <w:uiPriority w:val="0"/>
  </w:style>
  <w:style w:type="character" w:styleId="21">
    <w:name w:val="HTML Acronym"/>
    <w:basedOn w:val="16"/>
    <w:qFormat/>
    <w:uiPriority w:val="0"/>
  </w:style>
  <w:style w:type="character" w:styleId="22">
    <w:name w:val="HTML Variable"/>
    <w:basedOn w:val="16"/>
    <w:qFormat/>
    <w:uiPriority w:val="0"/>
    <w:rPr>
      <w:color w:val="FF3300"/>
      <w:u w:val="none"/>
    </w:rPr>
  </w:style>
  <w:style w:type="character" w:styleId="23">
    <w:name w:val="Hyperlink"/>
    <w:basedOn w:val="16"/>
    <w:qFormat/>
    <w:uiPriority w:val="0"/>
    <w:rPr>
      <w:color w:val="0000FF"/>
      <w:u w:val="none"/>
    </w:rPr>
  </w:style>
  <w:style w:type="character" w:styleId="24">
    <w:name w:val="HTML Code"/>
    <w:basedOn w:val="16"/>
    <w:qFormat/>
    <w:uiPriority w:val="0"/>
    <w:rPr>
      <w:rFonts w:ascii="Courier New" w:hAnsi="Courier New"/>
      <w:sz w:val="20"/>
    </w:rPr>
  </w:style>
  <w:style w:type="character" w:styleId="25">
    <w:name w:val="annotation reference"/>
    <w:basedOn w:val="16"/>
    <w:qFormat/>
    <w:uiPriority w:val="0"/>
    <w:rPr>
      <w:sz w:val="21"/>
      <w:szCs w:val="21"/>
    </w:rPr>
  </w:style>
  <w:style w:type="character" w:styleId="26">
    <w:name w:val="HTML Cite"/>
    <w:basedOn w:val="16"/>
    <w:qFormat/>
    <w:uiPriority w:val="0"/>
  </w:style>
  <w:style w:type="character" w:customStyle="1" w:styleId="27">
    <w:name w:val="bsharetext"/>
    <w:basedOn w:val="16"/>
    <w:qFormat/>
    <w:uiPriority w:val="0"/>
  </w:style>
  <w:style w:type="character" w:customStyle="1" w:styleId="28">
    <w:name w:val="calendar-head__next-year-btn"/>
    <w:basedOn w:val="16"/>
    <w:qFormat/>
    <w:uiPriority w:val="0"/>
  </w:style>
  <w:style w:type="character" w:customStyle="1" w:styleId="29">
    <w:name w:val="hover2"/>
    <w:basedOn w:val="16"/>
    <w:qFormat/>
    <w:uiPriority w:val="0"/>
    <w:rPr>
      <w:color w:val="2F6EA2"/>
    </w:rPr>
  </w:style>
  <w:style w:type="character" w:customStyle="1" w:styleId="30">
    <w:name w:val="calendar-head__next-range-btn"/>
    <w:basedOn w:val="16"/>
    <w:qFormat/>
    <w:uiPriority w:val="0"/>
    <w:rPr>
      <w:vanish/>
    </w:rPr>
  </w:style>
  <w:style w:type="character" w:customStyle="1" w:styleId="31">
    <w:name w:val="calendar-head__prev-range-btn"/>
    <w:basedOn w:val="16"/>
    <w:qFormat/>
    <w:uiPriority w:val="0"/>
    <w:rPr>
      <w:vanish/>
    </w:rPr>
  </w:style>
  <w:style w:type="character" w:customStyle="1" w:styleId="32">
    <w:name w:val="active4"/>
    <w:basedOn w:val="16"/>
    <w:qFormat/>
    <w:uiPriority w:val="0"/>
    <w:rPr>
      <w:color w:val="333333"/>
    </w:rPr>
  </w:style>
  <w:style w:type="character" w:customStyle="1" w:styleId="33">
    <w:name w:val="calendar-head__text-display"/>
    <w:basedOn w:val="16"/>
    <w:qFormat/>
    <w:uiPriority w:val="0"/>
    <w:rPr>
      <w:vanish/>
    </w:rPr>
  </w:style>
  <w:style w:type="character" w:customStyle="1" w:styleId="34">
    <w:name w:val="calendar-head__next-month-btn"/>
    <w:basedOn w:val="16"/>
    <w:qFormat/>
    <w:uiPriority w:val="0"/>
  </w:style>
  <w:style w:type="character" w:customStyle="1" w:styleId="35">
    <w:name w:val="calendar-head__year-range"/>
    <w:basedOn w:val="16"/>
    <w:qFormat/>
    <w:uiPriority w:val="0"/>
    <w:rPr>
      <w:vanish/>
    </w:rPr>
  </w:style>
  <w:style w:type="character" w:customStyle="1" w:styleId="36">
    <w:name w:val="hover"/>
    <w:basedOn w:val="16"/>
    <w:qFormat/>
    <w:uiPriority w:val="0"/>
    <w:rPr>
      <w:color w:val="2F6EA2"/>
    </w:rPr>
  </w:style>
  <w:style w:type="character" w:customStyle="1" w:styleId="37">
    <w:name w:val="active"/>
    <w:basedOn w:val="16"/>
    <w:qFormat/>
    <w:uiPriority w:val="0"/>
    <w:rPr>
      <w:color w:val="333333"/>
    </w:rPr>
  </w:style>
  <w:style w:type="paragraph" w:customStyle="1" w:styleId="38">
    <w:name w:val="Revision"/>
    <w:hidden/>
    <w:semiHidden/>
    <w:qFormat/>
    <w:uiPriority w:val="99"/>
    <w:rPr>
      <w:rFonts w:cs="仿宋_GB2312" w:asciiTheme="minorHAnsi" w:hAnsiTheme="minorHAnsi" w:eastAsiaTheme="minorEastAsia"/>
      <w:kern w:val="2"/>
      <w:sz w:val="32"/>
      <w:szCs w:val="32"/>
      <w:lang w:val="en-US" w:eastAsia="zh-CN" w:bidi="ar-SA"/>
    </w:rPr>
  </w:style>
  <w:style w:type="character" w:customStyle="1" w:styleId="39">
    <w:name w:val="font01"/>
    <w:basedOn w:val="16"/>
    <w:qFormat/>
    <w:uiPriority w:val="0"/>
    <w:rPr>
      <w:rFonts w:hint="eastAsia" w:ascii="宋体" w:hAnsi="宋体" w:eastAsia="宋体" w:cs="宋体"/>
      <w:color w:val="FF0000"/>
      <w:sz w:val="16"/>
      <w:szCs w:val="16"/>
      <w:u w:val="none"/>
    </w:rPr>
  </w:style>
  <w:style w:type="character" w:customStyle="1" w:styleId="40">
    <w:name w:val="font11"/>
    <w:basedOn w:val="16"/>
    <w:qFormat/>
    <w:uiPriority w:val="0"/>
    <w:rPr>
      <w:rFonts w:hint="eastAsia" w:ascii="宋体" w:hAnsi="宋体" w:eastAsia="宋体" w:cs="宋体"/>
      <w:color w:val="000000"/>
      <w:sz w:val="16"/>
      <w:szCs w:val="16"/>
      <w:u w:val="none"/>
    </w:rPr>
  </w:style>
  <w:style w:type="paragraph" w:styleId="4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966</Words>
  <Characters>1042</Characters>
  <Lines>11</Lines>
  <Paragraphs>3</Paragraphs>
  <TotalTime>3</TotalTime>
  <ScaleCrop>false</ScaleCrop>
  <LinksUpToDate>false</LinksUpToDate>
  <CharactersWithSpaces>1045</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2019-04-08T17:44:00Z</dcterms:created>
  <dc:creator>fullmoon</dc:creator>
  <cp:lastModifiedBy>lin</cp:lastModifiedBy>
  <cp:lastPrinted>2025-01-14T22:32:00Z</cp:lastPrinted>
  <dcterms:modified xsi:type="dcterms:W3CDTF">2025-06-27T10:18:24Z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19515CE4845446213F3C8767FAA57E1F</vt:lpwstr>
  </property>
  <property fmtid="{D5CDD505-2E9C-101B-9397-08002B2CF9AE}" pid="4" name="commondata">
    <vt:lpwstr>eyJoZGlkIjoiNjE2MTEzMmNiNGI5MjJmODEzMWU2OWRjNjA3NmU3OWQifQ==</vt:lpwstr>
  </property>
</Properties>
</file>