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eastAsia="宋体" w:cs="仿宋_GB2312"/>
          <w:b w:val="0"/>
          <w:bCs/>
          <w:color w:val="auto"/>
          <w:sz w:val="44"/>
          <w:szCs w:val="44"/>
          <w:highlight w:val="none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仿宋_GB2312"/>
          <w:b/>
          <w:bCs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南山区社会福利中心二期厨房燃气隐患整改（气改电）设备采购需求</w:t>
      </w:r>
      <w:r>
        <w:rPr>
          <w:rFonts w:hint="eastAsia" w:cs="仿宋_GB2312"/>
          <w:b/>
          <w:bCs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>书</w:t>
      </w:r>
    </w:p>
    <w:bookmarkEnd w:id="0"/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rPr>
          <w:rStyle w:val="17"/>
          <w:rFonts w:hint="eastAsia" w:ascii="宋体" w:hAnsi="宋体" w:cs="仿宋_GB2312"/>
          <w:b w:val="0"/>
          <w:bCs/>
          <w:color w:val="auto"/>
          <w:sz w:val="32"/>
          <w:szCs w:val="32"/>
          <w:highlight w:val="none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Style w:val="17"/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Style w:val="17"/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一、采购内容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2880" w:leftChars="200" w:hanging="2240" w:hangingChars="700"/>
        <w:jc w:val="left"/>
        <w:textAlignment w:val="auto"/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Style w:val="1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Style w:val="1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项目名称: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南山区社会福利中心二期厨房燃气隐患整改（气改电）设备采购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Style w:val="1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（二）采购方: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深圳市南山区民政局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</w:pPr>
      <w:r>
        <w:rPr>
          <w:rStyle w:val="1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（三）项目预算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:人民币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highlight w:val="none"/>
          <w:lang w:val="en-US" w:eastAsia="zh-CN"/>
        </w:rPr>
        <w:t>97.527222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万元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Style w:val="1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（四）项目类别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:</w:t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eastAsia="zh-CN"/>
        </w:rPr>
        <w:t>货物类采购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Style w:val="17"/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</w:pPr>
      <w:r>
        <w:rPr>
          <w:rStyle w:val="17"/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二、采购需求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Style w:val="1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</w:pPr>
      <w:r>
        <w:rPr>
          <w:rStyle w:val="1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(一)项目背景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lang w:val="en-US" w:eastAsia="zh-CN" w:bidi="ar-SA"/>
        </w:rPr>
        <w:t>南山区社会福利中心二期</w:t>
      </w: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eastAsia="zh-CN" w:bidi="ar-SA"/>
        </w:rPr>
        <w:t>是一家养老机构，饱和用餐保障人数为1100-1200人，厨房位于负一层，面积约</w:t>
      </w: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val="en-US" w:eastAsia="zh-CN" w:bidi="ar-SA"/>
        </w:rPr>
        <w:t>650平方米。</w:t>
      </w: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eastAsia="zh-CN" w:bidi="ar-SA"/>
        </w:rPr>
        <w:t>为彻底整改福利中心二期厨房燃气隐患需通过“气改电”模式，即将使用燃气的厨房设备改为用电厨房设备。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eastAsia="zh-CN" w:bidi="ar-SA"/>
        </w:rPr>
      </w:pPr>
      <w:r>
        <w:rPr>
          <w:rStyle w:val="1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408940</wp:posOffset>
            </wp:positionV>
            <wp:extent cx="6236335" cy="2870200"/>
            <wp:effectExtent l="0" t="0" r="12065" b="6350"/>
            <wp:wrapSquare wrapText="bothSides"/>
            <wp:docPr id="2" name="图片 2" descr="烹调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烹调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633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val="en-US" w:eastAsia="zh-CN"/>
        </w:rPr>
        <w:t>（二）厨房设备分布图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373" w:firstLineChars="1400"/>
        <w:jc w:val="left"/>
        <w:textAlignment w:val="auto"/>
        <w:rPr>
          <w:rFonts w:hint="eastAsia"/>
          <w:b/>
          <w:bCs/>
          <w:sz w:val="24"/>
          <w:szCs w:val="24"/>
          <w:highlight w:val="none"/>
        </w:rPr>
      </w:pPr>
      <w:r>
        <w:rPr>
          <w:rFonts w:hint="eastAsia"/>
          <w:b/>
          <w:bCs/>
          <w:sz w:val="24"/>
          <w:szCs w:val="24"/>
          <w:highlight w:val="none"/>
        </w:rPr>
        <w:t>烹饪区平面图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855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eastAsia="zh-CN" w:bidi="ar-SA"/>
        </w:rPr>
      </w:pPr>
      <w:r>
        <w:rPr>
          <w:rFonts w:hint="eastAsia"/>
          <w:b/>
          <w:bCs/>
          <w:sz w:val="24"/>
          <w:szCs w:val="24"/>
          <w:highlight w:val="none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309880</wp:posOffset>
            </wp:positionV>
            <wp:extent cx="6272530" cy="3457575"/>
            <wp:effectExtent l="0" t="0" r="13970" b="9525"/>
            <wp:wrapSquare wrapText="bothSides"/>
            <wp:docPr id="3" name="图片 3" descr="面点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面点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4"/>
          <w:szCs w:val="24"/>
          <w:highlight w:val="none"/>
          <w:lang w:eastAsia="zh-CN"/>
        </w:rPr>
        <w:t>面点间</w:t>
      </w:r>
      <w:r>
        <w:rPr>
          <w:rFonts w:hint="eastAsia"/>
          <w:b/>
          <w:bCs/>
          <w:sz w:val="24"/>
          <w:szCs w:val="24"/>
          <w:highlight w:val="none"/>
        </w:rPr>
        <w:t>平面图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Style w:val="1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</w:pPr>
      <w:r>
        <w:rPr>
          <w:rStyle w:val="1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（</w:t>
      </w:r>
      <w:r>
        <w:rPr>
          <w:rStyle w:val="1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Style w:val="1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>）</w:t>
      </w:r>
      <w:r>
        <w:rPr>
          <w:rStyle w:val="1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  <w:lang w:eastAsia="zh-CN"/>
        </w:rPr>
        <w:t>实施要求</w:t>
      </w:r>
      <w:r>
        <w:rPr>
          <w:rStyle w:val="17"/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val="en-US" w:eastAsia="zh-CN" w:bidi="ar-SA"/>
        </w:rPr>
        <w:t>1.质量要求：</w:t>
      </w: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eastAsia="zh-CN" w:bidi="ar-SA"/>
        </w:rPr>
        <w:t>供方提供的设备必须是全新的设备（包括零部件），包装</w:t>
      </w: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val="en-US" w:eastAsia="zh-CN" w:bidi="ar-SA"/>
        </w:rPr>
        <w:t xml:space="preserve">完好，产品符合国家质量标准，必须具有生产日期、厂名、厂址、产品合格证等。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jc w:val="left"/>
        <w:rPr>
          <w:rFonts w:hint="default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eastAsia="zh-CN" w:bidi="ar-SA"/>
        </w:rPr>
        <w:t>交货时间：</w:t>
      </w: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val="en-US" w:eastAsia="zh-CN" w:bidi="ar-SA"/>
        </w:rPr>
        <w:t>20个工作日内。自采购方提供配套线路安装条件起，20个工作日内完成厨房设备进场、安装、调试。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jc w:val="left"/>
        <w:rPr>
          <w:rFonts w:hint="default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eastAsia" w:ascii="仿宋_GB2312" w:eastAsia="仿宋_GB2312"/>
          <w:color w:val="auto"/>
          <w:spacing w:val="10"/>
          <w:kern w:val="0"/>
          <w:sz w:val="32"/>
          <w:szCs w:val="22"/>
          <w:highlight w:val="none"/>
          <w:lang w:val="en-US" w:eastAsia="zh-CN"/>
        </w:rPr>
        <w:t>3.</w:t>
      </w:r>
      <w:r>
        <w:rPr>
          <w:rFonts w:hint="eastAsia" w:ascii="仿宋_GB2312" w:eastAsia="仿宋_GB2312"/>
          <w:color w:val="auto"/>
          <w:spacing w:val="10"/>
          <w:kern w:val="0"/>
          <w:sz w:val="32"/>
          <w:szCs w:val="22"/>
          <w:highlight w:val="none"/>
        </w:rPr>
        <w:t>验收标准：实质性满足采购需求，完成合同履约，并应符合我国现行有关技术规范和技术标准。</w:t>
      </w:r>
    </w:p>
    <w:p>
      <w:pPr>
        <w:keepNext w:val="0"/>
        <w:keepLines w:val="0"/>
        <w:widowControl/>
        <w:suppressLineNumbers w:val="0"/>
        <w:ind w:firstLine="680" w:firstLineChars="200"/>
        <w:jc w:val="left"/>
        <w:rPr>
          <w:rFonts w:hint="default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val="en-US" w:eastAsia="zh-CN" w:bidi="ar-SA"/>
        </w:rPr>
        <w:t>4.免费保修期：电磁设备免费保修期不少于2年，其他配套设备保修半年(不可抗拒的自然灾害、人为损坏及易损易耗件、水龙头等除外)。</w:t>
      </w: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eastAsia="zh-CN" w:bidi="ar-SA"/>
        </w:rPr>
        <w:t>配套线路等质保期不少于</w:t>
      </w: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val="en-US" w:eastAsia="zh-CN" w:bidi="ar-SA"/>
        </w:rPr>
        <w:t>2年。以上质保期时间自最终验收合格并交付使用之日起计算，免费保修期内所有设备维修均为免费上门服务。如因质量问题而引起产品损坏，供应商应对产品予以维修或更换，全部服务费和更换产品或零配件的费用由中标供应商承担；供应商如不能修理或不能调换的，提供不低于中标价的设备进行赔偿处理。免费保修期内，发生设备故障的，中标供应商接到通知2小时内赶到现场对产品进行维修或更换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jc w:val="left"/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val="en-US" w:eastAsia="zh-CN" w:bidi="ar-SA"/>
        </w:rPr>
        <w:t>5.知识产权：投标单位保证所投产品等的合法性,未侵犯他人的知识产权。如有纠纷,由中标供应商承担全部法律及经济全部责任。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default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val="en-US" w:eastAsia="zh-CN" w:bidi="ar-SA"/>
        </w:rPr>
        <w:t>6.设备规格尺寸要求：因现场条件限制，须按照厨房设备分布图严格控制厨房设备的规格尺寸，慎重选择投标产品，中标人进场时须进行现场复核。</w:t>
      </w:r>
    </w:p>
    <w:p>
      <w:pPr>
        <w:pStyle w:val="1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kern w:val="0"/>
          <w:sz w:val="32"/>
          <w:szCs w:val="22"/>
          <w:highlight w:val="none"/>
          <w:u w:val="none"/>
          <w:lang w:val="en-US" w:eastAsia="zh-CN" w:bidi="ar-SA"/>
        </w:rPr>
        <w:t xml:space="preserve">7.现场管理：在安装、调试期间，中标供应商应遵守采购单位相关管理，做好相关安全文明施工。 </w:t>
      </w:r>
    </w:p>
    <w:p>
      <w:pPr>
        <w:pStyle w:val="1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80" w:firstLineChars="200"/>
        <w:jc w:val="left"/>
        <w:textAlignment w:val="auto"/>
        <w:rPr>
          <w:rFonts w:hint="eastAsia" w:ascii="仿宋_GB2312" w:eastAsia="仿宋_GB2312"/>
          <w:color w:val="auto"/>
          <w:spacing w:val="10"/>
          <w:kern w:val="0"/>
          <w:sz w:val="32"/>
          <w:szCs w:val="2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pacing w:val="10"/>
          <w:sz w:val="32"/>
          <w:szCs w:val="22"/>
          <w:highlight w:val="none"/>
          <w:lang w:val="en-US" w:eastAsia="zh-CN"/>
        </w:rPr>
        <w:t>8.</w:t>
      </w:r>
      <w:r>
        <w:rPr>
          <w:rFonts w:hint="eastAsia" w:ascii="仿宋_GB2312" w:eastAsia="仿宋_GB2312"/>
          <w:color w:val="auto"/>
          <w:spacing w:val="10"/>
          <w:sz w:val="32"/>
          <w:szCs w:val="22"/>
          <w:highlight w:val="none"/>
          <w:lang w:eastAsia="zh-CN"/>
        </w:rPr>
        <w:t>电路及配套线路安装资质要求：中标供应商自身或委托专业公司需具备承装（修、试）电力设施许可证‌或建筑机电安装工程专业承包（三级资质及以上）等资质。进场安装工人须按作业类型配备相应低压</w:t>
      </w:r>
      <w:r>
        <w:rPr>
          <w:rFonts w:hint="eastAsia" w:ascii="仿宋_GB2312" w:eastAsia="仿宋_GB2312"/>
          <w:color w:val="auto"/>
          <w:spacing w:val="10"/>
          <w:sz w:val="32"/>
          <w:szCs w:val="22"/>
          <w:highlight w:val="none"/>
          <w:lang w:val="en-US" w:eastAsia="zh-CN"/>
        </w:rPr>
        <w:t>/高压</w:t>
      </w:r>
      <w:r>
        <w:rPr>
          <w:rFonts w:hint="eastAsia" w:ascii="仿宋_GB2312" w:eastAsia="仿宋_GB2312"/>
          <w:color w:val="auto"/>
          <w:spacing w:val="10"/>
          <w:kern w:val="0"/>
          <w:sz w:val="32"/>
          <w:szCs w:val="22"/>
          <w:highlight w:val="none"/>
        </w:rPr>
        <w:t>电工</w:t>
      </w:r>
      <w:r>
        <w:rPr>
          <w:rFonts w:hint="eastAsia" w:ascii="仿宋_GB2312" w:eastAsia="仿宋_GB2312"/>
          <w:color w:val="auto"/>
          <w:spacing w:val="10"/>
          <w:kern w:val="0"/>
          <w:sz w:val="32"/>
          <w:szCs w:val="22"/>
          <w:highlight w:val="none"/>
          <w:lang w:eastAsia="zh-CN"/>
        </w:rPr>
        <w:t>，并持</w:t>
      </w:r>
      <w:r>
        <w:rPr>
          <w:rFonts w:hint="eastAsia" w:ascii="仿宋_GB2312" w:eastAsia="仿宋_GB2312"/>
          <w:color w:val="auto"/>
          <w:spacing w:val="10"/>
          <w:kern w:val="0"/>
          <w:sz w:val="32"/>
          <w:szCs w:val="22"/>
          <w:highlight w:val="none"/>
        </w:rPr>
        <w:t>操作</w:t>
      </w:r>
      <w:r>
        <w:rPr>
          <w:rFonts w:hint="eastAsia" w:ascii="仿宋_GB2312" w:eastAsia="仿宋_GB2312"/>
          <w:color w:val="auto"/>
          <w:spacing w:val="10"/>
          <w:kern w:val="0"/>
          <w:sz w:val="32"/>
          <w:szCs w:val="22"/>
          <w:highlight w:val="none"/>
          <w:lang w:eastAsia="zh-CN"/>
        </w:rPr>
        <w:t>响应</w:t>
      </w:r>
      <w:r>
        <w:rPr>
          <w:rFonts w:hint="eastAsia" w:ascii="仿宋_GB2312" w:eastAsia="仿宋_GB2312"/>
          <w:color w:val="auto"/>
          <w:spacing w:val="10"/>
          <w:kern w:val="0"/>
          <w:sz w:val="32"/>
          <w:szCs w:val="22"/>
          <w:highlight w:val="none"/>
        </w:rPr>
        <w:t>上岗证</w:t>
      </w:r>
      <w:r>
        <w:rPr>
          <w:rFonts w:hint="eastAsia" w:ascii="仿宋_GB2312" w:eastAsia="仿宋_GB2312"/>
          <w:color w:val="auto"/>
          <w:spacing w:val="10"/>
          <w:kern w:val="0"/>
          <w:sz w:val="32"/>
          <w:szCs w:val="22"/>
          <w:highlight w:val="none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firstLine="680" w:firstLineChars="200"/>
        <w:jc w:val="left"/>
        <w:textAlignment w:val="auto"/>
        <w:rPr>
          <w:rFonts w:hint="eastAsia" w:ascii="仿宋_GB2312" w:eastAsia="仿宋_GB2312"/>
          <w:color w:val="auto"/>
          <w:spacing w:val="10"/>
          <w:kern w:val="0"/>
          <w:sz w:val="32"/>
          <w:szCs w:val="2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项目清单及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技术参数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3" w:firstLineChars="200"/>
        <w:jc w:val="left"/>
        <w:textAlignment w:val="auto"/>
        <w:rPr>
          <w:rStyle w:val="17"/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17"/>
          <w:rFonts w:hint="default" w:ascii="楷体_GB2312" w:hAnsi="楷体_GB2312" w:eastAsia="楷体_GB2312" w:cs="楷体_GB2312"/>
          <w:bCs/>
          <w:color w:val="auto"/>
          <w:kern w:val="0"/>
          <w:sz w:val="32"/>
          <w:szCs w:val="32"/>
          <w:highlight w:val="none"/>
          <w:lang w:bidi="ar"/>
        </w:rPr>
        <w:t>（一）</w:t>
      </w:r>
      <w:r>
        <w:rPr>
          <w:rStyle w:val="17"/>
          <w:rFonts w:hint="default" w:ascii="楷体_GB2312" w:hAnsi="楷体_GB2312" w:eastAsia="楷体_GB2312" w:cs="楷体_GB2312"/>
          <w:bCs/>
          <w:color w:val="auto"/>
          <w:kern w:val="0"/>
          <w:sz w:val="32"/>
          <w:szCs w:val="32"/>
          <w:highlight w:val="none"/>
          <w:lang w:eastAsia="zh-CN" w:bidi="ar"/>
        </w:rPr>
        <w:t>项目</w:t>
      </w:r>
      <w:r>
        <w:rPr>
          <w:rStyle w:val="17"/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highlight w:val="none"/>
          <w:lang w:eastAsia="zh-CN" w:bidi="ar"/>
        </w:rPr>
        <w:t>采购</w:t>
      </w:r>
      <w:r>
        <w:rPr>
          <w:rStyle w:val="17"/>
          <w:rFonts w:hint="default" w:ascii="楷体_GB2312" w:hAnsi="楷体_GB2312" w:eastAsia="楷体_GB2312" w:cs="楷体_GB2312"/>
          <w:bCs/>
          <w:color w:val="auto"/>
          <w:kern w:val="0"/>
          <w:sz w:val="32"/>
          <w:szCs w:val="32"/>
          <w:highlight w:val="none"/>
          <w:lang w:bidi="ar"/>
        </w:rPr>
        <w:t>清单</w:t>
      </w:r>
      <w:r>
        <w:rPr>
          <w:rStyle w:val="17"/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   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1.厨房设备</w:t>
      </w:r>
    </w:p>
    <w:tbl>
      <w:tblPr>
        <w:tblStyle w:val="14"/>
        <w:tblpPr w:leftFromText="180" w:rightFromText="180" w:vertAnchor="text" w:horzAnchor="page" w:tblpXSpec="center" w:tblpY="655"/>
        <w:tblOverlap w:val="never"/>
        <w:tblW w:w="45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3370"/>
        <w:gridCol w:w="890"/>
        <w:gridCol w:w="1063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5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069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4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5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57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4" w:type="pct"/>
            <w:gridSpan w:val="2"/>
            <w:tcBorders>
              <w:top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烹饪区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电磁单头低汤炉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二十层触摸版万能蒸烤箱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75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电磁单头大炒炉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半自动旋转+翻炒电磁大炒锅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自动滚筒炒菜机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电磁双头双尾小炒炉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灭火系统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定制汤桶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4" w:type="pct"/>
            <w:gridSpan w:val="2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面点间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75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电磁双头低汤炉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推车式电加热蒸饭车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75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11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电磁单头蒸包炉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12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电磁铁板扒炉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75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13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灭火系统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44" w:type="pct"/>
            <w:gridSpan w:val="2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单门保温餐车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pct"/>
            <w:tcBorders>
              <w:top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防爆灯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" w:type="pct"/>
            <w:tcBorders>
              <w:top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6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防爆灯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157" w:type="pc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textAlignment w:val="auto"/>
        <w:rPr>
          <w:rFonts w:hint="eastAsia" w:ascii="宋体" w:hAnsi="宋体" w:eastAsia="宋体" w:cs="仿宋_GB2312"/>
          <w:color w:val="auto"/>
          <w:sz w:val="30"/>
          <w:szCs w:val="30"/>
          <w:highlight w:val="none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宋体" w:hAnsi="宋体" w:eastAsia="宋体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2.配套线路安装及配件等</w:t>
      </w:r>
    </w:p>
    <w:tbl>
      <w:tblPr>
        <w:tblStyle w:val="14"/>
        <w:tblpPr w:leftFromText="180" w:rightFromText="180" w:vertAnchor="text" w:horzAnchor="page" w:tblpX="2011" w:tblpY="727"/>
        <w:tblOverlap w:val="never"/>
        <w:tblW w:w="46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665"/>
        <w:gridCol w:w="1001"/>
        <w:gridCol w:w="897"/>
        <w:gridCol w:w="1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低压电力电缆（从电房到厨房烹饪区1#主电柜）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低压电力电缆（从厨厨房烹饪区2#主电柜）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厨房烹饪区1#主电柜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厨房烹饪区2#主电柜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电房GCK抽屉柜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烹饪区万能蒸烤箱电缆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烹饪区煲汤炉电缆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烹饪区大炒锅、自动滚筒炒菜机、半自动旋转+翻炒电磁大炒锅电缆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烹饪区小炒锅电缆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低压电力电缆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175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厨房面点区主电柜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电房GCK抽屉柜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面点区双头平头炉电缆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面点区双门电加热饭车电缆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面点区蒸包炉电缆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面点间电磁铁板扒炉电缆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镀锌线槽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不锈钢线槽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镀锌线槽L支架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镀锌线槽吊架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烹饪区原平板灯改防爆灯安装人工及辅材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配套线路涉及拆除和恢复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安装、辅材、调试等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旧燃气厨房设备拆除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textAlignment w:val="auto"/>
        <w:rPr>
          <w:rFonts w:hint="default" w:ascii="宋体" w:hAnsi="宋体" w:eastAsia="宋体" w:cs="仿宋_GB2312"/>
          <w:color w:val="auto"/>
          <w:sz w:val="30"/>
          <w:szCs w:val="30"/>
          <w:highlight w:val="none"/>
          <w:lang w:val="en-US" w:eastAsia="zh-CN"/>
        </w:rPr>
      </w:pPr>
    </w:p>
    <w:p>
      <w:pPr>
        <w:pStyle w:val="5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leftChars="0" w:firstLine="643" w:firstLineChars="200"/>
        <w:jc w:val="left"/>
        <w:rPr>
          <w:rStyle w:val="17"/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Style w:val="17"/>
          <w:rFonts w:hint="eastAsia" w:ascii="楷体_GB2312" w:hAnsi="楷体_GB2312" w:eastAsia="楷体_GB2312" w:cs="楷体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（二）技术参数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1.厨房设备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14"/>
        <w:tblpPr w:leftFromText="180" w:rightFromText="180" w:vertAnchor="text" w:horzAnchor="page" w:tblpX="1450" w:tblpY="985"/>
        <w:tblOverlap w:val="never"/>
        <w:tblW w:w="530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66"/>
        <w:gridCol w:w="4635"/>
        <w:gridCol w:w="1494"/>
        <w:gridCol w:w="1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产品名称</w:t>
            </w:r>
          </w:p>
        </w:tc>
        <w:tc>
          <w:tcPr>
            <w:tcW w:w="2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  <w:t>技术参数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推荐品牌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  <w:highlight w:val="none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  <w:t>A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烹饪区</w:t>
            </w:r>
          </w:p>
        </w:tc>
        <w:tc>
          <w:tcPr>
            <w:tcW w:w="2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电磁单头低汤炉</w:t>
            </w:r>
          </w:p>
        </w:tc>
        <w:tc>
          <w:tcPr>
            <w:tcW w:w="24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1.规格：650mm*750mm*500mm+700mm±10%，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全不锈钢结构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面板厚≥1.20mm,侧板厚≥1.0mm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2.每台配1个汤桶：Φ500*H500MM，汤桶容量：≥9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L；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3.功率：15KW，额定电压：380V/50HZ；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4.磁控开关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≥5档，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液晶显示屏，旋转水龙头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；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5.过热保护，防干烧保护多重保护措施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；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6.显示屏带有中文故障显示。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荣创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名厨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智厨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赛米控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二十层触摸版万能蒸烤箱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1.规格：910mm*830mm*1880mm±10%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全不锈钢结构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面板厚≥1.20mm,侧板厚≥1.0mm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2.可放份数盆20个*1/1份数盆；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3.电压/功率：380V/蒸25.7-28KW,烤34-37KW；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4.温度范围25℃-250℃；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5.二十层触摸版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；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6.自动清洗，多重清洗模式。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佳斯特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乐创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德玛仕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极效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电磁单头大炒炉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1.规格：1100mm*1200mm*800mm+400mm±10%，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全不锈钢结构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面板厚≥1.20mm,侧板厚1.0mm；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2.每台锅1个：Φ900mm；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 xml:space="preserve">3.功率：25KW，额定电压380V/50HZ；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4.磁控开关，液晶显示屏，旋转水龙头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荣创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智厨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名厨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德玛仕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赛米控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半自动旋转+翻炒电磁大炒锅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1.规格</w:t>
            </w:r>
            <w:r>
              <w:rPr>
                <w:rStyle w:val="39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t>：1200mm*1300mm*800mm+400mm</w:t>
            </w:r>
            <w:r>
              <w:rPr>
                <w:rStyle w:val="40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t xml:space="preserve"> ±10%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；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Style w:val="40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Style w:val="40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t>2.整机外壳优质不锈钢；</w:t>
            </w:r>
            <w:r>
              <w:rPr>
                <w:rStyle w:val="40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Style w:val="40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t>3.电压：380V/50Hz，功率：</w:t>
            </w:r>
            <w:r>
              <w:rPr>
                <w:rStyle w:val="39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t>30kw</w:t>
            </w:r>
            <w:r>
              <w:rPr>
                <w:rStyle w:val="40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t>；</w:t>
            </w:r>
            <w:r>
              <w:rPr>
                <w:rStyle w:val="40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Style w:val="40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t>3.Φ</w:t>
            </w:r>
            <w:r>
              <w:rPr>
                <w:rStyle w:val="39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t>1000mm</w:t>
            </w:r>
            <w:r>
              <w:rPr>
                <w:rStyle w:val="40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t>翻边锅，半自动转+翻妙电磁大炒锅，锅体容量≥</w:t>
            </w:r>
            <w:r>
              <w:rPr>
                <w:rStyle w:val="39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t>110L</w:t>
            </w:r>
            <w:r>
              <w:rPr>
                <w:rStyle w:val="40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t>；</w:t>
            </w:r>
            <w:r>
              <w:rPr>
                <w:rStyle w:val="40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Style w:val="40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t>4.多功能LED显示器，搅拌器具电动升降，方便操作；</w:t>
            </w:r>
            <w:r>
              <w:rPr>
                <w:rStyle w:val="40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Style w:val="40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t>5.多维立体搅拌，刮底、刮边，多档火力调节</w:t>
            </w:r>
            <w:r>
              <w:rPr>
                <w:rStyle w:val="40"/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Style w:val="40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bidi="ar"/>
              </w:rPr>
              <w:t>无极调速翻炒，摇摆水龙头加水</w:t>
            </w:r>
            <w:r>
              <w:rPr>
                <w:rStyle w:val="40"/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  <w:lang w:eastAsia="zh-CN" w:bidi="ar"/>
              </w:rPr>
              <w:t>；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Style w:val="40"/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多功能LED显示器，搅拌器具电动升降，方便操作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旭众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名厨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赛米控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荣创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自动滚筒炒菜机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1.规格：1250mm*1200mm*1550mm ±10%，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全不锈钢结构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面板厚≥1.20mm,侧板厚1.0mm；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2.电压：380V/50Hz，功率：20kw；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3.炒锅尺寸：Φ600mm；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4.炒菜重量：5-20KG；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5.具有1000±10%种菜谱存储编辑功能，智能语音播报功能，4路自动喷料。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荣创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名厨磁电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繁兴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赛米控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电磁双头双尾小炒炉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1.规格：2200mm*1200mm*800mm+400mm±10%，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全不锈钢结构；面板厚≥1.20mm,侧板厚≥1.0mm；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2.电压/功率：380V/15kW*2；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.配2个锅：外径Φ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00mm；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.机芯采用分层次散热结构,机芯外壳全密封设计,采用黑色汽车烤漆机箱达到绝缘效果；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.显示屏带有中文故障原因、显示用电量、实时功率、实时电压；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.配置≥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档磁控开关,每个档位有相对应的功率输出情况、更直观掌握火力调节。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荣创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名厨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智厨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赛米控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灭火系统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1.规格：双瓶组；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2.采用悬挂式安装，动作温度：180±3（℃）；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3.主要配件：驱动瓶、药剂罐、水流控制阀、感温装置、控制箱、食用油专用灭火药剂及释放机构等，材料全部采用不锈钢、铜及少量合金铝，并经过防腐处理；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4.采用食用油专用灭火药剂；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5.灭火时间：≤1.8S，喷射时间：≥26S，喷射延迟时间：≤3S；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6.具有水冷却功能，在灭火剂完全喷射后，水流联动阀立即启动；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7.具有自动启动、手动启动、机械启动功能，且不会复燃，能提供消防中控信号。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环峰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时代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林川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澳华安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定制汤桶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1.规格：Φ600mm*800mm±10%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2.复合底汤桶，电磁炉适用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3.底部开孔焊接管道并进行加固，管道中连接开关，可将汤从底部放出。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面点间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电磁双头低汤炉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1.规格：1300mm*750mm*500mm+700mm±10%，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全不锈钢结构；面板厚≥1.20mm,侧板厚≥1.0mm；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2.每台配2个汤桶：Φ500*H500MM，汤桶容量：≥9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L*2；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3.功率：2*15KW，额定电压：380V/50HZ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4.磁控开关≥5级，液晶显示屏，旋转水龙头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；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default" w:eastAsia="楷体_GB231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5.过热保护，防干烧保护多重保护措施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；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荣创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智厨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名厨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推车式电加热蒸饭车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1.规格：1300mm*1200mm*1600mm±10%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柜体材质均采用304#1.0-1.2MM不锈钢，蒸汽管为无缝钢管304#1.6-1.8MM厚，活动导轨304#4.0MM±10%；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2.功率：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24KW，额定电压：380V/50HZ；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3.柜体单台一次可放一个推车，一个推车可放24个400*600*48mm的304#蒸盘；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4.泄压阀1个，电脑板自动控制，带缺水防干烧系统，有温度和时间显示，可定时控温；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6.使用无毒、无腐蚀的高强度耐热聚氨酯整体灌注高压发泡加厚保温，蒸煮运行时柜内温度100℃-101℃，外表温度不烫手，达到节能及保温最佳效果；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7.耐高温多气囊嵌入式硅胶门封条，密封效果好不漏气。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智厨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名厨磁电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赛米控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多美多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鼎龙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11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电磁单头蒸包炉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1.规格：800mm*800mm（800+50）mm ±10%，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全不锈钢结构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面板厚≥1.20mm,侧板厚≥1.0mm；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 xml:space="preserve">2.电压/功率：380V/20kW；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3.全优质不锈钢结构设计，面板厚≥1.20mm,侧板厚≥1.0mm；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4.加热技术和效果：采用电磁感应加热技术；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5.显示屏带有中文故障原因、显示用电量、实时功率、实时电压；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6.磁控开关≥5级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 xml:space="preserve">   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荣创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智厨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名厨磁电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赛米控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鼎龙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12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电磁铁板扒炉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1.规格：800mm*800mm*(800+50)mm ±10%，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304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全不锈钢结构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面板厚≥1.20mm,侧板厚≥1.0mm；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2.电压/功率：380V/8kW；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.人性化超耐用智能磁控开关控制，数码显示一目了然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.机芯采用分层次散热结构,机芯外壳全密封设计,采用黑色汽车烤漆机箱达到绝缘效果；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.磁控开关≥5级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  <w:t>荣创/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智厨/名厨磁电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</w:trPr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13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灭火系统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1.规格：双瓶组；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2.采用悬挂式安装，动作温度：180±3（℃）；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3.主要配件：驱动瓶、药剂罐、水流控制阀、感温装置、控制箱、食用油专用灭火药剂及释放机构等，材料全部采用不锈钢、铜及少量合金铝，并经过防腐处理；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4.采用食用油专用灭火药剂；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5.灭火时间：≤1.8S，喷射时间：≥26S，喷射延迟时间：≤3S；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6.具有水冷却功能，在灭火剂完全喷射后，水流联动阀立即启动；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7.具有自动启动、手动启动、机械启动功能，且不会复燃，能提供消防中控信号。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环峰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时代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林川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澳华安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2" w:type="pct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其他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单门保温餐车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1.规格：750mm*860mm*1480mm ±10%；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2.电压220V，功率≥0.75KW；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3.可放12个1/1深150mm份数盆。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海克</w:t>
            </w: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佳斯特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德玛仕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防爆灯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规格：1200mm*600mm，防爆灯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佛山照明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欧普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三雄极光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1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防爆灯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highlight w:val="none"/>
                <w:lang w:bidi="ar"/>
              </w:rPr>
              <w:t>规格：600mm*600mm，防爆灯</w:t>
            </w:r>
          </w:p>
        </w:tc>
        <w:tc>
          <w:tcPr>
            <w:tcW w:w="7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佛山照明</w:t>
            </w:r>
          </w:p>
          <w:p>
            <w:pPr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欧普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highlight w:val="none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highlight w:val="none"/>
                <w:lang w:bidi="ar"/>
              </w:rPr>
              <w:t>三雄极光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</w:rPr>
            </w:pP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textAlignment w:val="auto"/>
        <w:rPr>
          <w:rFonts w:hint="eastAsia" w:ascii="宋体" w:hAnsi="宋体" w:eastAsia="宋体" w:cs="仿宋_GB2312"/>
          <w:color w:val="auto"/>
          <w:sz w:val="30"/>
          <w:szCs w:val="30"/>
          <w:highlight w:val="none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宋体" w:hAnsi="宋体" w:eastAsia="宋体" w:cs="仿宋_GB2312"/>
          <w:color w:val="auto"/>
          <w:sz w:val="30"/>
          <w:szCs w:val="30"/>
          <w:highlight w:val="none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rightChars="0" w:firstLine="300" w:firstLineChars="100"/>
        <w:jc w:val="left"/>
        <w:textAlignment w:val="auto"/>
        <w:rPr>
          <w:rFonts w:hint="default" w:ascii="宋体" w:hAnsi="宋体" w:eastAsia="宋体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仿宋_GB2312"/>
          <w:color w:val="auto"/>
          <w:sz w:val="30"/>
          <w:szCs w:val="30"/>
          <w:highlight w:val="none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配套线路安装及配件等</w:t>
      </w:r>
    </w:p>
    <w:tbl>
      <w:tblPr>
        <w:tblStyle w:val="14"/>
        <w:tblpPr w:leftFromText="180" w:rightFromText="180" w:vertAnchor="text" w:horzAnchor="page" w:tblpX="1430" w:tblpY="686"/>
        <w:tblOverlap w:val="never"/>
        <w:tblW w:w="562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375"/>
        <w:gridCol w:w="2512"/>
        <w:gridCol w:w="1483"/>
        <w:gridCol w:w="2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推荐品牌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低压电力电缆（从电房到厨房烹饪区1#主电柜）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YJV-1KV-3×185+2×95MM2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金环宇、金龙羽、成天泰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低压电力电缆（从厨厨房烹饪区2#主电柜）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YJV-1KV-3×95+2×50MM2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金环宇、金龙羽、成天泰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厨房烹饪区1#主电柜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1800*800*400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空气开关：正泰、西门子、施耐德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定做。包含500A主空气开关，分开关315A1台空气开关，分开关63A漏保9个，电流表、电压表、互感器、铜排、二次线路等。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厨房烹饪区2#主电柜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1000*600*400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空气开关：正泰、西门子、施耐德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定做。主开关315A1台空气开关，分开关63A漏保9个，电流表、电压表、互感器、铜排、二次线路等。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电房GCK抽屉柜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定制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空气开关：正泰、西门子、施耐德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定做。包含400A空开、电流表、电压表、互感器、铜排、抽屉柜插件等。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烹饪区万能蒸烤箱电缆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3*25+2*16MM2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金环宇、金龙羽、成天泰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2组，每组12米电缆，共24米电缆。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烹饪区煲汤炉电缆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3*10+2*6MM2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金环宇、金龙羽、成天泰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3组，每组12米电缆，共36米电缆。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烹饪区大炒锅、自动滚筒炒菜机、半自动旋转+翻炒电磁大炒锅电缆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3*25+2*16MM2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金环宇、金龙羽、成天泰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4组，每组12米电缆，共48米电缆。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烹饪区小炒锅电缆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3*16+2*10MM2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金环宇、金龙羽、成天泰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2组，每组12米电缆，共24米电缆。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低压电力电缆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YJV-1KV-3×120+2×70MM2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金环宇、金龙羽、成天泰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从电房到厨房面点房主电柜。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厨房面点区主电柜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1000*600*400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空气开关：正泰、西门子、施耐德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定做。包含250A主空气开关，分开关63A漏保10个，电流表、电压表、互感器、铜排、二次线路等。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电房GCK抽屉柜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定制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空气开关：正泰、西门子、施耐德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定做。包含250A开关、电流表、电压表、互感器、铜排、抽屉柜插件等。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面点区双头平头炉电缆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3*16+2*10MM2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金环宇、金龙羽、成天泰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2组，每组12米电缆，共24米电缆。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面点区双门电加热饭车电缆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3*25+2*16MM2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金环宇、金龙羽、成天泰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1组，12米电缆。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面点区蒸包炉电缆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3*16+2*10MM2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金环宇、金龙羽、成天泰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2组，每组12米电缆，共24米电缆。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面点间电磁铁板扒炉电缆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3*10+2*6MM2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金环宇、金龙羽、成天泰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1组，12米电缆。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镀锌线槽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200*100*1.2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不锈钢线槽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300*100*1.2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镀锌线槽L支架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80*80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镀锌线槽吊架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60*30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国标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烹饪区原平板灯改防爆灯安装人工及辅材费用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烹饪区原平板灯改防爆灯安装人工及辅材费用。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配套线路涉及拆除和恢复的费用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配套线路涉及拆除和恢复的费用，包括但不仅限于天花、地面、墙面、炉背封钢等破坏修补费用。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安装、辅材、调试等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/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电缆终端头制作（含电缆头材料)，金属软管、卡箍、膨胀螺栓、线耳电工胶布等辅材，以及电缆运输、安装敷设、穿墙打洞等满足设备正常运行的相关费用。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旧燃气厨房设备拆除费</w:t>
            </w:r>
          </w:p>
        </w:tc>
        <w:tc>
          <w:tcPr>
            <w:tcW w:w="1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原所有燃气设备拆除以及末端燃气管道切割拆除。</w:t>
            </w:r>
          </w:p>
        </w:tc>
      </w:tr>
    </w:tbl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left"/>
        <w:rPr>
          <w:rStyle w:val="17"/>
          <w:rFonts w:hint="eastAsia" w:ascii="楷体_GB2312" w:hAnsi="楷体_GB2312" w:eastAsia="楷体_GB2312" w:cs="楷体_GB2312"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投标报价要求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8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pacing w:val="10"/>
          <w:kern w:val="0"/>
          <w:sz w:val="32"/>
          <w:szCs w:val="22"/>
          <w:highlight w:val="none"/>
          <w:lang w:val="en-US" w:eastAsia="zh-CN"/>
        </w:rPr>
        <w:t>（一）</w:t>
      </w:r>
      <w:r>
        <w:rPr>
          <w:rFonts w:hint="default" w:ascii="仿宋_GB2312" w:eastAsia="仿宋_GB2312"/>
          <w:color w:val="auto"/>
          <w:spacing w:val="10"/>
          <w:kern w:val="0"/>
          <w:sz w:val="32"/>
          <w:szCs w:val="22"/>
          <w:highlight w:val="none"/>
        </w:rPr>
        <w:t>项目报价</w:t>
      </w:r>
      <w:r>
        <w:rPr>
          <w:rFonts w:hint="default" w:ascii="仿宋_GB2312" w:eastAsia="仿宋_GB2312"/>
          <w:b/>
          <w:bCs/>
          <w:color w:val="auto"/>
          <w:spacing w:val="10"/>
          <w:sz w:val="32"/>
          <w:szCs w:val="22"/>
          <w:highlight w:val="none"/>
        </w:rPr>
        <w:t>经费控制上限</w:t>
      </w:r>
      <w:r>
        <w:rPr>
          <w:rFonts w:hint="eastAsia" w:ascii="仿宋_GB2312" w:eastAsia="仿宋_GB2312"/>
          <w:b/>
          <w:bCs/>
          <w:color w:val="auto"/>
          <w:spacing w:val="10"/>
          <w:sz w:val="32"/>
          <w:szCs w:val="22"/>
          <w:highlight w:val="none"/>
          <w:lang w:val="en-US" w:eastAsia="zh-CN"/>
        </w:rPr>
        <w:t>97.527222</w:t>
      </w:r>
      <w:r>
        <w:rPr>
          <w:rFonts w:hint="default" w:ascii="仿宋_GB2312" w:eastAsia="仿宋_GB2312"/>
          <w:b/>
          <w:bCs/>
          <w:color w:val="auto"/>
          <w:spacing w:val="10"/>
          <w:sz w:val="32"/>
          <w:szCs w:val="22"/>
          <w:highlight w:val="none"/>
        </w:rPr>
        <w:t>万</w:t>
      </w:r>
      <w:r>
        <w:rPr>
          <w:rFonts w:hint="eastAsia" w:ascii="仿宋_GB2312" w:eastAsia="仿宋_GB2312"/>
          <w:b/>
          <w:bCs/>
          <w:color w:val="auto"/>
          <w:spacing w:val="10"/>
          <w:sz w:val="32"/>
          <w:szCs w:val="22"/>
          <w:highlight w:val="none"/>
        </w:rPr>
        <w:t>元</w:t>
      </w:r>
      <w:r>
        <w:rPr>
          <w:rFonts w:hint="eastAsia" w:ascii="仿宋_GB2312" w:hAnsi="Times New Roman" w:eastAsia="仿宋_GB2312" w:cs="Times New Roman"/>
          <w:color w:val="auto"/>
          <w:spacing w:val="10"/>
          <w:kern w:val="0"/>
          <w:sz w:val="32"/>
          <w:szCs w:val="22"/>
          <w:highlight w:val="none"/>
          <w:lang w:eastAsia="zh-CN"/>
        </w:rPr>
        <w:t>，投标单位报价</w:t>
      </w:r>
      <w:r>
        <w:rPr>
          <w:rFonts w:hint="eastAsia" w:ascii="仿宋_GB2312" w:hAnsi="Times New Roman" w:eastAsia="仿宋_GB2312" w:cs="Times New Roman"/>
          <w:color w:val="auto"/>
          <w:spacing w:val="10"/>
          <w:kern w:val="0"/>
          <w:sz w:val="32"/>
          <w:szCs w:val="22"/>
          <w:highlight w:val="none"/>
        </w:rPr>
        <w:t>含</w:t>
      </w:r>
      <w:r>
        <w:rPr>
          <w:rFonts w:hint="eastAsia" w:ascii="仿宋_GB2312" w:hAnsi="Times New Roman" w:eastAsia="仿宋_GB2312" w:cs="Times New Roman"/>
          <w:color w:val="auto"/>
          <w:spacing w:val="10"/>
          <w:kern w:val="0"/>
          <w:sz w:val="32"/>
          <w:szCs w:val="22"/>
          <w:highlight w:val="none"/>
          <w:lang w:eastAsia="zh-CN"/>
        </w:rPr>
        <w:t>厨房设备主件配件、配套线路、</w:t>
      </w:r>
      <w:r>
        <w:rPr>
          <w:rFonts w:hint="eastAsia" w:ascii="仿宋_GB2312" w:hAnsi="Times New Roman" w:eastAsia="仿宋_GB2312" w:cs="Times New Roman"/>
          <w:color w:val="auto"/>
          <w:spacing w:val="10"/>
          <w:kern w:val="0"/>
          <w:sz w:val="32"/>
          <w:szCs w:val="22"/>
          <w:highlight w:val="none"/>
        </w:rPr>
        <w:t>安装、辅材</w:t>
      </w:r>
      <w:r>
        <w:rPr>
          <w:rFonts w:hint="eastAsia" w:ascii="仿宋_GB2312" w:hAnsi="Times New Roman" w:eastAsia="仿宋_GB2312" w:cs="Times New Roman"/>
          <w:color w:val="auto"/>
          <w:spacing w:val="10"/>
          <w:kern w:val="0"/>
          <w:sz w:val="32"/>
          <w:szCs w:val="22"/>
          <w:highlight w:val="none"/>
          <w:lang w:eastAsia="zh-CN"/>
        </w:rPr>
        <w:t>、</w:t>
      </w:r>
      <w:r>
        <w:rPr>
          <w:rFonts w:hint="eastAsia" w:ascii="仿宋_GB2312" w:hAnsi="Times New Roman" w:eastAsia="仿宋_GB2312" w:cs="Times New Roman"/>
          <w:color w:val="auto"/>
          <w:spacing w:val="10"/>
          <w:kern w:val="0"/>
          <w:sz w:val="32"/>
          <w:szCs w:val="22"/>
          <w:highlight w:val="none"/>
        </w:rPr>
        <w:t>运输费、调试、保修、</w:t>
      </w:r>
      <w:r>
        <w:rPr>
          <w:rFonts w:hint="eastAsia" w:ascii="仿宋_GB2312" w:hAnsi="Times New Roman" w:eastAsia="仿宋_GB2312" w:cs="Times New Roman"/>
          <w:color w:val="auto"/>
          <w:spacing w:val="10"/>
          <w:kern w:val="0"/>
          <w:sz w:val="32"/>
          <w:szCs w:val="22"/>
          <w:highlight w:val="none"/>
          <w:lang w:eastAsia="zh-CN"/>
        </w:rPr>
        <w:t>培训</w:t>
      </w:r>
      <w:r>
        <w:rPr>
          <w:rFonts w:hint="eastAsia" w:ascii="仿宋_GB2312" w:hAnsi="Times New Roman" w:eastAsia="仿宋_GB2312" w:cs="Times New Roman"/>
          <w:color w:val="auto"/>
          <w:spacing w:val="10"/>
          <w:kern w:val="0"/>
          <w:sz w:val="32"/>
          <w:szCs w:val="22"/>
          <w:highlight w:val="none"/>
        </w:rPr>
        <w:t>、税金等</w:t>
      </w:r>
      <w:r>
        <w:rPr>
          <w:rFonts w:hint="default" w:ascii="仿宋_GB2312" w:hAnsi="Times New Roman" w:eastAsia="仿宋_GB2312" w:cs="Times New Roman"/>
          <w:color w:val="auto"/>
          <w:spacing w:val="10"/>
          <w:kern w:val="0"/>
          <w:sz w:val="32"/>
          <w:szCs w:val="22"/>
          <w:highlight w:val="none"/>
        </w:rPr>
        <w:t>全部</w:t>
      </w:r>
      <w:r>
        <w:rPr>
          <w:rFonts w:hint="eastAsia" w:ascii="仿宋_GB2312" w:hAnsi="Times New Roman" w:eastAsia="仿宋_GB2312" w:cs="Times New Roman"/>
          <w:color w:val="auto"/>
          <w:spacing w:val="10"/>
          <w:kern w:val="0"/>
          <w:sz w:val="32"/>
          <w:szCs w:val="22"/>
          <w:highlight w:val="none"/>
        </w:rPr>
        <w:t>费用</w:t>
      </w:r>
      <w:r>
        <w:rPr>
          <w:rFonts w:hint="eastAsia" w:ascii="仿宋_GB2312" w:hAnsi="Times New Roman" w:eastAsia="仿宋_GB2312" w:cs="Times New Roman"/>
          <w:color w:val="auto"/>
          <w:spacing w:val="10"/>
          <w:kern w:val="0"/>
          <w:sz w:val="32"/>
          <w:szCs w:val="22"/>
          <w:highlight w:val="none"/>
          <w:lang w:eastAsia="zh-CN"/>
        </w:rPr>
        <w:t>和</w:t>
      </w:r>
      <w:r>
        <w:rPr>
          <w:rFonts w:hint="eastAsia" w:ascii="仿宋_GB2312" w:hAnsi="Times New Roman" w:eastAsia="仿宋_GB2312" w:cs="Times New Roman"/>
          <w:color w:val="auto"/>
          <w:spacing w:val="10"/>
          <w:kern w:val="0"/>
          <w:sz w:val="32"/>
          <w:szCs w:val="22"/>
          <w:highlight w:val="none"/>
        </w:rPr>
        <w:t>验收合格交付使用之前以及技术和售后服务等其他各项有关费用。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highlight w:val="none"/>
          <w:lang w:eastAsia="zh-CN"/>
        </w:rPr>
        <w:t>项目预算控制价以区财政批复预算为准，在设备安装前，采购方可视批复预算总金额进行预算内调整。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highlight w:val="none"/>
          <w:lang w:eastAsia="zh-CN"/>
        </w:rPr>
        <w:t>项目报价按照第三条、第（一）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highlight w:val="none"/>
          <w:lang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highlight w:val="none"/>
          <w:lang w:eastAsia="zh-CN"/>
        </w:rPr>
        <w:t>的采购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highlight w:val="none"/>
          <w:lang w:eastAsia="zh-CN"/>
        </w:rPr>
        <w:t>清单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highlight w:val="none"/>
          <w:lang w:eastAsia="zh-CN"/>
        </w:rPr>
        <w:t>的格式进行报价。</w:t>
      </w:r>
    </w:p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pacing w:val="10"/>
          <w:sz w:val="32"/>
          <w:szCs w:val="22"/>
          <w:highlight w:val="none"/>
          <w:lang w:val="en-US" w:eastAsia="zh-CN"/>
        </w:rPr>
        <w:t>（三）</w:t>
      </w:r>
      <w:r>
        <w:rPr>
          <w:rFonts w:hint="eastAsia" w:ascii="仿宋_GB2312" w:eastAsia="仿宋_GB2312"/>
          <w:b/>
          <w:bCs/>
          <w:color w:val="auto"/>
          <w:spacing w:val="10"/>
          <w:sz w:val="32"/>
          <w:szCs w:val="22"/>
          <w:highlight w:val="none"/>
        </w:rPr>
        <w:t>投标总报价不得高</w:t>
      </w:r>
      <w:r>
        <w:rPr>
          <w:rFonts w:hint="eastAsia" w:ascii="仿宋_GB2312" w:eastAsia="仿宋_GB2312"/>
          <w:b/>
          <w:bCs/>
          <w:color w:val="auto"/>
          <w:spacing w:val="10"/>
          <w:sz w:val="32"/>
          <w:szCs w:val="22"/>
          <w:highlight w:val="none"/>
          <w:lang w:val="en-US" w:eastAsia="zh-CN"/>
        </w:rPr>
        <w:t>于97.527222万元</w:t>
      </w:r>
      <w:r>
        <w:rPr>
          <w:rFonts w:hint="default" w:ascii="仿宋_GB2312" w:eastAsia="仿宋_GB2312"/>
          <w:b/>
          <w:bCs/>
          <w:color w:val="auto"/>
          <w:spacing w:val="10"/>
          <w:sz w:val="32"/>
          <w:szCs w:val="22"/>
          <w:highlight w:val="none"/>
        </w:rPr>
        <w:t>，</w:t>
      </w:r>
      <w:r>
        <w:rPr>
          <w:rFonts w:hint="eastAsia" w:ascii="仿宋_GB2312" w:eastAsia="仿宋_GB2312"/>
          <w:b/>
          <w:bCs/>
          <w:color w:val="auto"/>
          <w:spacing w:val="10"/>
          <w:sz w:val="32"/>
          <w:szCs w:val="22"/>
          <w:highlight w:val="none"/>
          <w:lang w:eastAsia="zh-CN"/>
        </w:rPr>
        <w:t>投标单位分厨房设备和</w:t>
      </w:r>
      <w:r>
        <w:rPr>
          <w:rFonts w:hint="eastAsia" w:ascii="仿宋_GB2312" w:eastAsia="仿宋_GB2312"/>
          <w:b/>
          <w:bCs/>
          <w:color w:val="auto"/>
          <w:spacing w:val="10"/>
          <w:sz w:val="32"/>
          <w:szCs w:val="22"/>
          <w:highlight w:val="none"/>
          <w:lang w:val="en-US" w:eastAsia="zh-CN"/>
        </w:rPr>
        <w:t>配套线路安装及配件两</w:t>
      </w:r>
      <w:r>
        <w:rPr>
          <w:rFonts w:hint="eastAsia" w:ascii="仿宋_GB2312" w:eastAsia="仿宋_GB2312"/>
          <w:b/>
          <w:bCs/>
          <w:color w:val="auto"/>
          <w:spacing w:val="10"/>
          <w:sz w:val="32"/>
          <w:szCs w:val="22"/>
          <w:highlight w:val="none"/>
          <w:lang w:eastAsia="zh-CN"/>
        </w:rPr>
        <w:t>部分进行报价，其中</w:t>
      </w:r>
      <w:r>
        <w:rPr>
          <w:rFonts w:hint="eastAsia" w:ascii="仿宋_GB2312" w:eastAsia="仿宋_GB2312"/>
          <w:b/>
          <w:bCs/>
          <w:color w:val="auto"/>
          <w:spacing w:val="10"/>
          <w:sz w:val="32"/>
          <w:szCs w:val="22"/>
          <w:highlight w:val="none"/>
          <w:lang w:val="en-US" w:eastAsia="zh-CN"/>
        </w:rPr>
        <w:t>1.</w:t>
      </w:r>
      <w:r>
        <w:rPr>
          <w:rFonts w:hint="eastAsia" w:ascii="仿宋_GB2312" w:eastAsia="仿宋_GB2312"/>
          <w:b/>
          <w:bCs/>
          <w:color w:val="auto"/>
          <w:spacing w:val="10"/>
          <w:sz w:val="32"/>
          <w:szCs w:val="22"/>
          <w:highlight w:val="none"/>
          <w:lang w:eastAsia="zh-CN"/>
        </w:rPr>
        <w:t>厨房设备费用的报价不能超过</w:t>
      </w:r>
      <w:r>
        <w:rPr>
          <w:rFonts w:hint="eastAsia" w:ascii="仿宋_GB2312" w:eastAsia="仿宋_GB2312"/>
          <w:b/>
          <w:bCs/>
          <w:color w:val="auto"/>
          <w:spacing w:val="10"/>
          <w:sz w:val="32"/>
          <w:szCs w:val="22"/>
          <w:highlight w:val="none"/>
          <w:lang w:val="en-US" w:eastAsia="zh-CN"/>
        </w:rPr>
        <w:t>66.1208万元；2.配套线路安装及配件等费用的报价不能超过31.406422万元，</w:t>
      </w:r>
      <w:r>
        <w:rPr>
          <w:rFonts w:hint="eastAsia" w:ascii="仿宋_GB2312" w:eastAsia="仿宋_GB2312"/>
          <w:b/>
          <w:bCs/>
          <w:color w:val="auto"/>
          <w:spacing w:val="10"/>
          <w:sz w:val="32"/>
          <w:szCs w:val="22"/>
          <w:highlight w:val="none"/>
          <w:lang w:eastAsia="zh-CN"/>
        </w:rPr>
        <w:t>否则</w:t>
      </w:r>
      <w:r>
        <w:rPr>
          <w:rFonts w:hint="eastAsia" w:ascii="仿宋_GB2312" w:eastAsia="仿宋_GB2312"/>
          <w:b/>
          <w:bCs/>
          <w:color w:val="auto"/>
          <w:spacing w:val="10"/>
          <w:sz w:val="32"/>
          <w:szCs w:val="22"/>
          <w:highlight w:val="none"/>
        </w:rPr>
        <w:t>废除投标资格。</w:t>
      </w:r>
      <w:r>
        <w:rPr>
          <w:rFonts w:hint="eastAsia" w:ascii="仿宋_GB2312" w:eastAsia="仿宋_GB2312"/>
          <w:b/>
          <w:bCs/>
          <w:color w:val="auto"/>
          <w:spacing w:val="10"/>
          <w:sz w:val="32"/>
          <w:szCs w:val="22"/>
          <w:highlight w:val="none"/>
          <w:lang w:val="en-US" w:eastAsia="zh-CN"/>
        </w:rPr>
        <w:t xml:space="preserve">   </w:t>
      </w:r>
    </w:p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rPr>
          <w:color w:val="auto"/>
          <w:highlight w:val="none"/>
        </w:rPr>
      </w:pPr>
    </w:p>
    <w:sectPr>
      <w:footerReference r:id="rId3" w:type="default"/>
      <w:pgSz w:w="11906" w:h="16838"/>
      <w:pgMar w:top="2154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CDEDD"/>
    <w:multiLevelType w:val="singleLevel"/>
    <w:tmpl w:val="F20CDE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MTEzMmNiNGI5MjJmODEzMWU2OWRjNjA3NmU3OWQifQ=="/>
  </w:docVars>
  <w:rsids>
    <w:rsidRoot w:val="19B77064"/>
    <w:rsid w:val="00301063"/>
    <w:rsid w:val="00476DEC"/>
    <w:rsid w:val="00D34EFC"/>
    <w:rsid w:val="019C21AE"/>
    <w:rsid w:val="01EB724E"/>
    <w:rsid w:val="021C73C3"/>
    <w:rsid w:val="022C52A5"/>
    <w:rsid w:val="025F617E"/>
    <w:rsid w:val="02837130"/>
    <w:rsid w:val="033B23FA"/>
    <w:rsid w:val="03413725"/>
    <w:rsid w:val="037932AD"/>
    <w:rsid w:val="03F03558"/>
    <w:rsid w:val="04A1644A"/>
    <w:rsid w:val="04B236BC"/>
    <w:rsid w:val="05F8708B"/>
    <w:rsid w:val="061F7082"/>
    <w:rsid w:val="062F2523"/>
    <w:rsid w:val="0722584D"/>
    <w:rsid w:val="07227CF5"/>
    <w:rsid w:val="072F3BF9"/>
    <w:rsid w:val="07902F12"/>
    <w:rsid w:val="08233723"/>
    <w:rsid w:val="08751E3F"/>
    <w:rsid w:val="08F77E0C"/>
    <w:rsid w:val="09B50BF1"/>
    <w:rsid w:val="0B674587"/>
    <w:rsid w:val="0BB83EAC"/>
    <w:rsid w:val="0BC4324D"/>
    <w:rsid w:val="0C673BB9"/>
    <w:rsid w:val="0C74160F"/>
    <w:rsid w:val="0CFD4D63"/>
    <w:rsid w:val="0D027890"/>
    <w:rsid w:val="0D283BA5"/>
    <w:rsid w:val="0D60461B"/>
    <w:rsid w:val="0DF46F68"/>
    <w:rsid w:val="0E545297"/>
    <w:rsid w:val="0E5B163F"/>
    <w:rsid w:val="0E772766"/>
    <w:rsid w:val="0EB44E7C"/>
    <w:rsid w:val="0F6069CA"/>
    <w:rsid w:val="0F9640E5"/>
    <w:rsid w:val="0FAE22CD"/>
    <w:rsid w:val="0FF05B1E"/>
    <w:rsid w:val="0FF9266B"/>
    <w:rsid w:val="10A23B9C"/>
    <w:rsid w:val="11802A71"/>
    <w:rsid w:val="11D86FA5"/>
    <w:rsid w:val="11F122DA"/>
    <w:rsid w:val="125970E0"/>
    <w:rsid w:val="12A81EF0"/>
    <w:rsid w:val="131B6383"/>
    <w:rsid w:val="1356560D"/>
    <w:rsid w:val="138F5C4A"/>
    <w:rsid w:val="13C25D85"/>
    <w:rsid w:val="13E4255B"/>
    <w:rsid w:val="14C30681"/>
    <w:rsid w:val="14ED5921"/>
    <w:rsid w:val="162A0B1B"/>
    <w:rsid w:val="16D95C8B"/>
    <w:rsid w:val="170610F8"/>
    <w:rsid w:val="178E7158"/>
    <w:rsid w:val="17B45180"/>
    <w:rsid w:val="17BD56A1"/>
    <w:rsid w:val="17CC79E3"/>
    <w:rsid w:val="17EC2619"/>
    <w:rsid w:val="18084DE5"/>
    <w:rsid w:val="189D534B"/>
    <w:rsid w:val="18BD4469"/>
    <w:rsid w:val="19B77064"/>
    <w:rsid w:val="19E96C24"/>
    <w:rsid w:val="1AE118B8"/>
    <w:rsid w:val="1AFC6A9A"/>
    <w:rsid w:val="1B3501FE"/>
    <w:rsid w:val="1BC647DE"/>
    <w:rsid w:val="1BCE07FF"/>
    <w:rsid w:val="1BE64050"/>
    <w:rsid w:val="1CA429CB"/>
    <w:rsid w:val="1D147E86"/>
    <w:rsid w:val="1D1D31C4"/>
    <w:rsid w:val="1D1D7E63"/>
    <w:rsid w:val="1D2F59C5"/>
    <w:rsid w:val="1D927C2A"/>
    <w:rsid w:val="1DDA5200"/>
    <w:rsid w:val="1E3F1691"/>
    <w:rsid w:val="1E8D39D0"/>
    <w:rsid w:val="1EA8520C"/>
    <w:rsid w:val="1EB630D8"/>
    <w:rsid w:val="1EC347B5"/>
    <w:rsid w:val="1F0C5C61"/>
    <w:rsid w:val="1F381A07"/>
    <w:rsid w:val="1FBFFA5E"/>
    <w:rsid w:val="1FF706A5"/>
    <w:rsid w:val="20570338"/>
    <w:rsid w:val="20C9566F"/>
    <w:rsid w:val="20DC5D35"/>
    <w:rsid w:val="20E214DD"/>
    <w:rsid w:val="211F239D"/>
    <w:rsid w:val="212705E9"/>
    <w:rsid w:val="213A5BDB"/>
    <w:rsid w:val="221F0A2C"/>
    <w:rsid w:val="223A365C"/>
    <w:rsid w:val="22903B49"/>
    <w:rsid w:val="2295338C"/>
    <w:rsid w:val="23222E59"/>
    <w:rsid w:val="234C013C"/>
    <w:rsid w:val="23517C4F"/>
    <w:rsid w:val="23537319"/>
    <w:rsid w:val="235D0D79"/>
    <w:rsid w:val="237D7B4B"/>
    <w:rsid w:val="23C45BB1"/>
    <w:rsid w:val="24375135"/>
    <w:rsid w:val="24391BE6"/>
    <w:rsid w:val="244D64C3"/>
    <w:rsid w:val="24F64197"/>
    <w:rsid w:val="25145328"/>
    <w:rsid w:val="25477D82"/>
    <w:rsid w:val="25870486"/>
    <w:rsid w:val="25EF1778"/>
    <w:rsid w:val="265942F9"/>
    <w:rsid w:val="26A2363F"/>
    <w:rsid w:val="26FD2EE4"/>
    <w:rsid w:val="27040FC7"/>
    <w:rsid w:val="272C79C6"/>
    <w:rsid w:val="275639D6"/>
    <w:rsid w:val="27903B66"/>
    <w:rsid w:val="279838DD"/>
    <w:rsid w:val="291F7490"/>
    <w:rsid w:val="29262FDB"/>
    <w:rsid w:val="293F11EE"/>
    <w:rsid w:val="29A51144"/>
    <w:rsid w:val="29A52B1B"/>
    <w:rsid w:val="2BA4138E"/>
    <w:rsid w:val="2C2922D7"/>
    <w:rsid w:val="2C792B1E"/>
    <w:rsid w:val="2C7F03CA"/>
    <w:rsid w:val="2CCD6F06"/>
    <w:rsid w:val="2D5908CB"/>
    <w:rsid w:val="2D81332B"/>
    <w:rsid w:val="2E05616C"/>
    <w:rsid w:val="2EA206A2"/>
    <w:rsid w:val="2ED35195"/>
    <w:rsid w:val="2F4C2211"/>
    <w:rsid w:val="2F7F3A09"/>
    <w:rsid w:val="2FCC7C1D"/>
    <w:rsid w:val="2FF66119"/>
    <w:rsid w:val="2FFD7444"/>
    <w:rsid w:val="30073691"/>
    <w:rsid w:val="3008735E"/>
    <w:rsid w:val="306114CE"/>
    <w:rsid w:val="30D77290"/>
    <w:rsid w:val="311A495B"/>
    <w:rsid w:val="3153638C"/>
    <w:rsid w:val="31CF26D6"/>
    <w:rsid w:val="31D63C49"/>
    <w:rsid w:val="321D524B"/>
    <w:rsid w:val="322E3435"/>
    <w:rsid w:val="334E49A9"/>
    <w:rsid w:val="33812387"/>
    <w:rsid w:val="34633A4D"/>
    <w:rsid w:val="347A793A"/>
    <w:rsid w:val="34E741EB"/>
    <w:rsid w:val="34EB4C2D"/>
    <w:rsid w:val="34F52D2B"/>
    <w:rsid w:val="350E7825"/>
    <w:rsid w:val="35154ED0"/>
    <w:rsid w:val="355275CF"/>
    <w:rsid w:val="356F4547"/>
    <w:rsid w:val="35821B03"/>
    <w:rsid w:val="358264E3"/>
    <w:rsid w:val="359B6FDE"/>
    <w:rsid w:val="35F01E89"/>
    <w:rsid w:val="35FF366F"/>
    <w:rsid w:val="36377FBE"/>
    <w:rsid w:val="366006E7"/>
    <w:rsid w:val="367D21E7"/>
    <w:rsid w:val="36F96BF3"/>
    <w:rsid w:val="37EF7E76"/>
    <w:rsid w:val="37F50AD5"/>
    <w:rsid w:val="37F60FEE"/>
    <w:rsid w:val="38631891"/>
    <w:rsid w:val="389F4BD6"/>
    <w:rsid w:val="38CC71EE"/>
    <w:rsid w:val="39A3778C"/>
    <w:rsid w:val="39D35A13"/>
    <w:rsid w:val="39ED6243"/>
    <w:rsid w:val="3A4165E2"/>
    <w:rsid w:val="3B3824B9"/>
    <w:rsid w:val="3B8C1FA8"/>
    <w:rsid w:val="3BED6511"/>
    <w:rsid w:val="3BF0238C"/>
    <w:rsid w:val="3C0A3BF1"/>
    <w:rsid w:val="3C346AB8"/>
    <w:rsid w:val="3C7452CC"/>
    <w:rsid w:val="3C93234E"/>
    <w:rsid w:val="3C973026"/>
    <w:rsid w:val="3CD559DC"/>
    <w:rsid w:val="3CDA7307"/>
    <w:rsid w:val="3CDFF247"/>
    <w:rsid w:val="3CF5A950"/>
    <w:rsid w:val="3D510832"/>
    <w:rsid w:val="3D630247"/>
    <w:rsid w:val="3DF84AC8"/>
    <w:rsid w:val="3DFD6BC3"/>
    <w:rsid w:val="3DFF853B"/>
    <w:rsid w:val="3DFFF6A3"/>
    <w:rsid w:val="3E197EDF"/>
    <w:rsid w:val="3E7B054D"/>
    <w:rsid w:val="3EBFBA63"/>
    <w:rsid w:val="3EDE5AC4"/>
    <w:rsid w:val="3F75ACF5"/>
    <w:rsid w:val="3F7BDABB"/>
    <w:rsid w:val="3FDEE91F"/>
    <w:rsid w:val="403220B6"/>
    <w:rsid w:val="40CC685D"/>
    <w:rsid w:val="40F10EA7"/>
    <w:rsid w:val="41CB5A48"/>
    <w:rsid w:val="41E0113A"/>
    <w:rsid w:val="42213FC1"/>
    <w:rsid w:val="42441C24"/>
    <w:rsid w:val="427C48FC"/>
    <w:rsid w:val="42F93A27"/>
    <w:rsid w:val="438F22F2"/>
    <w:rsid w:val="443F0C1E"/>
    <w:rsid w:val="444924A1"/>
    <w:rsid w:val="449C2D84"/>
    <w:rsid w:val="44C13F46"/>
    <w:rsid w:val="44C17138"/>
    <w:rsid w:val="45520930"/>
    <w:rsid w:val="455C266A"/>
    <w:rsid w:val="4583068E"/>
    <w:rsid w:val="46110391"/>
    <w:rsid w:val="46211681"/>
    <w:rsid w:val="46777757"/>
    <w:rsid w:val="469A5235"/>
    <w:rsid w:val="46A31779"/>
    <w:rsid w:val="46E22278"/>
    <w:rsid w:val="46EC22D2"/>
    <w:rsid w:val="46F05561"/>
    <w:rsid w:val="473F7B8B"/>
    <w:rsid w:val="47496F93"/>
    <w:rsid w:val="474B5ECD"/>
    <w:rsid w:val="4776759F"/>
    <w:rsid w:val="47E55815"/>
    <w:rsid w:val="481246E2"/>
    <w:rsid w:val="486F7555"/>
    <w:rsid w:val="49191B7E"/>
    <w:rsid w:val="4A4D5D22"/>
    <w:rsid w:val="4A524638"/>
    <w:rsid w:val="4B396B91"/>
    <w:rsid w:val="4B500479"/>
    <w:rsid w:val="4B994E1B"/>
    <w:rsid w:val="4C112BC0"/>
    <w:rsid w:val="4C153CDE"/>
    <w:rsid w:val="4C265C6D"/>
    <w:rsid w:val="4C65144C"/>
    <w:rsid w:val="4C701E77"/>
    <w:rsid w:val="4D74511D"/>
    <w:rsid w:val="4D8E1D1D"/>
    <w:rsid w:val="4DE20421"/>
    <w:rsid w:val="4E82486A"/>
    <w:rsid w:val="4EA30112"/>
    <w:rsid w:val="4F6B61E2"/>
    <w:rsid w:val="4FD32EDB"/>
    <w:rsid w:val="4FDFE609"/>
    <w:rsid w:val="4FDFFFB2"/>
    <w:rsid w:val="500A342C"/>
    <w:rsid w:val="502142D2"/>
    <w:rsid w:val="5022584A"/>
    <w:rsid w:val="51024103"/>
    <w:rsid w:val="511509CB"/>
    <w:rsid w:val="511932BC"/>
    <w:rsid w:val="51350A98"/>
    <w:rsid w:val="5187285A"/>
    <w:rsid w:val="521560B8"/>
    <w:rsid w:val="52293F0F"/>
    <w:rsid w:val="529F6996"/>
    <w:rsid w:val="52A410B3"/>
    <w:rsid w:val="52D25281"/>
    <w:rsid w:val="533D728C"/>
    <w:rsid w:val="53CA2727"/>
    <w:rsid w:val="548F489E"/>
    <w:rsid w:val="54A27046"/>
    <w:rsid w:val="54AA1D6F"/>
    <w:rsid w:val="552E4A3F"/>
    <w:rsid w:val="556F1F95"/>
    <w:rsid w:val="55A50C82"/>
    <w:rsid w:val="55CD4444"/>
    <w:rsid w:val="55DC58C4"/>
    <w:rsid w:val="55EE1718"/>
    <w:rsid w:val="56B7749A"/>
    <w:rsid w:val="579E08FE"/>
    <w:rsid w:val="57E6CAE0"/>
    <w:rsid w:val="58211B84"/>
    <w:rsid w:val="58622295"/>
    <w:rsid w:val="5A1C13C6"/>
    <w:rsid w:val="5A73345B"/>
    <w:rsid w:val="5AAC50E0"/>
    <w:rsid w:val="5AC443B9"/>
    <w:rsid w:val="5B8C5CD1"/>
    <w:rsid w:val="5BA81843"/>
    <w:rsid w:val="5CE1396A"/>
    <w:rsid w:val="5DBB1859"/>
    <w:rsid w:val="5E0F6D15"/>
    <w:rsid w:val="5E4F54AD"/>
    <w:rsid w:val="5E931B83"/>
    <w:rsid w:val="5EBF6D5A"/>
    <w:rsid w:val="5F157863"/>
    <w:rsid w:val="5F2C0E58"/>
    <w:rsid w:val="5FB32A85"/>
    <w:rsid w:val="5FFB6592"/>
    <w:rsid w:val="5FFFB797"/>
    <w:rsid w:val="602C4AE6"/>
    <w:rsid w:val="60740BE1"/>
    <w:rsid w:val="607F0C17"/>
    <w:rsid w:val="608368E3"/>
    <w:rsid w:val="61292BC0"/>
    <w:rsid w:val="61786480"/>
    <w:rsid w:val="619B02A2"/>
    <w:rsid w:val="61DB660E"/>
    <w:rsid w:val="623D2718"/>
    <w:rsid w:val="63CF26AE"/>
    <w:rsid w:val="640420AA"/>
    <w:rsid w:val="642B2E3F"/>
    <w:rsid w:val="64345CAB"/>
    <w:rsid w:val="64966BE4"/>
    <w:rsid w:val="651F45F1"/>
    <w:rsid w:val="65560D68"/>
    <w:rsid w:val="656C3BC1"/>
    <w:rsid w:val="65BB6541"/>
    <w:rsid w:val="65CC0187"/>
    <w:rsid w:val="65E86887"/>
    <w:rsid w:val="664B5AB3"/>
    <w:rsid w:val="666D2985"/>
    <w:rsid w:val="66A27DF7"/>
    <w:rsid w:val="66A312A8"/>
    <w:rsid w:val="66EC3CA2"/>
    <w:rsid w:val="675157A3"/>
    <w:rsid w:val="678849CE"/>
    <w:rsid w:val="67FF186B"/>
    <w:rsid w:val="68223326"/>
    <w:rsid w:val="689E5A24"/>
    <w:rsid w:val="68BE304E"/>
    <w:rsid w:val="68E66FDF"/>
    <w:rsid w:val="69531868"/>
    <w:rsid w:val="69B92A13"/>
    <w:rsid w:val="69CF01BB"/>
    <w:rsid w:val="69EA3A2A"/>
    <w:rsid w:val="6A086EC1"/>
    <w:rsid w:val="6A20124A"/>
    <w:rsid w:val="6A805E6D"/>
    <w:rsid w:val="6AA031CD"/>
    <w:rsid w:val="6B2170EE"/>
    <w:rsid w:val="6B500B66"/>
    <w:rsid w:val="6BDFF168"/>
    <w:rsid w:val="6BFA6D45"/>
    <w:rsid w:val="6CF30418"/>
    <w:rsid w:val="6D2D79CF"/>
    <w:rsid w:val="6D3722AC"/>
    <w:rsid w:val="6DF25C2D"/>
    <w:rsid w:val="6DFDDBF0"/>
    <w:rsid w:val="6DFEC368"/>
    <w:rsid w:val="6E100C2F"/>
    <w:rsid w:val="6E1B437E"/>
    <w:rsid w:val="6E3E5D92"/>
    <w:rsid w:val="6E816FD5"/>
    <w:rsid w:val="6E961391"/>
    <w:rsid w:val="6EEB2CE5"/>
    <w:rsid w:val="6F230DA1"/>
    <w:rsid w:val="6F6ECC6F"/>
    <w:rsid w:val="6F7D7553"/>
    <w:rsid w:val="6FCA7781"/>
    <w:rsid w:val="6FCE6EAD"/>
    <w:rsid w:val="6FD827A7"/>
    <w:rsid w:val="6FDC010B"/>
    <w:rsid w:val="6FDFE548"/>
    <w:rsid w:val="6FEA5F7C"/>
    <w:rsid w:val="6FFF4A80"/>
    <w:rsid w:val="701E5686"/>
    <w:rsid w:val="70234D04"/>
    <w:rsid w:val="702B1AC9"/>
    <w:rsid w:val="705A3969"/>
    <w:rsid w:val="70B66E2C"/>
    <w:rsid w:val="710564EC"/>
    <w:rsid w:val="712B6C0D"/>
    <w:rsid w:val="722764B0"/>
    <w:rsid w:val="72A07D51"/>
    <w:rsid w:val="72FBC569"/>
    <w:rsid w:val="73460DE7"/>
    <w:rsid w:val="73AF5714"/>
    <w:rsid w:val="73BC5614"/>
    <w:rsid w:val="75895D74"/>
    <w:rsid w:val="75B715BA"/>
    <w:rsid w:val="75E5F936"/>
    <w:rsid w:val="75F717C7"/>
    <w:rsid w:val="765F7FCC"/>
    <w:rsid w:val="76AA0823"/>
    <w:rsid w:val="76F9929B"/>
    <w:rsid w:val="76FBCD8A"/>
    <w:rsid w:val="777F90F8"/>
    <w:rsid w:val="779E77C2"/>
    <w:rsid w:val="77A2747A"/>
    <w:rsid w:val="77DA292E"/>
    <w:rsid w:val="77F30F0F"/>
    <w:rsid w:val="77FF498C"/>
    <w:rsid w:val="78B13801"/>
    <w:rsid w:val="79325E63"/>
    <w:rsid w:val="797F1C34"/>
    <w:rsid w:val="7A4A06E8"/>
    <w:rsid w:val="7AA5112D"/>
    <w:rsid w:val="7AEBB497"/>
    <w:rsid w:val="7B3FD242"/>
    <w:rsid w:val="7B9F46C1"/>
    <w:rsid w:val="7BAB31BA"/>
    <w:rsid w:val="7BBF87AE"/>
    <w:rsid w:val="7BFEC0DD"/>
    <w:rsid w:val="7C280598"/>
    <w:rsid w:val="7C9673D6"/>
    <w:rsid w:val="7CF747AE"/>
    <w:rsid w:val="7D6D7FBA"/>
    <w:rsid w:val="7D6F6C79"/>
    <w:rsid w:val="7D9A9983"/>
    <w:rsid w:val="7DDF02D6"/>
    <w:rsid w:val="7DFF2B8C"/>
    <w:rsid w:val="7E42566A"/>
    <w:rsid w:val="7E49564F"/>
    <w:rsid w:val="7EBFA989"/>
    <w:rsid w:val="7EC80F15"/>
    <w:rsid w:val="7EDF1595"/>
    <w:rsid w:val="7EFE5DAC"/>
    <w:rsid w:val="7F142C67"/>
    <w:rsid w:val="7F2317B7"/>
    <w:rsid w:val="7F356760"/>
    <w:rsid w:val="7F4974D0"/>
    <w:rsid w:val="7F6F6D0C"/>
    <w:rsid w:val="7F9BCA30"/>
    <w:rsid w:val="7FDDCC88"/>
    <w:rsid w:val="7FE63948"/>
    <w:rsid w:val="7FEF0F31"/>
    <w:rsid w:val="7FFAD2D9"/>
    <w:rsid w:val="7FFECD25"/>
    <w:rsid w:val="874F78C7"/>
    <w:rsid w:val="9FD2C979"/>
    <w:rsid w:val="A9FF43FA"/>
    <w:rsid w:val="ADD2CCD7"/>
    <w:rsid w:val="B76EF76A"/>
    <w:rsid w:val="B7EDC2DF"/>
    <w:rsid w:val="BA65FF43"/>
    <w:rsid w:val="BE3F9BCE"/>
    <w:rsid w:val="C946C1D4"/>
    <w:rsid w:val="CDF9C08D"/>
    <w:rsid w:val="CFDB2AE2"/>
    <w:rsid w:val="D3D39A89"/>
    <w:rsid w:val="D5AAA050"/>
    <w:rsid w:val="D93F11AC"/>
    <w:rsid w:val="DEEFE498"/>
    <w:rsid w:val="DFFB45DC"/>
    <w:rsid w:val="DFFF15BB"/>
    <w:rsid w:val="DFFF94D7"/>
    <w:rsid w:val="E501C358"/>
    <w:rsid w:val="E86F82F8"/>
    <w:rsid w:val="EAFBC105"/>
    <w:rsid w:val="EBFC29A5"/>
    <w:rsid w:val="EC7FBADF"/>
    <w:rsid w:val="EEFF884A"/>
    <w:rsid w:val="EF738DB6"/>
    <w:rsid w:val="EF8D03CD"/>
    <w:rsid w:val="EF9B7B46"/>
    <w:rsid w:val="EFC7578D"/>
    <w:rsid w:val="EFFCCC4E"/>
    <w:rsid w:val="EFFEB404"/>
    <w:rsid w:val="F1593724"/>
    <w:rsid w:val="F76B9300"/>
    <w:rsid w:val="F7F5E3AA"/>
    <w:rsid w:val="F7F9673E"/>
    <w:rsid w:val="F7FE9435"/>
    <w:rsid w:val="FB3E9812"/>
    <w:rsid w:val="FB5F2696"/>
    <w:rsid w:val="FBE37F5B"/>
    <w:rsid w:val="FC576FEA"/>
    <w:rsid w:val="FDBF498A"/>
    <w:rsid w:val="FDDC84EC"/>
    <w:rsid w:val="FE967B1D"/>
    <w:rsid w:val="FE9FC71E"/>
    <w:rsid w:val="FEBF6770"/>
    <w:rsid w:val="FEDFC297"/>
    <w:rsid w:val="FEF7FCE9"/>
    <w:rsid w:val="FF6FF925"/>
    <w:rsid w:val="FF7D89B9"/>
    <w:rsid w:val="FF85AD32"/>
    <w:rsid w:val="FF9F43A4"/>
    <w:rsid w:val="FFBCF535"/>
    <w:rsid w:val="FFBD114F"/>
    <w:rsid w:val="FFBE77E9"/>
    <w:rsid w:val="FFCB571F"/>
    <w:rsid w:val="FFDF48AD"/>
    <w:rsid w:val="FFFB9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6"/>
    <w:next w:val="1"/>
    <w:qFormat/>
    <w:uiPriority w:val="0"/>
    <w:pPr>
      <w:spacing w:line="415" w:lineRule="auto"/>
      <w:jc w:val="center"/>
      <w:outlineLvl w:val="2"/>
    </w:pPr>
    <w:rPr>
      <w:rFonts w:ascii="Times New Roman" w:hAnsi="Times New Roman" w:eastAsia="宋体"/>
      <w:sz w:val="30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eastAsia="楷体_GB2312"/>
      <w:sz w:val="2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qFormat/>
    <w:uiPriority w:val="99"/>
    <w:pPr>
      <w:tabs>
        <w:tab w:val="left" w:pos="2020"/>
        <w:tab w:val="center" w:pos="4535"/>
      </w:tabs>
      <w:spacing w:line="500" w:lineRule="exact"/>
      <w:outlineLvl w:val="0"/>
    </w:pPr>
    <w:rPr>
      <w:rFonts w:ascii="华文彩云" w:hAnsi="宋体" w:eastAsia="华文彩云"/>
      <w:bCs/>
      <w:color w:val="000000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2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ascii="Calibri" w:hAnsi="Calibri" w:eastAsia="宋体" w:cs="Times New Roman"/>
      <w:sz w:val="21"/>
      <w:szCs w:val="22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"/>
    <w:basedOn w:val="8"/>
    <w:qFormat/>
    <w:uiPriority w:val="99"/>
    <w:pPr>
      <w:spacing w:after="0"/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FollowedHyperlink"/>
    <w:basedOn w:val="16"/>
    <w:qFormat/>
    <w:uiPriority w:val="0"/>
    <w:rPr>
      <w:color w:val="800080"/>
      <w:u w:val="none"/>
    </w:rPr>
  </w:style>
  <w:style w:type="character" w:styleId="19">
    <w:name w:val="Emphasis"/>
    <w:basedOn w:val="16"/>
    <w:qFormat/>
    <w:uiPriority w:val="0"/>
  </w:style>
  <w:style w:type="character" w:styleId="20">
    <w:name w:val="HTML Definition"/>
    <w:basedOn w:val="16"/>
    <w:qFormat/>
    <w:uiPriority w:val="0"/>
  </w:style>
  <w:style w:type="character" w:styleId="21">
    <w:name w:val="HTML Acronym"/>
    <w:basedOn w:val="16"/>
    <w:qFormat/>
    <w:uiPriority w:val="0"/>
  </w:style>
  <w:style w:type="character" w:styleId="22">
    <w:name w:val="HTML Variable"/>
    <w:basedOn w:val="16"/>
    <w:qFormat/>
    <w:uiPriority w:val="0"/>
    <w:rPr>
      <w:color w:val="FF3300"/>
      <w:u w:val="none"/>
    </w:rPr>
  </w:style>
  <w:style w:type="character" w:styleId="23">
    <w:name w:val="Hyperlink"/>
    <w:basedOn w:val="16"/>
    <w:qFormat/>
    <w:uiPriority w:val="0"/>
    <w:rPr>
      <w:color w:val="0000FF"/>
      <w:u w:val="none"/>
    </w:rPr>
  </w:style>
  <w:style w:type="character" w:styleId="24">
    <w:name w:val="HTML Code"/>
    <w:basedOn w:val="16"/>
    <w:qFormat/>
    <w:uiPriority w:val="0"/>
    <w:rPr>
      <w:rFonts w:ascii="Courier New" w:hAnsi="Courier New"/>
      <w:sz w:val="20"/>
    </w:rPr>
  </w:style>
  <w:style w:type="character" w:styleId="25">
    <w:name w:val="annotation reference"/>
    <w:basedOn w:val="16"/>
    <w:qFormat/>
    <w:uiPriority w:val="0"/>
    <w:rPr>
      <w:sz w:val="21"/>
      <w:szCs w:val="21"/>
    </w:rPr>
  </w:style>
  <w:style w:type="character" w:styleId="26">
    <w:name w:val="HTML Cite"/>
    <w:basedOn w:val="16"/>
    <w:qFormat/>
    <w:uiPriority w:val="0"/>
  </w:style>
  <w:style w:type="character" w:customStyle="1" w:styleId="27">
    <w:name w:val="bsharetext"/>
    <w:basedOn w:val="16"/>
    <w:qFormat/>
    <w:uiPriority w:val="0"/>
  </w:style>
  <w:style w:type="character" w:customStyle="1" w:styleId="28">
    <w:name w:val="calendar-head__next-year-btn"/>
    <w:basedOn w:val="16"/>
    <w:qFormat/>
    <w:uiPriority w:val="0"/>
  </w:style>
  <w:style w:type="character" w:customStyle="1" w:styleId="29">
    <w:name w:val="hover2"/>
    <w:basedOn w:val="16"/>
    <w:qFormat/>
    <w:uiPriority w:val="0"/>
    <w:rPr>
      <w:color w:val="2F6EA2"/>
    </w:rPr>
  </w:style>
  <w:style w:type="character" w:customStyle="1" w:styleId="30">
    <w:name w:val="calendar-head__next-range-btn"/>
    <w:basedOn w:val="16"/>
    <w:qFormat/>
    <w:uiPriority w:val="0"/>
    <w:rPr>
      <w:vanish/>
    </w:rPr>
  </w:style>
  <w:style w:type="character" w:customStyle="1" w:styleId="31">
    <w:name w:val="calendar-head__prev-range-btn"/>
    <w:basedOn w:val="16"/>
    <w:qFormat/>
    <w:uiPriority w:val="0"/>
    <w:rPr>
      <w:vanish/>
    </w:rPr>
  </w:style>
  <w:style w:type="character" w:customStyle="1" w:styleId="32">
    <w:name w:val="active4"/>
    <w:basedOn w:val="16"/>
    <w:qFormat/>
    <w:uiPriority w:val="0"/>
    <w:rPr>
      <w:color w:val="333333"/>
    </w:rPr>
  </w:style>
  <w:style w:type="character" w:customStyle="1" w:styleId="33">
    <w:name w:val="calendar-head__text-display"/>
    <w:basedOn w:val="16"/>
    <w:qFormat/>
    <w:uiPriority w:val="0"/>
    <w:rPr>
      <w:vanish/>
    </w:rPr>
  </w:style>
  <w:style w:type="character" w:customStyle="1" w:styleId="34">
    <w:name w:val="calendar-head__next-month-btn"/>
    <w:basedOn w:val="16"/>
    <w:qFormat/>
    <w:uiPriority w:val="0"/>
  </w:style>
  <w:style w:type="character" w:customStyle="1" w:styleId="35">
    <w:name w:val="calendar-head__year-range"/>
    <w:basedOn w:val="16"/>
    <w:qFormat/>
    <w:uiPriority w:val="0"/>
    <w:rPr>
      <w:vanish/>
    </w:rPr>
  </w:style>
  <w:style w:type="character" w:customStyle="1" w:styleId="36">
    <w:name w:val="hover"/>
    <w:basedOn w:val="16"/>
    <w:qFormat/>
    <w:uiPriority w:val="0"/>
    <w:rPr>
      <w:color w:val="2F6EA2"/>
    </w:rPr>
  </w:style>
  <w:style w:type="character" w:customStyle="1" w:styleId="37">
    <w:name w:val="active"/>
    <w:basedOn w:val="16"/>
    <w:qFormat/>
    <w:uiPriority w:val="0"/>
    <w:rPr>
      <w:color w:val="333333"/>
    </w:rPr>
  </w:style>
  <w:style w:type="paragraph" w:customStyle="1" w:styleId="38">
    <w:name w:val="Revision"/>
    <w:hidden/>
    <w:semiHidden/>
    <w:qFormat/>
    <w:uiPriority w:val="99"/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customStyle="1" w:styleId="39">
    <w:name w:val="font01"/>
    <w:basedOn w:val="16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40">
    <w:name w:val="font11"/>
    <w:basedOn w:val="1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966</Words>
  <Characters>1042</Characters>
  <Lines>11</Lines>
  <Paragraphs>3</Paragraphs>
  <TotalTime>6</TotalTime>
  <ScaleCrop>false</ScaleCrop>
  <LinksUpToDate>false</LinksUpToDate>
  <CharactersWithSpaces>1045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2019-04-07T17:44:00Z</dcterms:created>
  <dc:creator>fullmoon</dc:creator>
  <cp:lastModifiedBy>林子扬</cp:lastModifiedBy>
  <cp:lastPrinted>2025-01-13T22:32:00Z</cp:lastPrinted>
  <dcterms:modified xsi:type="dcterms:W3CDTF">2025-01-15T12:37:17Z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B895B4C4064B2EEE7D3B87674275D777</vt:lpwstr>
  </property>
  <property fmtid="{D5CDD505-2E9C-101B-9397-08002B2CF9AE}" pid="4" name="commondata">
    <vt:lpwstr>eyJoZGlkIjoiNjE2MTEzMmNiNGI5MjJmODEzMWU2OWRjNjA3NmU3OWQifQ==</vt:lpwstr>
  </property>
</Properties>
</file>