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80AD29">
      <w:pPr>
        <w:pStyle w:val="2"/>
        <w:keepNext w:val="0"/>
        <w:keepLines w:val="0"/>
        <w:widowControl/>
        <w:suppressLineNumbers w:val="0"/>
        <w:spacing w:before="0" w:beforeAutospacing="1" w:after="0" w:afterAutospacing="1" w:line="560" w:lineRule="atLeast"/>
        <w:ind w:left="0" w:right="0" w:firstLine="0"/>
      </w:pPr>
      <w:r>
        <w:rPr>
          <w:color w:val="000000"/>
          <w:sz w:val="32"/>
          <w:szCs w:val="32"/>
        </w:rPr>
        <w:t>附件1</w:t>
      </w:r>
      <w:r>
        <w:t xml:space="preserve"> </w:t>
      </w:r>
    </w:p>
    <w:p w14:paraId="243CB594">
      <w:pPr>
        <w:pStyle w:val="2"/>
        <w:keepNext w:val="0"/>
        <w:keepLines w:val="0"/>
        <w:widowControl/>
        <w:suppressLineNumbers w:val="0"/>
        <w:spacing w:before="0" w:beforeAutospacing="1" w:after="0" w:afterAutospacing="1" w:line="720" w:lineRule="atLeast"/>
        <w:ind w:left="0" w:right="0"/>
        <w:jc w:val="center"/>
      </w:pPr>
      <w:r>
        <w:rPr>
          <w:rFonts w:hint="eastAsia" w:ascii="方正小标宋_GBK" w:hAnsi="方正小标宋_GBK" w:eastAsia="方正小标宋_GBK" w:cs="方正小标宋_GBK"/>
          <w:color w:val="000000"/>
          <w:sz w:val="44"/>
          <w:szCs w:val="44"/>
        </w:rPr>
        <w:t>排查整治重点内容</w:t>
      </w:r>
      <w:r>
        <w:t xml:space="preserve"> </w:t>
      </w:r>
    </w:p>
    <w:p w14:paraId="185C05F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p>
    <w:p w14:paraId="1D9FC8F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pPr>
      <w:r>
        <w:rPr>
          <w:color w:val="000000"/>
          <w:sz w:val="32"/>
          <w:szCs w:val="32"/>
        </w:rPr>
        <w:t>一、内部治理</w:t>
      </w:r>
      <w:r>
        <w:t xml:space="preserve"> </w:t>
      </w:r>
    </w:p>
    <w:p w14:paraId="3CEABF8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pPr>
      <w:r>
        <w:rPr>
          <w:color w:val="000000"/>
          <w:sz w:val="32"/>
          <w:szCs w:val="32"/>
        </w:rPr>
        <w:t>党建工作虚化弱化，党组织作用发挥不到位；法人治理结构和机制不健全，理事</w:t>
      </w:r>
      <w:bookmarkStart w:id="0" w:name="_GoBack"/>
      <w:bookmarkEnd w:id="0"/>
      <w:r>
        <w:rPr>
          <w:color w:val="000000"/>
          <w:sz w:val="32"/>
          <w:szCs w:val="32"/>
        </w:rPr>
        <w:t>会、监事（会）作用发挥不充分；内控机制和合规管理体系不健全，管理制度不完善或执行不严格；慈善组织负责人、工作人员以及所有与本组织有合作的人员中存在未能坚守公益初心和非营利性底线、法纪和廉洁意识淡薄、道德和职业操守低下等问题。</w:t>
      </w:r>
      <w:r>
        <w:t xml:space="preserve"> </w:t>
      </w:r>
    </w:p>
    <w:p w14:paraId="1DA7C70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pPr>
      <w:r>
        <w:rPr>
          <w:color w:val="000000"/>
          <w:sz w:val="32"/>
          <w:szCs w:val="32"/>
        </w:rPr>
        <w:t>二、机构设置</w:t>
      </w:r>
      <w:r>
        <w:t xml:space="preserve"> </w:t>
      </w:r>
    </w:p>
    <w:p w14:paraId="4306BBD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pPr>
      <w:r>
        <w:rPr>
          <w:color w:val="000000"/>
          <w:sz w:val="32"/>
          <w:szCs w:val="32"/>
        </w:rPr>
        <w:t>违规设置分支机构、代表机构、专项基金；未对分支机构、代表机构、专项基金和慈善项目负责人、工作人员、合作方（企业或社会组织）以及志愿者定期开展教育培训和管理监督；违规设立地域性分支机构，授权合作方变相以地域性分支机构名义开展活动等。</w:t>
      </w:r>
      <w:r>
        <w:t xml:space="preserve"> </w:t>
      </w:r>
    </w:p>
    <w:p w14:paraId="7B8C24D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pPr>
      <w:r>
        <w:rPr>
          <w:color w:val="000000"/>
          <w:sz w:val="32"/>
          <w:szCs w:val="32"/>
        </w:rPr>
        <w:t>三、慈善项目</w:t>
      </w:r>
      <w:r>
        <w:t xml:space="preserve"> </w:t>
      </w:r>
    </w:p>
    <w:p w14:paraId="702632C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pPr>
      <w:r>
        <w:rPr>
          <w:color w:val="000000"/>
          <w:sz w:val="32"/>
          <w:szCs w:val="32"/>
        </w:rPr>
        <w:t>慈善项目管理制度不健全；借开展慈善项目名义从事营利性商业活动；确定受益人时违反公开、公平、公正原则，对受益人附加违反法律法规或社会公德的条件，将受益人及其利害关系人向慈善组织先行捐赠作为给予受益人资助的前提条件；对项目合作（执行）方未开展事前调查、事中监管、事后评估等工作，通过开展项目对合作（执行）方进行利益输送等。</w:t>
      </w:r>
      <w:r>
        <w:t xml:space="preserve"> </w:t>
      </w:r>
    </w:p>
    <w:p w14:paraId="5222405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pPr>
      <w:r>
        <w:rPr>
          <w:color w:val="000000"/>
          <w:sz w:val="32"/>
          <w:szCs w:val="32"/>
        </w:rPr>
        <w:t>四、公开募捐</w:t>
      </w:r>
      <w:r>
        <w:t xml:space="preserve"> </w:t>
      </w:r>
    </w:p>
    <w:p w14:paraId="4F8C5E6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pPr>
      <w:r>
        <w:rPr>
          <w:color w:val="000000"/>
          <w:sz w:val="32"/>
          <w:szCs w:val="32"/>
        </w:rPr>
        <w:t>慈善组织负责人特别是法定代表人履行公开募捐管理第一责任人职责不力；通过虚构事实等方式欺骗、诱导募捐对象实施捐赠；向单位或者个人摊派或者变相摊派；将公开募捐资格采取所谓“出租”“转租”“有偿使用”等方式给其他组织或者个人使用；将募得款物交由其他组织或者个人进行“托管”“代管”；与合作募捐方动员受益人及其利害关系人套取第三方配捐等。</w:t>
      </w:r>
      <w:r>
        <w:t xml:space="preserve"> </w:t>
      </w:r>
    </w:p>
    <w:p w14:paraId="401247A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pPr>
      <w:r>
        <w:rPr>
          <w:color w:val="000000"/>
          <w:sz w:val="32"/>
          <w:szCs w:val="32"/>
        </w:rPr>
        <w:t>五、善款使用</w:t>
      </w:r>
      <w:r>
        <w:t xml:space="preserve"> </w:t>
      </w:r>
    </w:p>
    <w:p w14:paraId="50B62FB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pPr>
      <w:r>
        <w:rPr>
          <w:color w:val="000000"/>
          <w:sz w:val="32"/>
          <w:szCs w:val="32"/>
        </w:rPr>
        <w:t>财产管理使用制度和会计监督制度不健全，执行民间非营利组织会计制度不严格，未规范使用财政部门统一监制的捐赠票据；未对募集的财产及时登记造册、严格管理并定期盘点；未根据章程和捐赠协议的规定，充分、高效运用慈善财产，滥用善款；未征得捐赠人同意变更捐赠协议约定的捐赠财产用途；在发起人、捐赠人以及慈善组织成员中分配财产；存在私分、挪用、截留或者侵占慈善财产的情形等。</w:t>
      </w:r>
      <w:r>
        <w:t xml:space="preserve"> </w:t>
      </w:r>
    </w:p>
    <w:p w14:paraId="34BF6AC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pPr>
      <w:r>
        <w:rPr>
          <w:color w:val="000000"/>
          <w:sz w:val="32"/>
          <w:szCs w:val="32"/>
        </w:rPr>
        <w:t>六、信息公开</w:t>
      </w:r>
      <w:r>
        <w:t xml:space="preserve"> </w:t>
      </w:r>
    </w:p>
    <w:p w14:paraId="68AEFFB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pPr>
      <w:r>
        <w:rPr>
          <w:color w:val="000000"/>
          <w:sz w:val="32"/>
          <w:szCs w:val="32"/>
        </w:rPr>
        <w:t>慈善组织基本信息未公开情况。包括未在全国慈善信息公开平台（以下统称慈善中国平台https://cszg.mca.gov.cn）公开法定基本信息；慈善组织未按照规定和时限在“慈善中国”和“深圳市社会组织信息服务平台”（http://sgj.mzj.sz.gov.cn:9008/#information）上公开年度工作报告和财务会计报告；具有公开募捐资格的慈善组织未按规定公开募捐活动情况；慈善组织未在“慈善中国”平台公开慈善项目情况；慈善组织未在“慈善中国”平台向社会公开重大资产变动及投资、重大交换交易及资金往来、关联交易行为等情况。作为慈善信托受托人的慈善组织未在“慈善中国”平台公开慈善信托设立情况说明；未按规定公开信托业务处理情况报告、财产状况报告，慈善信托变更、终止事由，备案的民政部门要求公开的其他信息等情况。</w:t>
      </w:r>
    </w:p>
    <w:p w14:paraId="4451248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xMGFjZGMwNGE4NDJiZTYwMGFmOTdmZDhiZjAyNDcifQ=="/>
  </w:docVars>
  <w:rsids>
    <w:rsidRoot w:val="22D45927"/>
    <w:rsid w:val="22D45927"/>
    <w:rsid w:val="5B7853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2024-11-18T03:11:00Z</dcterms:created>
  <dc:creator>小鱼儿</dc:creator>
  <cp:lastModifiedBy>小鱼儿</cp:lastModifiedBy>
  <dcterms:modified xsi:type="dcterms:W3CDTF">2024-11-18T03:15:02Z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9CDECAE69B8743CC873E73D457D268D2_11</vt:lpwstr>
  </property>
</Properties>
</file>