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仿宋_GB2312" w:hAnsi="仿宋" w:eastAsia="仿宋_GB2312" w:cs="黑体"/>
          <w:sz w:val="32"/>
          <w:szCs w:val="32"/>
          <w:lang w:eastAsia="zh-CN"/>
        </w:rPr>
      </w:pPr>
      <w:r>
        <w:rPr>
          <w:rFonts w:hint="eastAsia" w:ascii="仿宋_GB2312" w:hAnsi="仿宋" w:eastAsia="仿宋_GB2312" w:cs="黑体"/>
          <w:sz w:val="32"/>
          <w:szCs w:val="32"/>
        </w:rPr>
        <w:t>附件</w:t>
      </w:r>
      <w:r>
        <w:rPr>
          <w:rFonts w:hint="eastAsia" w:ascii="仿宋_GB2312" w:hAnsi="仿宋" w:eastAsia="仿宋_GB2312" w:cs="黑体"/>
          <w:sz w:val="32"/>
          <w:szCs w:val="32"/>
          <w:lang w:val="en-US" w:eastAsia="zh-CN"/>
        </w:rPr>
        <w:t>1</w:t>
      </w:r>
    </w:p>
    <w:p>
      <w:pPr>
        <w:spacing w:line="580" w:lineRule="exact"/>
        <w:jc w:val="center"/>
        <w:rPr>
          <w:rFonts w:ascii="宋体" w:hAnsi="宋体" w:cs="黑体"/>
          <w:sz w:val="40"/>
          <w:szCs w:val="44"/>
        </w:rPr>
      </w:pPr>
      <w:r>
        <w:rPr>
          <w:rFonts w:hint="eastAsia" w:ascii="宋体" w:hAnsi="宋体" w:cs="黑体"/>
          <w:sz w:val="40"/>
          <w:szCs w:val="44"/>
        </w:rPr>
        <w:t>南山区居家养老消费券定点服务机构综合</w:t>
      </w:r>
    </w:p>
    <w:p>
      <w:pPr>
        <w:spacing w:line="580" w:lineRule="exact"/>
        <w:jc w:val="center"/>
        <w:rPr>
          <w:rFonts w:ascii="宋体" w:hAnsi="宋体" w:cs="黑体"/>
          <w:sz w:val="40"/>
          <w:szCs w:val="44"/>
        </w:rPr>
      </w:pPr>
      <w:r>
        <w:rPr>
          <w:rFonts w:hint="eastAsia" w:ascii="宋体" w:hAnsi="宋体" w:cs="黑体"/>
          <w:sz w:val="40"/>
          <w:szCs w:val="44"/>
        </w:rPr>
        <w:t>评估指标体系</w:t>
      </w:r>
    </w:p>
    <w:p>
      <w:pPr>
        <w:spacing w:line="580" w:lineRule="exact"/>
        <w:jc w:val="left"/>
        <w:rPr>
          <w:rFonts w:ascii="仿宋_GB2312" w:hAnsi="仿宋" w:eastAsia="仿宋_GB2312" w:cs="黑体"/>
          <w:sz w:val="32"/>
          <w:szCs w:val="32"/>
        </w:rPr>
      </w:pPr>
    </w:p>
    <w:tbl>
      <w:tblPr>
        <w:tblStyle w:val="5"/>
        <w:tblW w:w="9356" w:type="dxa"/>
        <w:tblInd w:w="-2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21"/>
        <w:gridCol w:w="1815"/>
        <w:gridCol w:w="709"/>
        <w:gridCol w:w="5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8" w:hRule="atLeast"/>
        </w:trPr>
        <w:tc>
          <w:tcPr>
            <w:tcW w:w="1021" w:type="dxa"/>
            <w:vAlign w:val="center"/>
          </w:tcPr>
          <w:p>
            <w:pPr>
              <w:widowControl/>
              <w:spacing w:line="420" w:lineRule="exact"/>
              <w:jc w:val="center"/>
              <w:textAlignment w:val="top"/>
              <w:rPr>
                <w:rFonts w:ascii="仿宋_GB2312" w:eastAsia="仿宋_GB2312"/>
                <w:b/>
                <w:bCs/>
                <w:color w:val="000000"/>
                <w:sz w:val="24"/>
              </w:rPr>
            </w:pPr>
            <w:r>
              <w:rPr>
                <w:rFonts w:hint="eastAsia" w:ascii="仿宋_GB2312" w:hAnsi="宋体" w:eastAsia="仿宋_GB2312" w:cs="宋体"/>
                <w:b/>
                <w:bCs/>
                <w:color w:val="000000"/>
                <w:sz w:val="24"/>
              </w:rPr>
              <w:t>评估类别</w:t>
            </w:r>
          </w:p>
        </w:tc>
        <w:tc>
          <w:tcPr>
            <w:tcW w:w="1815" w:type="dxa"/>
            <w:vAlign w:val="center"/>
          </w:tcPr>
          <w:p>
            <w:pPr>
              <w:widowControl/>
              <w:spacing w:line="420" w:lineRule="exact"/>
              <w:jc w:val="center"/>
              <w:textAlignment w:val="top"/>
              <w:rPr>
                <w:rFonts w:ascii="仿宋_GB2312" w:eastAsia="仿宋_GB2312"/>
                <w:b/>
                <w:bCs/>
                <w:color w:val="000000"/>
                <w:sz w:val="24"/>
              </w:rPr>
            </w:pPr>
            <w:r>
              <w:rPr>
                <w:rFonts w:hint="eastAsia" w:ascii="仿宋_GB2312" w:hAnsi="宋体" w:eastAsia="仿宋_GB2312" w:cs="宋体"/>
                <w:b/>
                <w:bCs/>
                <w:color w:val="000000"/>
                <w:sz w:val="24"/>
              </w:rPr>
              <w:t>评估项目</w:t>
            </w:r>
          </w:p>
        </w:tc>
        <w:tc>
          <w:tcPr>
            <w:tcW w:w="709" w:type="dxa"/>
            <w:vAlign w:val="center"/>
          </w:tcPr>
          <w:p>
            <w:pPr>
              <w:widowControl/>
              <w:spacing w:line="420" w:lineRule="exact"/>
              <w:jc w:val="center"/>
              <w:textAlignment w:val="top"/>
              <w:rPr>
                <w:rFonts w:ascii="仿宋_GB2312" w:eastAsia="仿宋_GB2312"/>
                <w:b/>
                <w:bCs/>
                <w:color w:val="000000"/>
                <w:sz w:val="24"/>
              </w:rPr>
            </w:pPr>
            <w:r>
              <w:rPr>
                <w:rFonts w:hint="eastAsia" w:ascii="仿宋_GB2312" w:hAnsi="宋体" w:eastAsia="仿宋_GB2312" w:cs="宋体"/>
                <w:b/>
                <w:bCs/>
                <w:color w:val="000000"/>
                <w:sz w:val="24"/>
              </w:rPr>
              <w:t>分值</w:t>
            </w:r>
          </w:p>
        </w:tc>
        <w:tc>
          <w:tcPr>
            <w:tcW w:w="5811" w:type="dxa"/>
            <w:vAlign w:val="center"/>
          </w:tcPr>
          <w:p>
            <w:pPr>
              <w:widowControl/>
              <w:spacing w:line="420" w:lineRule="exact"/>
              <w:jc w:val="center"/>
              <w:textAlignment w:val="top"/>
              <w:rPr>
                <w:rFonts w:ascii="仿宋_GB2312" w:eastAsia="仿宋_GB2312"/>
                <w:b/>
                <w:bCs/>
                <w:color w:val="000000"/>
                <w:sz w:val="24"/>
              </w:rPr>
            </w:pPr>
            <w:r>
              <w:rPr>
                <w:rFonts w:hint="eastAsia" w:ascii="仿宋_GB2312" w:hAnsi="宋体" w:eastAsia="仿宋_GB2312" w:cs="宋体"/>
                <w:b/>
                <w:bCs/>
                <w:color w:val="000000"/>
                <w:sz w:val="24"/>
              </w:rPr>
              <w:t>评分规则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宗旨理念</w:t>
            </w: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1、确立为老为残服务的宗旨</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3分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机构章程明确反映为老为残服务宗旨，得3分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2"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top"/>
              <w:rPr>
                <w:rFonts w:ascii="仿宋_GB2312" w:eastAsia="仿宋_GB2312"/>
                <w:color w:val="000000"/>
                <w:sz w:val="24"/>
              </w:rPr>
            </w:pPr>
            <w:r>
              <w:rPr>
                <w:rFonts w:hint="eastAsia" w:ascii="仿宋_GB2312" w:hAnsi="宋体" w:eastAsia="仿宋_GB2312" w:cs="宋体"/>
                <w:color w:val="000000"/>
                <w:sz w:val="24"/>
              </w:rPr>
              <w:t>在机构其他文件中有提出为老为残服务宗旨，得2分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没有为老为残服务宗旨，得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2、制定科学合理的发展规划</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2分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有科学合理，切实可行的发展规划，得2分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6"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有初步完整的发展规划，得1分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没有完整具有发展规划，得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8"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3、成熟的为老、为残服务理念</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2分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具备先进的为老为残服务工作理念，并在市级以上刊物发表有关论文的，得2分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注重先进为老为残服务工作理论学习，有搜集培训资料供员工学习的，得1分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5"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没有相关论文发表，也没有搜集培训资料组织员工学习的，得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08"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4、有说明其服务的宗旨、目标、服务对象、服务的提供方法，以及服务使用者申请接受和退出该项服务机制的服务宣传资料供人查阅</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3分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宣传资料对其服务的宗旨、目标、服务对象、服务的提供方法，以及服务使用者申请接受和退出该项服务机制有完备描述，得3分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16"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宣传资料对其服务的宗旨、目标、服务对象、服务的提供方法，以及服务使用者申请接受和退出该项服务机制描述欠完备，得1-2分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没有相关宣传资料的，得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小计</w:t>
            </w:r>
          </w:p>
        </w:tc>
        <w:tc>
          <w:tcPr>
            <w:tcW w:w="709" w:type="dxa"/>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10分</w:t>
            </w:r>
          </w:p>
        </w:tc>
        <w:tc>
          <w:tcPr>
            <w:tcW w:w="5811" w:type="dxa"/>
            <w:vAlign w:val="center"/>
          </w:tcPr>
          <w:p>
            <w:pPr>
              <w:spacing w:line="420" w:lineRule="exact"/>
              <w:jc w:val="left"/>
              <w:rPr>
                <w:rFonts w:ascii="仿宋_GB2312" w:eastAsia="仿宋_GB2312"/>
                <w:color w:val="000000"/>
                <w:sz w:val="24"/>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硬件设施</w:t>
            </w: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1、有固定办公场所</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5分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有固定办公场所，且办公场所与服务配套场所已适当间隔开，得5分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有固定办公场所，但未与服务配套场所适当间隔开，得3分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没有固定办公场所，取消申请资格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2、有与服务内容相配套的场所</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8分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完全符合《服务项目相配套场所参考标准》，得8分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1"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开展的服务项目没有场地要求的，且符合消防安全要求的，得6分，不符合消防安全要求的责令改正，再行申报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不多于3项不符合《服务项目配套场所参考标准》，得3-4分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某项服务项目超过3项不符合《服务项目配套场所参考标准》，得0-1分，并取消相应服务项目申报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7"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3、具备电话、电脑、传真机等基本办公设备</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4分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具备基本办公设备，得4分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缺一样，得2分，缺两样，得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4、有开展服务应具备的服务设施</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8分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完全符合《服务项目配套设施参考标准》，得8分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开展的服务项目没有设施要求的，得6分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8"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基本符合《服务项目配套场所参考标准》，得3-4分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某项服务项目不符合《服务项目配套场所参考标准》，得0-1分，并取消相应服务项目申报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小计</w:t>
            </w:r>
          </w:p>
        </w:tc>
        <w:tc>
          <w:tcPr>
            <w:tcW w:w="709" w:type="dxa"/>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25分</w:t>
            </w:r>
          </w:p>
        </w:tc>
        <w:tc>
          <w:tcPr>
            <w:tcW w:w="5811" w:type="dxa"/>
            <w:vAlign w:val="center"/>
          </w:tcPr>
          <w:p>
            <w:pPr>
              <w:spacing w:line="420" w:lineRule="exact"/>
              <w:jc w:val="left"/>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工作人员</w:t>
            </w: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1、具有专业资格工作人员占从业人员比例</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4分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比例≥50%，得4分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50%＞比例≥20%，得3分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20%＞比例≥0%，得2分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没有具有专业资格工作人员的，得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2、行政管理人员占机构总人数的比例</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4分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比例≤10%，得3-4分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15%≥比例＞10%，得1-2分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比例＞15%，得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3、有专职出纳，且不兼任会计</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4分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符合要求，且有专职会计，得3-4分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符合要求，会计为兼职，得1-2分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不符合要求，责令改正，得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5"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4、吸收本市户籍失业人员</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4分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本市户籍失业人员占从业人员50%以上，得4分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本市户籍失业人员占从业人员20-50%以上，得3分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本市户籍失业人员占从业人员5-20%以上，得2分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本市户籍失业人员占从业人员5%以下，得1分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5、组织从业人员定期培训</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4分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有组织定期培训，有培训材料，得3-4分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有定期培训，但没有培训材料，得1-2分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没有培训制度的，得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小计</w:t>
            </w:r>
          </w:p>
        </w:tc>
        <w:tc>
          <w:tcPr>
            <w:tcW w:w="709" w:type="dxa"/>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20分</w:t>
            </w:r>
          </w:p>
        </w:tc>
        <w:tc>
          <w:tcPr>
            <w:tcW w:w="5811" w:type="dxa"/>
            <w:vAlign w:val="center"/>
          </w:tcPr>
          <w:p>
            <w:pPr>
              <w:spacing w:line="420" w:lineRule="exact"/>
              <w:jc w:val="left"/>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021"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服务管理制度</w:t>
            </w: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1、组织机构和工作流程清晰，有健全的部门及岗位职责说明</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6分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有组织结构图和各项工作流程图可供查阅，有完善的部门和岗位职责说明，得5-6分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有组织结构图，主要工作有流程图可供查阅，部门和岗位职责说明不够完备，得3-4分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有组织结构图和基本的部门和岗位职责说明，得1-2分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无组织结构图、工作流程、部门岗位职责说明，得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2、有制定明确详细的收费标准</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3分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按提供服务的最基本单位制定收费标准，优惠政策详尽，得3分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按提供的服务项目制定收费标准，得1分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8"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收费标准不明确，不具操作性，得</w:t>
            </w:r>
            <w:r>
              <w:rPr>
                <w:rFonts w:hint="eastAsia" w:ascii="仿宋_GB2312" w:eastAsia="仿宋_GB2312" w:cs="宋体"/>
                <w:color w:val="000000"/>
                <w:sz w:val="24"/>
              </w:rPr>
              <w:t>0</w:t>
            </w:r>
            <w:r>
              <w:rPr>
                <w:rFonts w:hint="eastAsia" w:ascii="仿宋_GB2312" w:hAnsi="宋体" w:eastAsia="仿宋_GB2312" w:cs="宋体"/>
                <w:color w:val="000000"/>
                <w:sz w:val="24"/>
              </w:rPr>
              <w:t>分，没有收费标准的，责令整改后重新申报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3、有统一的工作服，员工佩戴工牌进行工作</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4分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符合要求，得4分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5"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统一工作服和佩戴工牌，只符合其一的，得2分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两项都不符合，得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4、与服务对象签订服务协议书</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3分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服务协议书条款清晰、明确，得3分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有签订服务协议书，得1分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没有签订服务协议书的，得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2"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5、建立了包含服务协议书、身份证及户口簿复印件、服务对象相片、应急处理联系人等信息的服务档案</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4分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建立了资料详尽的服务档案，且有专人管理，易于查找，有档案保密措施，得4分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建立了资料详细的服务档案，有档案保密措施，得3分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建立了资料详细的服务档案，得2分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建立了资料详细的服务档案，得2分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建立了服务档案，但缺乏某一项信息的，得1分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未建立服务档案，或服务档案信息严重缺乏，得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6、建立各项服务操作流程，并确保严格执行</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5分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有严谨规范的服务操作流程，并具备有效措施确保操作流程严格执行，得5分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2"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操作流程较规范，有确保操作流程执行的制度，得3分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有操作流程，得1分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没有操作流程，得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76"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7、确保提供服务被详尽、及时的记录（服务记录应包括服务日期，服务时间段、服务人员，服务的具体事项、解决的问题，服务收到的效果或服务对象的评价等）</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5分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对每次提供的服务有详细记录，且记录时间不晚于提供服务后的次日内，有设立合理的抽检评估制度，得5分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1"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对每次提供的服务有详细记录，且记录时间不晚于提供服务后的3日内，有设立合理的抽检评估制度，得4分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对每次提供的服务有详细记录，但记录不太及时，或者记录时间不晚于提供服务后3日内，但未设立抽检评估制度，得2分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对每次提供的服务有记录，但记录不详细，得1分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未按次记录服务情况的，得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小计</w:t>
            </w:r>
          </w:p>
        </w:tc>
        <w:tc>
          <w:tcPr>
            <w:tcW w:w="709" w:type="dxa"/>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30分</w:t>
            </w:r>
          </w:p>
        </w:tc>
        <w:tc>
          <w:tcPr>
            <w:tcW w:w="5811" w:type="dxa"/>
            <w:vAlign w:val="center"/>
          </w:tcPr>
          <w:p>
            <w:pPr>
              <w:spacing w:line="420" w:lineRule="exact"/>
              <w:jc w:val="left"/>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1" w:hRule="atLeast"/>
        </w:trPr>
        <w:tc>
          <w:tcPr>
            <w:tcW w:w="1021"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服务跟踪评估</w:t>
            </w: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1、服务人员服务质量评估</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5分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有规范、健全的服务人员服务质量评估制度和操作方法，得5分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有基本的服务人员服务质量评估制度和操作方法，得3分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有服务人员服务质量评估的框架，但尚未形成具体实施的制度，得1分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没有服务人员服务质量评估这方面的考虑，得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0" w:hRule="atLeast"/>
        </w:trPr>
        <w:tc>
          <w:tcPr>
            <w:tcW w:w="1021" w:type="dxa"/>
            <w:vMerge w:val="continue"/>
            <w:vAlign w:val="center"/>
          </w:tcPr>
          <w:p>
            <w:pPr>
              <w:widowControl/>
              <w:spacing w:line="420" w:lineRule="exact"/>
              <w:jc w:val="left"/>
              <w:textAlignment w:val="center"/>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2、对服务对象回访</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6分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有完善的服务对象回访制度和措施，设计有回访调查问卷，并切实实施的，得6分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1021" w:type="dxa"/>
            <w:vMerge w:val="continue"/>
            <w:vAlign w:val="center"/>
          </w:tcPr>
          <w:p>
            <w:pPr>
              <w:widowControl/>
              <w:spacing w:line="420" w:lineRule="exact"/>
              <w:jc w:val="left"/>
              <w:textAlignment w:val="center"/>
              <w:rPr>
                <w:rFonts w:ascii="仿宋_GB2312" w:eastAsia="仿宋_GB2312"/>
                <w:color w:val="000000"/>
                <w:sz w:val="24"/>
              </w:rPr>
            </w:pPr>
          </w:p>
        </w:tc>
        <w:tc>
          <w:tcPr>
            <w:tcW w:w="1815" w:type="dxa"/>
            <w:vMerge w:val="continue"/>
            <w:vAlign w:val="center"/>
          </w:tcPr>
          <w:p>
            <w:pPr>
              <w:widowControl/>
              <w:spacing w:line="420" w:lineRule="exact"/>
              <w:jc w:val="left"/>
              <w:textAlignment w:val="center"/>
              <w:rPr>
                <w:rFonts w:ascii="仿宋_GB2312" w:eastAsia="仿宋_GB2312"/>
                <w:color w:val="000000"/>
                <w:sz w:val="24"/>
              </w:rPr>
            </w:pPr>
          </w:p>
        </w:tc>
        <w:tc>
          <w:tcPr>
            <w:tcW w:w="709" w:type="dxa"/>
            <w:vMerge w:val="continue"/>
            <w:vAlign w:val="center"/>
          </w:tcPr>
          <w:p>
            <w:pPr>
              <w:widowControl/>
              <w:spacing w:line="420" w:lineRule="exact"/>
              <w:jc w:val="center"/>
              <w:textAlignment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有完善的服务对象回访制度和措施，且有实施记录的，得5分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widowControl/>
              <w:spacing w:line="420" w:lineRule="exact"/>
              <w:jc w:val="left"/>
              <w:textAlignment w:val="center"/>
              <w:rPr>
                <w:rFonts w:ascii="仿宋_GB2312" w:eastAsia="仿宋_GB2312"/>
                <w:color w:val="000000"/>
                <w:sz w:val="24"/>
              </w:rPr>
            </w:pPr>
          </w:p>
        </w:tc>
        <w:tc>
          <w:tcPr>
            <w:tcW w:w="1815" w:type="dxa"/>
            <w:vMerge w:val="continue"/>
            <w:vAlign w:val="center"/>
          </w:tcPr>
          <w:p>
            <w:pPr>
              <w:widowControl/>
              <w:spacing w:line="420" w:lineRule="exact"/>
              <w:jc w:val="left"/>
              <w:textAlignment w:val="center"/>
              <w:rPr>
                <w:rFonts w:ascii="仿宋_GB2312" w:eastAsia="仿宋_GB2312"/>
                <w:color w:val="000000"/>
                <w:sz w:val="24"/>
              </w:rPr>
            </w:pPr>
          </w:p>
        </w:tc>
        <w:tc>
          <w:tcPr>
            <w:tcW w:w="709" w:type="dxa"/>
            <w:vMerge w:val="continue"/>
            <w:vAlign w:val="center"/>
          </w:tcPr>
          <w:p>
            <w:pPr>
              <w:widowControl/>
              <w:spacing w:line="420" w:lineRule="exact"/>
              <w:jc w:val="center"/>
              <w:textAlignment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有基本的服务对象回访制度和措施，且有实施记录的，得4分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有服务对象回访制度和措施，但没有实施记录的，得2分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没有服务对象回访机制的，得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5"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restart"/>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3、制定投诉/建议处理机制并实施</w:t>
            </w:r>
          </w:p>
        </w:tc>
        <w:tc>
          <w:tcPr>
            <w:tcW w:w="709" w:type="dxa"/>
            <w:vMerge w:val="restart"/>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4分</w:t>
            </w: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处理机制合理规范，且运行良好，得4分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建立处理机制，且确保实施，得2-3分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5"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建议处理机制，但没有证据表明已实施，得1分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Merge w:val="continue"/>
            <w:vAlign w:val="center"/>
          </w:tcPr>
          <w:p>
            <w:pPr>
              <w:spacing w:line="420" w:lineRule="exact"/>
              <w:jc w:val="left"/>
              <w:rPr>
                <w:rFonts w:ascii="仿宋_GB2312" w:eastAsia="仿宋_GB2312"/>
                <w:color w:val="000000"/>
                <w:sz w:val="24"/>
              </w:rPr>
            </w:pPr>
          </w:p>
        </w:tc>
        <w:tc>
          <w:tcPr>
            <w:tcW w:w="709" w:type="dxa"/>
            <w:vMerge w:val="continue"/>
            <w:vAlign w:val="center"/>
          </w:tcPr>
          <w:p>
            <w:pPr>
              <w:spacing w:line="420" w:lineRule="exact"/>
              <w:jc w:val="center"/>
              <w:rPr>
                <w:rFonts w:ascii="仿宋_GB2312" w:eastAsia="仿宋_GB2312"/>
                <w:color w:val="000000"/>
                <w:sz w:val="24"/>
              </w:rPr>
            </w:pPr>
          </w:p>
        </w:tc>
        <w:tc>
          <w:tcPr>
            <w:tcW w:w="5811" w:type="dxa"/>
            <w:vAlign w:val="center"/>
          </w:tcPr>
          <w:p>
            <w:pPr>
              <w:widowControl/>
              <w:spacing w:line="420" w:lineRule="exact"/>
              <w:jc w:val="left"/>
              <w:textAlignment w:val="center"/>
              <w:rPr>
                <w:rFonts w:ascii="仿宋_GB2312" w:eastAsia="仿宋_GB2312"/>
                <w:color w:val="000000"/>
                <w:sz w:val="24"/>
              </w:rPr>
            </w:pPr>
            <w:r>
              <w:rPr>
                <w:rFonts w:hint="eastAsia" w:ascii="仿宋_GB2312" w:hAnsi="宋体" w:eastAsia="仿宋_GB2312" w:cs="宋体"/>
                <w:color w:val="000000"/>
                <w:sz w:val="24"/>
              </w:rPr>
              <w:t>没有建立处理机制，得</w:t>
            </w:r>
            <w:r>
              <w:rPr>
                <w:rFonts w:hint="eastAsia" w:ascii="仿宋_GB2312" w:eastAsia="仿宋_GB2312" w:cs="宋体"/>
                <w:color w:val="000000"/>
                <w:sz w:val="24"/>
              </w:rPr>
              <w:t>0</w:t>
            </w:r>
            <w:r>
              <w:rPr>
                <w:rFonts w:hint="eastAsia" w:ascii="仿宋_GB2312" w:hAnsi="宋体" w:eastAsia="仿宋_GB2312" w:cs="宋体"/>
                <w:color w:val="00000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Merge w:val="continue"/>
            <w:vAlign w:val="center"/>
          </w:tcPr>
          <w:p>
            <w:pPr>
              <w:spacing w:line="420" w:lineRule="exact"/>
              <w:jc w:val="left"/>
              <w:rPr>
                <w:rFonts w:ascii="仿宋_GB2312" w:eastAsia="仿宋_GB2312"/>
                <w:color w:val="000000"/>
                <w:sz w:val="24"/>
              </w:rPr>
            </w:pPr>
          </w:p>
        </w:tc>
        <w:tc>
          <w:tcPr>
            <w:tcW w:w="1815" w:type="dxa"/>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小计</w:t>
            </w:r>
          </w:p>
        </w:tc>
        <w:tc>
          <w:tcPr>
            <w:tcW w:w="709" w:type="dxa"/>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15分</w:t>
            </w:r>
          </w:p>
        </w:tc>
        <w:tc>
          <w:tcPr>
            <w:tcW w:w="5811" w:type="dxa"/>
            <w:vAlign w:val="center"/>
          </w:tcPr>
          <w:p>
            <w:pPr>
              <w:spacing w:line="420" w:lineRule="exact"/>
              <w:jc w:val="left"/>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 w:hRule="atLeast"/>
        </w:trPr>
        <w:tc>
          <w:tcPr>
            <w:tcW w:w="1021" w:type="dxa"/>
            <w:vAlign w:val="center"/>
          </w:tcPr>
          <w:p>
            <w:pPr>
              <w:spacing w:line="420" w:lineRule="exact"/>
              <w:jc w:val="left"/>
              <w:rPr>
                <w:rFonts w:ascii="仿宋_GB2312" w:eastAsia="仿宋_GB2312"/>
                <w:color w:val="000000"/>
                <w:sz w:val="24"/>
              </w:rPr>
            </w:pPr>
          </w:p>
        </w:tc>
        <w:tc>
          <w:tcPr>
            <w:tcW w:w="1815" w:type="dxa"/>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合计</w:t>
            </w:r>
          </w:p>
        </w:tc>
        <w:tc>
          <w:tcPr>
            <w:tcW w:w="709" w:type="dxa"/>
            <w:vAlign w:val="center"/>
          </w:tcPr>
          <w:p>
            <w:pPr>
              <w:widowControl/>
              <w:spacing w:line="420" w:lineRule="exact"/>
              <w:jc w:val="center"/>
              <w:textAlignment w:val="center"/>
              <w:rPr>
                <w:rFonts w:ascii="仿宋_GB2312" w:eastAsia="仿宋_GB2312"/>
                <w:color w:val="000000"/>
                <w:sz w:val="24"/>
              </w:rPr>
            </w:pPr>
            <w:r>
              <w:rPr>
                <w:rFonts w:hint="eastAsia" w:ascii="仿宋_GB2312" w:hAnsi="宋体" w:eastAsia="仿宋_GB2312" w:cs="宋体"/>
                <w:color w:val="000000"/>
                <w:sz w:val="24"/>
              </w:rPr>
              <w:t>100分</w:t>
            </w:r>
          </w:p>
        </w:tc>
        <w:tc>
          <w:tcPr>
            <w:tcW w:w="5811" w:type="dxa"/>
            <w:vAlign w:val="center"/>
          </w:tcPr>
          <w:p>
            <w:pPr>
              <w:spacing w:line="420" w:lineRule="exact"/>
              <w:jc w:val="left"/>
              <w:rPr>
                <w:rFonts w:ascii="仿宋_GB2312" w:eastAsia="仿宋_GB2312"/>
                <w:color w:val="000000"/>
                <w:sz w:val="24"/>
              </w:rPr>
            </w:pPr>
          </w:p>
        </w:tc>
      </w:tr>
    </w:tbl>
    <w:p>
      <w:pPr>
        <w:spacing w:line="420" w:lineRule="exact"/>
        <w:jc w:val="left"/>
        <w:rPr>
          <w:rFonts w:ascii="仿宋_GB2312" w:hAnsi="仿宋" w:eastAsia="仿宋_GB2312" w:cs="黑体"/>
          <w:sz w:val="24"/>
          <w:szCs w:val="32"/>
        </w:rPr>
      </w:pPr>
    </w:p>
    <w:p>
      <w:pPr>
        <w:spacing w:line="420" w:lineRule="exact"/>
        <w:jc w:val="left"/>
        <w:rPr>
          <w:rFonts w:ascii="仿宋_GB2312" w:hAnsi="仿宋" w:eastAsia="仿宋_GB2312" w:cs="黑体"/>
          <w:sz w:val="24"/>
          <w:szCs w:val="32"/>
        </w:rPr>
      </w:pPr>
      <w:r>
        <w:rPr>
          <w:rFonts w:hint="eastAsia" w:ascii="仿宋_GB2312" w:hAnsi="仿宋" w:eastAsia="仿宋_GB2312" w:cs="黑体"/>
          <w:sz w:val="24"/>
          <w:szCs w:val="32"/>
        </w:rPr>
        <w:t>说明：1.没有固定办公场所的，取消申请资格，不再进行评估；</w:t>
      </w:r>
    </w:p>
    <w:p>
      <w:pPr>
        <w:spacing w:line="420" w:lineRule="exact"/>
        <w:jc w:val="left"/>
        <w:rPr>
          <w:rFonts w:ascii="仿宋_GB2312" w:hAnsi="仿宋" w:eastAsia="仿宋_GB2312" w:cs="黑体"/>
          <w:sz w:val="24"/>
          <w:szCs w:val="32"/>
        </w:rPr>
      </w:pPr>
      <w:r>
        <w:rPr>
          <w:rFonts w:hint="eastAsia" w:ascii="仿宋_GB2312" w:hAnsi="仿宋" w:eastAsia="仿宋_GB2312" w:cs="黑体"/>
          <w:sz w:val="24"/>
          <w:szCs w:val="32"/>
        </w:rPr>
        <w:t>2.没有制定收费标准的，限期改正后重新申请，本次不再进行评估；</w:t>
      </w:r>
    </w:p>
    <w:p>
      <w:pPr>
        <w:spacing w:line="420" w:lineRule="exact"/>
        <w:jc w:val="left"/>
        <w:rPr>
          <w:rFonts w:ascii="仿宋_GB2312" w:hAnsi="仿宋" w:eastAsia="仿宋_GB2312" w:cs="黑体"/>
          <w:sz w:val="24"/>
          <w:szCs w:val="32"/>
        </w:rPr>
      </w:pPr>
      <w:r>
        <w:rPr>
          <w:rFonts w:hint="eastAsia" w:ascii="仿宋_GB2312" w:hAnsi="仿宋" w:eastAsia="仿宋_GB2312" w:cs="黑体"/>
          <w:sz w:val="24"/>
          <w:szCs w:val="32"/>
        </w:rPr>
        <w:t>3.与服务项目相配套的场所、设施达不到要求的，该服务项目不得在居家养老中开展。</w:t>
      </w:r>
    </w:p>
    <w:p>
      <w:pPr>
        <w:spacing w:line="560" w:lineRule="exact"/>
        <w:jc w:val="center"/>
        <w:rPr>
          <w:sz w:val="44"/>
          <w:szCs w:val="44"/>
        </w:rPr>
      </w:pPr>
      <w:r>
        <w:rPr>
          <w:rFonts w:ascii="仿宋_GB2312" w:hAnsi="仿宋" w:eastAsia="仿宋_GB2312" w:cs="黑体"/>
          <w:sz w:val="32"/>
          <w:szCs w:val="32"/>
        </w:rPr>
        <w:br w:type="page"/>
      </w:r>
      <w:r>
        <w:rPr>
          <w:rFonts w:hint="eastAsia"/>
          <w:sz w:val="40"/>
          <w:szCs w:val="44"/>
        </w:rPr>
        <w:t>服务项目配套场所及配套设施参考标准</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一、服务项目配套场所参考标准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（一）提供膳食供应服务，要求有：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1.独立设置备餐场地，领有食品卫生许可证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2.各功能间设置、布局能满足加工工艺和卫生要求，并按原料、半成品、成品顺序予以布局</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3.生产加工环境整洁，排油烟气良好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4.符合消防安全要求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5.就餐场地餐位设置与就餐人数相适应，采光良好，环境整洁。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（二）提供医疗服务，要求有：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1.领有公共场所卫生许可证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2.场地布局合理，符合国家卫生要求，体现无障碍设计要求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3.场地及周围环境整洁、卫生，无明显污染源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4.场所内有排风系统</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5.场所内禁止吸烟，有禁烟标志</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6.医疗废弃物严格按照相关规定处理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7、符合消防安全要求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（三）提供日间托管服务，要求有：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1.领有公共场所卫生许可证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2.场地布局合理，符合国家卫生要求，体现无障碍设计要求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3.室内家具、设备无尖角凸出部分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4.场地及周围环境整洁、卫生，无明显污染源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5.场所内有排风系统</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6.场所内禁止吸烟，有禁烟标志</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7.卫生间设座便器厕位一个以上，墙壁安装扶手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8.符合消防安全要求</w:t>
      </w:r>
    </w:p>
    <w:p>
      <w:pPr>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二、服务项目配套设施参考标准</w:t>
      </w:r>
      <w:r>
        <w:rPr>
          <w:rFonts w:hint="eastAsia" w:ascii="仿宋_GB2312" w:hAnsi="宋体" w:eastAsia="仿宋_GB2312"/>
          <w:b/>
          <w:sz w:val="32"/>
          <w:szCs w:val="32"/>
        </w:rPr>
        <w:tab/>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（一）膳食服务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1.有洗手、消毒、更衣设施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2.必要的炊具、餐具设施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3.有专用餐具保洁柜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4.有食物冷藏设备</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5.设置足够有盖垃圾桶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6.用餐场所配有公告栏、消毒柜、洗漱池、防蝇设备、时钟、垃圾桶</w:t>
      </w:r>
    </w:p>
    <w:p>
      <w:pPr>
        <w:numPr>
          <w:ilvl w:val="0"/>
          <w:numId w:val="1"/>
        </w:numPr>
        <w:spacing w:line="560" w:lineRule="exact"/>
        <w:rPr>
          <w:rFonts w:ascii="仿宋_GB2312" w:hAnsi="宋体" w:eastAsia="仿宋_GB2312"/>
          <w:sz w:val="32"/>
          <w:szCs w:val="32"/>
        </w:rPr>
      </w:pPr>
      <w:r>
        <w:rPr>
          <w:rFonts w:hint="eastAsia" w:ascii="仿宋_GB2312" w:hAnsi="宋体" w:eastAsia="仿宋_GB2312"/>
          <w:sz w:val="32"/>
          <w:szCs w:val="32"/>
        </w:rPr>
        <w:t>送餐服务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1.有合适的交通工具</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2.配有保温容器</w:t>
      </w:r>
    </w:p>
    <w:p>
      <w:pPr>
        <w:numPr>
          <w:ilvl w:val="0"/>
          <w:numId w:val="1"/>
        </w:numPr>
        <w:spacing w:line="560" w:lineRule="exact"/>
        <w:rPr>
          <w:rFonts w:ascii="仿宋_GB2312" w:hAnsi="宋体" w:eastAsia="仿宋_GB2312"/>
          <w:sz w:val="32"/>
          <w:szCs w:val="32"/>
        </w:rPr>
      </w:pPr>
      <w:r>
        <w:rPr>
          <w:rFonts w:hint="eastAsia" w:ascii="仿宋_GB2312" w:hAnsi="宋体" w:eastAsia="仿宋_GB2312"/>
          <w:sz w:val="32"/>
          <w:szCs w:val="32"/>
        </w:rPr>
        <w:t>家务服务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配有家务服务专用工具箱</w:t>
      </w:r>
    </w:p>
    <w:p>
      <w:r>
        <w:rPr>
          <w:rFonts w:hint="eastAsia" w:ascii="仿宋_GB2312" w:eastAsia="仿宋_GB2312"/>
          <w:b/>
          <w:sz w:val="32"/>
          <w:szCs w:val="32"/>
        </w:rPr>
        <w:t>三、除符合上述标准外，还应符合国家现行有关规定。</w:t>
      </w:r>
    </w:p>
    <w:sectPr>
      <w:footerReference r:id="rId3" w:type="default"/>
      <w:pgSz w:w="11906" w:h="16838"/>
      <w:pgMar w:top="2098"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nap ITC">
    <w:panose1 w:val="04040A07060A02020202"/>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80000000" w:csb1="00000000"/>
  </w:font>
  <w:font w:name="Stencil">
    <w:panose1 w:val="040409050D0802020404"/>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287" w:usb1="00000000" w:usb2="00000000" w:usb3="00000000" w:csb0="0000009F"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Univers">
    <w:panose1 w:val="020B0603020202030204"/>
    <w:charset w:val="00"/>
    <w:family w:val="auto"/>
    <w:pitch w:val="default"/>
    <w:sig w:usb0="00000287" w:usb1="00000000" w:usb2="00000000" w:usb3="00000000" w:csb0="0000009F" w:csb1="00000000"/>
  </w:font>
  <w:font w:name="Univers 45 Light">
    <w:panose1 w:val="020B0703030502030204"/>
    <w:charset w:val="00"/>
    <w:family w:val="auto"/>
    <w:pitch w:val="default"/>
    <w:sig w:usb0="00000007" w:usb1="00000000" w:usb2="00000000" w:usb3="00000000" w:csb0="00000093" w:csb1="00000000"/>
  </w:font>
  <w:font w:name="Univers 47 CondensedLight">
    <w:panose1 w:val="020B0706030503050204"/>
    <w:charset w:val="00"/>
    <w:family w:val="auto"/>
    <w:pitch w:val="default"/>
    <w:sig w:usb0="00000007" w:usb1="00000000" w:usb2="00000000" w:usb3="00000000" w:csb0="00000093" w:csb1="00000000"/>
  </w:font>
  <w:font w:name="Univers 55">
    <w:panose1 w:val="020B0603020202030204"/>
    <w:charset w:val="00"/>
    <w:family w:val="auto"/>
    <w:pitch w:val="default"/>
    <w:sig w:usb0="00000007" w:usb1="00000000" w:usb2="00000000" w:usb3="00000000" w:csb0="00000093" w:csb1="00000000"/>
  </w:font>
  <w:font w:name="Univers 57 Condensed">
    <w:panose1 w:val="020B0606020202060204"/>
    <w:charset w:val="00"/>
    <w:family w:val="auto"/>
    <w:pitch w:val="default"/>
    <w:sig w:usb0="00000007" w:usb1="00000000" w:usb2="00000000" w:usb3="00000000" w:csb0="00000093"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Univers Condensed">
    <w:panose1 w:val="020B0606020202060204"/>
    <w:charset w:val="00"/>
    <w:family w:val="auto"/>
    <w:pitch w:val="default"/>
    <w:sig w:usb0="00000007"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F1082"/>
    <w:multiLevelType w:val="multilevel"/>
    <w:tmpl w:val="42EF1082"/>
    <w:lvl w:ilvl="0" w:tentative="0">
      <w:start w:val="2"/>
      <w:numFmt w:val="japaneseCounting"/>
      <w:lvlText w:val="（%1）"/>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B19A9"/>
    <w:rsid w:val="000447BB"/>
    <w:rsid w:val="0006413C"/>
    <w:rsid w:val="00181893"/>
    <w:rsid w:val="006053D4"/>
    <w:rsid w:val="00953384"/>
    <w:rsid w:val="00A312A2"/>
    <w:rsid w:val="00AB0FFC"/>
    <w:rsid w:val="00AF68BF"/>
    <w:rsid w:val="00BB19A9"/>
    <w:rsid w:val="00C73E93"/>
    <w:rsid w:val="00E91834"/>
    <w:rsid w:val="00ED4F64"/>
    <w:rsid w:val="16672C17"/>
    <w:rsid w:val="364D3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615</Words>
  <Characters>3512</Characters>
  <Lines>29</Lines>
  <Paragraphs>8</Paragraphs>
  <TotalTime>1</TotalTime>
  <ScaleCrop>false</ScaleCrop>
  <LinksUpToDate>false</LinksUpToDate>
  <CharactersWithSpaces>4119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2018-07-23T08:00:00Z</dcterms:created>
  <dc:creator>zsh</dc:creator>
  <cp:lastModifiedBy>社会福利科（老龄办）</cp:lastModifiedBy>
  <dcterms:modified xsi:type="dcterms:W3CDTF">2019-08-05T03:46:40Z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