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法治政府建设正面典型案例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beforeAutospacing="0" w:after="0" w:afterAutospacing="0" w:line="560" w:lineRule="exact"/>
        <w:ind w:firstLine="612" w:firstLineChars="200"/>
        <w:jc w:val="both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2023年，南山区民政局坚持以习近平新时代中国特色社会主义思想为指导，深入学习贯彻习近平法治思想，全面贯彻落实关于法治政府建设的决策部署，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以高质量的行政执法推动社会组织健康有序发展，形成了</w:t>
      </w:r>
      <w:r>
        <w:rPr>
          <w:rFonts w:hint="eastAsia" w:ascii="仿宋_GB2312" w:eastAsia="仿宋_GB2312"/>
          <w:sz w:val="32"/>
          <w:szCs w:val="32"/>
          <w:highlight w:val="none"/>
        </w:rPr>
        <w:t>可复制可推广的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南山经验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  <w:t>一、背景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1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为进一步加强社会组织监督管理，规范社会组织行为，促进社会组织健康有序发展，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广东省民政厅关于开展2023年全省性社会组织“双随机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一公开”抽查监督的通知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》《深圳市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双随机、一公开联席会议办公室关于进一步做好2023年部门联合“双随机、一公开”监管工作的通知》的有关要求，南山区民政局组织开展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2023年度社会组织“双随机、一公开”抽查工作。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  <w:t>二、工作举措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加强工作联动。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会同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人资局对深圳市学道职业培训中心、南山区六艺职业培训学校、南山区华必达培训学校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等3家社会组织，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开展社会组织资金运作、内部治理、业务活动等情况的联合检查。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kern w:val="21"/>
          <w:sz w:val="32"/>
          <w:szCs w:val="22"/>
          <w:lang w:val="en-US" w:eastAsia="zh-CN" w:bidi="ar-SA"/>
        </w:rPr>
        <w:t>二是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试行阳光执法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。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出台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《2023年南山区社会组织廉洁合规建设专项行动方案》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邀请党代表、人大代表、政协委员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监督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执法人员对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深圳市启明幼儿园、南山区长跑协会、南山区交通安全理事会</w:t>
      </w:r>
      <w:r>
        <w:rPr>
          <w:rFonts w:hint="eastAsia" w:ascii="仿宋_GB2312" w:hAnsi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等3家社会组织开展执法检查</w:t>
      </w:r>
      <w:r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  <w:t>，对执法程序、执法行为进行指导。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u w:val="single" w:color="FFFFFF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仿宋_GB2312" w:cs="仿宋_GB2312"/>
          <w:kern w:val="2"/>
          <w:sz w:val="32"/>
          <w:szCs w:val="24"/>
          <w:u w:val="single" w:color="FFFFFF"/>
          <w:lang w:val="en-US" w:eastAsia="zh-CN" w:bidi="ar-SA"/>
        </w:rPr>
        <w:t>实行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 w:color="FFFFFF"/>
          <w:lang w:val="en-US" w:eastAsia="zh-CN" w:bidi="ar-SA"/>
        </w:rPr>
        <w:t>全面</w:t>
      </w:r>
      <w:r>
        <w:rPr>
          <w:rFonts w:hint="eastAsia" w:ascii="仿宋_GB2312" w:hAnsi="仿宋_GB2312" w:cs="仿宋_GB2312"/>
          <w:kern w:val="2"/>
          <w:sz w:val="32"/>
          <w:szCs w:val="24"/>
          <w:u w:val="single" w:color="FFFFFF"/>
          <w:lang w:val="en-US" w:eastAsia="zh-CN" w:bidi="ar-SA"/>
        </w:rPr>
        <w:t>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 w:color="FFFFFF"/>
          <w:lang w:val="en-US" w:eastAsia="zh-CN" w:bidi="ar-SA"/>
        </w:rPr>
        <w:t>将年度工作报告、党建工作、业务活动、举办论坛等活动、制度制定和执行、收费、分支（代表）机构管理、社会组织履行重大事项报告义务等情况列入年度检查重点</w:t>
      </w:r>
      <w:r>
        <w:rPr>
          <w:rFonts w:hint="eastAsia" w:ascii="仿宋_GB2312" w:hAnsi="仿宋_GB2312" w:cs="仿宋_GB2312"/>
          <w:kern w:val="2"/>
          <w:sz w:val="32"/>
          <w:szCs w:val="24"/>
          <w:u w:val="single" w:color="FFFFFF"/>
          <w:lang w:val="en-US" w:eastAsia="zh-CN" w:bidi="ar-SA"/>
        </w:rPr>
        <w:t>。同时，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与行业协会商会乱收费整治专项工作结合开展，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在检查过程中，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 w:color="FFFFFF"/>
          <w:lang w:val="en-US" w:eastAsia="zh-CN" w:bidi="ar-SA"/>
        </w:rPr>
        <w:t>对照15项整治重点内容，</w:t>
      </w:r>
      <w:r>
        <w:rPr>
          <w:rFonts w:hint="eastAsia" w:ascii="仿宋_GB2312" w:hAnsi="仿宋_GB2312" w:cs="仿宋_GB2312"/>
          <w:kern w:val="2"/>
          <w:sz w:val="32"/>
          <w:szCs w:val="24"/>
          <w:u w:val="single" w:color="FFFFFF"/>
          <w:lang w:val="en-US" w:eastAsia="zh-CN" w:bidi="ar-SA"/>
        </w:rPr>
        <w:t>重点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 w:color="FFFFFF"/>
          <w:lang w:val="en-US" w:eastAsia="zh-CN" w:bidi="ar-SA"/>
        </w:rPr>
        <w:t>摸底排查行业协会商会是否涉及违法违规收费问题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 w:color="auto"/>
          <w:lang w:val="en-US" w:eastAsia="zh-CN"/>
          <w14:ligatures w14:val="standardContextual"/>
        </w:rPr>
        <w:t>三、取得成效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集中力量提高执法效率。联合执法将民政局和人资局的力量集中起来，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同一时间、针对同一执法对象开展联合检查、调查,实现执法信息共享、结果互认，减少多头重复执法，防止执法扰民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提高执法检查工作效率；合并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 w:bidi="ar-SA"/>
        </w:rPr>
        <w:t>两个部门监管范畴，一次性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检查范围覆盖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 w:bidi="ar-SA"/>
        </w:rPr>
        <w:t>重点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更为广泛、全面，通过查漏补缺，共同强化执法力度。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二是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多方监督提高执法公信力。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过阳光执法，监督人员站在第三方视角对执法过程提出了2条建议，进一步提高执法的规范化、科学性，提升依法行政水平；以透明阳光的执法过程，确保问题细节不遗漏、不放过，提高执法质量和执法公信力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3"/>
          <w:kern w:val="21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三是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全面检查提升执法质效。对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随机抽取的23家社会组织进行现场检查，并开展专项财务审计，督促发现问题的14家社会组织及时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 w:bidi="ar-SA"/>
        </w:rPr>
        <w:t>整改到位，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随机抽查结果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实现全面政务公开，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加强了社会组织监督和服务管理，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推动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社会组织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健康有序发展。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708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7D37D26"/>
    <w:rsid w:val="1F1F758C"/>
    <w:rsid w:val="1FFEAE6B"/>
    <w:rsid w:val="25790231"/>
    <w:rsid w:val="2F2FF795"/>
    <w:rsid w:val="3BBADD7E"/>
    <w:rsid w:val="3DEFC15B"/>
    <w:rsid w:val="3F9F0FF0"/>
    <w:rsid w:val="49844CFD"/>
    <w:rsid w:val="4FBD9062"/>
    <w:rsid w:val="56DDC266"/>
    <w:rsid w:val="5CAC0203"/>
    <w:rsid w:val="5EBF00F6"/>
    <w:rsid w:val="5F5FA529"/>
    <w:rsid w:val="5FE62627"/>
    <w:rsid w:val="5FF546EC"/>
    <w:rsid w:val="6A6D7CEE"/>
    <w:rsid w:val="6B3D2445"/>
    <w:rsid w:val="7493739A"/>
    <w:rsid w:val="75FF9F2D"/>
    <w:rsid w:val="79BB1FD6"/>
    <w:rsid w:val="7BF58905"/>
    <w:rsid w:val="7D7F5997"/>
    <w:rsid w:val="7DBF1D42"/>
    <w:rsid w:val="7DFB04BA"/>
    <w:rsid w:val="7E9D734B"/>
    <w:rsid w:val="7EEC0C4E"/>
    <w:rsid w:val="7FFF19C7"/>
    <w:rsid w:val="A5FE3AEF"/>
    <w:rsid w:val="BBE7536F"/>
    <w:rsid w:val="BDDF3629"/>
    <w:rsid w:val="BEF14546"/>
    <w:rsid w:val="BFBF6248"/>
    <w:rsid w:val="D235302F"/>
    <w:rsid w:val="D7FF26A9"/>
    <w:rsid w:val="E37FE7EA"/>
    <w:rsid w:val="E9F752CC"/>
    <w:rsid w:val="EF1D0616"/>
    <w:rsid w:val="F6FEBF06"/>
    <w:rsid w:val="F7EEBAE2"/>
    <w:rsid w:val="FEF91EFE"/>
    <w:rsid w:val="FF7F6503"/>
    <w:rsid w:val="FFAFFA8A"/>
    <w:rsid w:val="FFBFD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20"/>
    <w:rPr>
      <w:i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cb</cp:lastModifiedBy>
  <cp:lastPrinted>2023-12-08T15:25:00Z</cp:lastPrinted>
  <dcterms:modified xsi:type="dcterms:W3CDTF">2023-12-08T10:02:33Z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D6DA1C2276C54D6EAE7A1D7655FB32CA</vt:lpwstr>
  </property>
</Properties>
</file>