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40" w:lineRule="atLeast"/>
        <w:jc w:val="left"/>
        <w:rPr>
          <w:rFonts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widowControl/>
        <w:snapToGrid w:val="0"/>
        <w:spacing w:line="240" w:lineRule="atLeast"/>
        <w:jc w:val="left"/>
        <w:rPr>
          <w:rFonts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napToGrid w:val="0"/>
        <w:spacing w:line="240" w:lineRule="atLeast"/>
        <w:jc w:val="center"/>
        <w:rPr>
          <w:rFonts w:ascii="宋体" w:hAnsi="宋体" w:eastAsia="宋体" w:cs="宋体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bidi="ar"/>
        </w:rPr>
        <w:t>评标方法及标准</w:t>
      </w:r>
    </w:p>
    <w:p>
      <w:pPr>
        <w:snapToGrid w:val="0"/>
        <w:spacing w:line="540" w:lineRule="atLeast"/>
        <w:ind w:firstLine="643" w:firstLineChars="200"/>
        <w:rPr>
          <w:rFonts w:ascii="楷体" w:hAnsi="楷体" w:eastAsia="楷体" w:cs="楷体"/>
          <w:b/>
          <w:bCs/>
          <w:sz w:val="32"/>
        </w:rPr>
      </w:pPr>
    </w:p>
    <w:p>
      <w:pPr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sz w:val="32"/>
        </w:rPr>
        <w:t>一、评标方法：</w:t>
      </w:r>
      <w:r>
        <w:rPr>
          <w:rFonts w:hint="eastAsia" w:ascii="仿宋_GB2312" w:hAnsi="仿宋_GB2312" w:eastAsia="仿宋_GB2312" w:cs="仿宋_GB2312"/>
          <w:sz w:val="32"/>
        </w:rPr>
        <w:t>票决法</w:t>
      </w:r>
    </w:p>
    <w:p>
      <w:pPr>
        <w:snapToGrid w:val="0"/>
        <w:spacing w:line="540" w:lineRule="atLeast"/>
        <w:ind w:firstLine="64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二、评审标准</w:t>
      </w:r>
    </w:p>
    <w:tbl>
      <w:tblPr>
        <w:tblStyle w:val="7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779"/>
        <w:gridCol w:w="5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93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77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评审指标</w:t>
            </w:r>
          </w:p>
        </w:tc>
        <w:tc>
          <w:tcPr>
            <w:tcW w:w="561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93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7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经费报价</w:t>
            </w:r>
          </w:p>
        </w:tc>
        <w:tc>
          <w:tcPr>
            <w:tcW w:w="5610" w:type="dxa"/>
            <w:vAlign w:val="center"/>
          </w:tcPr>
          <w:p>
            <w:pPr>
              <w:snapToGrid w:val="0"/>
              <w:spacing w:line="50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sz w:val="28"/>
                <w:szCs w:val="28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各项经费报价的合理性</w:t>
            </w:r>
          </w:p>
          <w:p>
            <w:pPr>
              <w:snapToGrid w:val="0"/>
              <w:spacing w:line="50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OLE_LINK1"/>
            <w:r>
              <w:rPr>
                <w:rFonts w:ascii="Calibri" w:hAnsi="Calibri" w:eastAsia="仿宋_GB2312" w:cs="Calibri"/>
                <w:sz w:val="28"/>
                <w:szCs w:val="28"/>
              </w:rPr>
              <w:t>②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经费报价计算的准确性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93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7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投标方案</w:t>
            </w:r>
          </w:p>
        </w:tc>
        <w:tc>
          <w:tcPr>
            <w:tcW w:w="5610" w:type="dxa"/>
            <w:vAlign w:val="center"/>
          </w:tcPr>
          <w:p>
            <w:pPr>
              <w:snapToGrid w:val="0"/>
              <w:spacing w:line="50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方案设置的科学性、合理性、新颖性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93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77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投标机构综合实力</w:t>
            </w:r>
          </w:p>
        </w:tc>
        <w:tc>
          <w:tcPr>
            <w:tcW w:w="5610" w:type="dxa"/>
            <w:vAlign w:val="center"/>
          </w:tcPr>
          <w:p>
            <w:pPr>
              <w:snapToGrid w:val="0"/>
              <w:spacing w:line="500" w:lineRule="atLeast"/>
              <w:jc w:val="left"/>
              <w:rPr>
                <w:rFonts w:hint="eastAsia" w:ascii="Calibri" w:hAnsi="Calibri" w:eastAsia="仿宋_GB2312" w:cs="Calibri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sz w:val="28"/>
                <w:szCs w:val="28"/>
              </w:rPr>
              <w:t>①</w:t>
            </w:r>
            <w:r>
              <w:rPr>
                <w:rFonts w:hint="eastAsia" w:ascii="Calibri" w:hAnsi="Calibri" w:eastAsia="仿宋_GB2312" w:cs="Calibri"/>
                <w:sz w:val="28"/>
                <w:szCs w:val="28"/>
              </w:rPr>
              <w:t>团队资质能力</w:t>
            </w:r>
          </w:p>
          <w:p>
            <w:pPr>
              <w:snapToGrid w:val="0"/>
              <w:spacing w:line="50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sz w:val="28"/>
                <w:szCs w:val="28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同类项目服务经验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34BAA"/>
    <w:rsid w:val="2D434BAA"/>
    <w:rsid w:val="32FB7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center"/>
      <w:outlineLvl w:val="0"/>
    </w:pPr>
    <w:rPr>
      <w:rFonts w:eastAsia="仿宋_GB2312" w:asciiTheme="minorHAnsi" w:hAnsiTheme="minorHAnsi" w:cstheme="minorBidi"/>
      <w:b/>
      <w:bCs/>
      <w:kern w:val="44"/>
      <w:sz w:val="40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2020-07-17T02:42:00Z</dcterms:created>
  <dc:creator>~帆帆~</dc:creator>
  <cp:lastModifiedBy>~帆帆~</cp:lastModifiedBy>
  <dcterms:modified xsi:type="dcterms:W3CDTF">2020-07-17T02:43:57Z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