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snapToGrid w:val="0"/>
        <w:spacing w:after="156" w:afterLines="50" w:line="44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星光老年之家分级资助量化评定表</w:t>
      </w:r>
    </w:p>
    <w:bookmarkEnd w:id="0"/>
    <w:p>
      <w:pPr>
        <w:snapToGrid w:val="0"/>
        <w:spacing w:after="156" w:afterLines="50" w:line="440" w:lineRule="atLeast"/>
        <w:jc w:val="center"/>
        <w:rPr>
          <w:rFonts w:ascii="黑体" w:hAnsi="宋体" w:eastAsia="黑体"/>
          <w:sz w:val="32"/>
          <w:szCs w:val="30"/>
        </w:rPr>
      </w:pPr>
    </w:p>
    <w:tbl>
      <w:tblPr>
        <w:tblStyle w:val="8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基础分项目</w:t>
            </w: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1．使用面积：200m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以上30分；200 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以下分数为，实际面积／200 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×30分。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2．挂牌时间：2003年12月以前30分；2004年1月至2006年12月20分；2007年1月以后10分。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3．60岁以上老人数：200人以上20分，200人以下分数为，实际人数／200人×20分。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4．服务项目：健身、棋牌、阅览3种服务项目中，只开展1项得10分；开展2项得20分；三项全部开展得25分；另外，每增加一项服务项目加5分（如：日间照料、残疾人服务、四点半学校等）。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扣分项目</w:t>
            </w: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1．不能对社区全部老人和残疾人开放扣10分。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2．每周开放时间不到40小时，每少1小时扣2分。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3．入门处没有张贴服务时间扣10分。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4．室内未张贴《深圳市星光老年之家日常管理规定》扣2 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5．室内未张贴上季度和上年度经费收支帐目扣20分。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6．室内未张贴固定资产明细表扣10分。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 未在室外显著位置悬挂有“福利彩票公益金资助”标识的制式牌匾扣10分。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8．未开展社会捐赠接收工作扣10分。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9．在健身、棋牌、阅览和社会捐赠接收服务项目上，向服务对象收取费用，扣30分。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10．赌博或变相赌博一次扣30分。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11．存在安全隐患每处扣10分，发生安全事故一次扣30分。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12．环境卫生差一次扣5分。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13．管理人员不在位（20分钟以上）一次扣5分。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14．管理人员服务态度差一次扣5分。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15．设施损坏或故障不能及时（2周内）维护或更新一次扣5分。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16．区配套资金不能足额到位按缺额比例扣1－20分。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17．年度经费收支帐目弄虚作假或挤占挪用星光老年之家经费视情扣1－100分。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18．不配合调查人员工作视情扣10－20分。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9" w:type="dxa"/>
            <w:vMerge w:val="continue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62" w:type="dxa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19．因管理不善被投诉，经查属实，按以上条款扣相应分值。</w:t>
            </w:r>
          </w:p>
        </w:tc>
      </w:tr>
    </w:tbl>
    <w:p/>
    <w:sectPr>
      <w:footerReference r:id="rId3" w:type="default"/>
      <w:pgSz w:w="11906" w:h="16838"/>
      <w:pgMar w:top="2098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634331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CA0379"/>
    <w:rsid w:val="0000678A"/>
    <w:rsid w:val="00012E1E"/>
    <w:rsid w:val="00174AC7"/>
    <w:rsid w:val="00184C75"/>
    <w:rsid w:val="00247901"/>
    <w:rsid w:val="002645E9"/>
    <w:rsid w:val="002973B9"/>
    <w:rsid w:val="00366FD2"/>
    <w:rsid w:val="003813FE"/>
    <w:rsid w:val="00392907"/>
    <w:rsid w:val="00397A33"/>
    <w:rsid w:val="00567400"/>
    <w:rsid w:val="005B415D"/>
    <w:rsid w:val="005E61DF"/>
    <w:rsid w:val="005F3516"/>
    <w:rsid w:val="006126A3"/>
    <w:rsid w:val="00612801"/>
    <w:rsid w:val="00764283"/>
    <w:rsid w:val="008170C9"/>
    <w:rsid w:val="009A6D3D"/>
    <w:rsid w:val="009D30F8"/>
    <w:rsid w:val="00A16F1C"/>
    <w:rsid w:val="00BB68EE"/>
    <w:rsid w:val="00C50C12"/>
    <w:rsid w:val="00C77A3D"/>
    <w:rsid w:val="00C82378"/>
    <w:rsid w:val="00C87E31"/>
    <w:rsid w:val="00CF14E6"/>
    <w:rsid w:val="00DB6B32"/>
    <w:rsid w:val="00DC473D"/>
    <w:rsid w:val="00E37080"/>
    <w:rsid w:val="00E657B0"/>
    <w:rsid w:val="00E906E1"/>
    <w:rsid w:val="00EC58A0"/>
    <w:rsid w:val="00EE7058"/>
    <w:rsid w:val="00FB273F"/>
    <w:rsid w:val="01E44ED5"/>
    <w:rsid w:val="0413570E"/>
    <w:rsid w:val="04966A4C"/>
    <w:rsid w:val="04D76F81"/>
    <w:rsid w:val="0A6F1596"/>
    <w:rsid w:val="0C121688"/>
    <w:rsid w:val="0EE21C2F"/>
    <w:rsid w:val="0F846BCA"/>
    <w:rsid w:val="0FA4466E"/>
    <w:rsid w:val="10A9261E"/>
    <w:rsid w:val="120C01D2"/>
    <w:rsid w:val="16CF67BB"/>
    <w:rsid w:val="1C8E09A1"/>
    <w:rsid w:val="20333FA7"/>
    <w:rsid w:val="20D0087B"/>
    <w:rsid w:val="21254E4D"/>
    <w:rsid w:val="224B3C65"/>
    <w:rsid w:val="232B0245"/>
    <w:rsid w:val="24ED559C"/>
    <w:rsid w:val="255905AC"/>
    <w:rsid w:val="267B3CDB"/>
    <w:rsid w:val="28790ED9"/>
    <w:rsid w:val="2B1A3754"/>
    <w:rsid w:val="2E7C4156"/>
    <w:rsid w:val="2FCA0379"/>
    <w:rsid w:val="32C14E41"/>
    <w:rsid w:val="348567CC"/>
    <w:rsid w:val="360675C8"/>
    <w:rsid w:val="3AC91C7C"/>
    <w:rsid w:val="3AE15B43"/>
    <w:rsid w:val="3CC36F9F"/>
    <w:rsid w:val="3D7B092C"/>
    <w:rsid w:val="3FBA6E54"/>
    <w:rsid w:val="45D60EF6"/>
    <w:rsid w:val="47AB51C7"/>
    <w:rsid w:val="48B769D1"/>
    <w:rsid w:val="4B424F18"/>
    <w:rsid w:val="4CCC1D39"/>
    <w:rsid w:val="4E9C07D1"/>
    <w:rsid w:val="4F745616"/>
    <w:rsid w:val="501C6C92"/>
    <w:rsid w:val="50E96188"/>
    <w:rsid w:val="54325DD3"/>
    <w:rsid w:val="55746B5B"/>
    <w:rsid w:val="582E1BCB"/>
    <w:rsid w:val="58F30421"/>
    <w:rsid w:val="59436512"/>
    <w:rsid w:val="5D72301F"/>
    <w:rsid w:val="5EE440B4"/>
    <w:rsid w:val="5F1C14FA"/>
    <w:rsid w:val="5F742A4A"/>
    <w:rsid w:val="5FF50A22"/>
    <w:rsid w:val="606560FD"/>
    <w:rsid w:val="62033C61"/>
    <w:rsid w:val="629E017E"/>
    <w:rsid w:val="655C6782"/>
    <w:rsid w:val="66875BE0"/>
    <w:rsid w:val="6793594D"/>
    <w:rsid w:val="67CA10E5"/>
    <w:rsid w:val="67CA7FA1"/>
    <w:rsid w:val="69304B31"/>
    <w:rsid w:val="694602DD"/>
    <w:rsid w:val="6BB61770"/>
    <w:rsid w:val="6D354103"/>
    <w:rsid w:val="6D535020"/>
    <w:rsid w:val="6DDE7777"/>
    <w:rsid w:val="6EFC4043"/>
    <w:rsid w:val="6F6318F3"/>
    <w:rsid w:val="6F662674"/>
    <w:rsid w:val="6F714D89"/>
    <w:rsid w:val="70474EED"/>
    <w:rsid w:val="70D73D60"/>
    <w:rsid w:val="739B77F0"/>
    <w:rsid w:val="73F363CC"/>
    <w:rsid w:val="79494450"/>
    <w:rsid w:val="795909C7"/>
    <w:rsid w:val="7A072882"/>
    <w:rsid w:val="7BCF25DF"/>
    <w:rsid w:val="7F590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550</Words>
  <Characters>3135</Characters>
  <Lines>26</Lines>
  <Paragraphs>7</Paragraphs>
  <TotalTime>0</TotalTime>
  <ScaleCrop>false</ScaleCrop>
  <LinksUpToDate>false</LinksUpToDate>
  <CharactersWithSpaces>3678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2018-09-19T09:27:00Z</dcterms:created>
  <dc:creator>。</dc:creator>
  <cp:lastModifiedBy>社会福利科（老龄办）</cp:lastModifiedBy>
  <cp:lastPrinted>2018-09-19T08:44:00Z</cp:lastPrinted>
  <dcterms:modified xsi:type="dcterms:W3CDTF">2019-08-22T03:12:23Z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