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仿宋_GB2312"/>
          <w:szCs w:val="32"/>
        </w:rPr>
      </w:pPr>
      <w:r>
        <w:rPr>
          <w:rFonts w:hint="eastAsia" w:ascii="黑体" w:hAnsi="黑体" w:eastAsia="黑体" w:cs="仿宋_GB2312"/>
          <w:szCs w:val="32"/>
          <w:lang w:val="zh-TW" w:eastAsia="zh-TW"/>
        </w:rPr>
        <w:t>附件</w:t>
      </w:r>
      <w:r>
        <w:rPr>
          <w:rFonts w:hint="eastAsia" w:ascii="黑体" w:hAnsi="黑体" w:eastAsia="黑体" w:cs="仿宋_GB2312"/>
          <w:szCs w:val="32"/>
        </w:rPr>
        <w:t>2</w:t>
      </w:r>
    </w:p>
    <w:p>
      <w:pPr>
        <w:spacing w:line="540" w:lineRule="exact"/>
        <w:jc w:val="left"/>
        <w:rPr>
          <w:rFonts w:ascii="黑体" w:hAnsi="黑体" w:eastAsia="黑体" w:cs="仿宋_GB2312"/>
          <w:szCs w:val="32"/>
        </w:rPr>
      </w:pPr>
    </w:p>
    <w:p>
      <w:pPr>
        <w:snapToGrid w:val="0"/>
        <w:spacing w:line="520" w:lineRule="exact"/>
        <w:jc w:val="center"/>
        <w:rPr>
          <w:rFonts w:ascii="宋体" w:hAnsi="宋体" w:eastAsia="宋体" w:cs="宋体"/>
          <w:sz w:val="44"/>
          <w:szCs w:val="44"/>
        </w:rPr>
      </w:pPr>
      <w:r>
        <w:rPr>
          <w:rFonts w:hint="eastAsia" w:ascii="方正小标宋_GBK" w:hAnsi="方正小标宋_GBK" w:eastAsia="方正小标宋_GBK" w:cs="方正小标宋_GBK"/>
          <w:sz w:val="44"/>
          <w:szCs w:val="44"/>
        </w:rPr>
        <w:t>南山区“民生微实事”项目验收评价管理规定</w:t>
      </w:r>
    </w:p>
    <w:p>
      <w:pPr>
        <w:snapToGrid w:val="0"/>
        <w:spacing w:line="520" w:lineRule="exact"/>
        <w:jc w:val="center"/>
        <w:rPr>
          <w:rFonts w:ascii="宋体" w:hAnsi="宋体" w:eastAsia="宋体" w:cs="宋体"/>
          <w:sz w:val="44"/>
          <w:szCs w:val="44"/>
        </w:rPr>
      </w:pPr>
    </w:p>
    <w:p>
      <w:pPr>
        <w:snapToGrid w:val="0"/>
        <w:spacing w:line="520" w:lineRule="exact"/>
        <w:jc w:val="center"/>
        <w:rPr>
          <w:rFonts w:ascii="仿宋_GB2312" w:hAnsi="宋体" w:cs="宋体"/>
          <w:szCs w:val="32"/>
        </w:rPr>
      </w:pPr>
      <w:r>
        <w:rPr>
          <w:rFonts w:hint="eastAsia" w:ascii="黑体" w:hAnsi="黑体" w:eastAsia="黑体" w:cs="黑体"/>
          <w:szCs w:val="32"/>
        </w:rPr>
        <w:t>第一章  总则</w:t>
      </w:r>
    </w:p>
    <w:p>
      <w:pPr>
        <w:snapToGrid w:val="0"/>
        <w:spacing w:line="520" w:lineRule="exact"/>
        <w:ind w:firstLine="640" w:firstLineChars="200"/>
        <w:rPr>
          <w:rFonts w:ascii="黑体" w:hAnsi="黑体" w:eastAsia="黑体" w:cs="黑体"/>
          <w:szCs w:val="32"/>
        </w:rPr>
      </w:pP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第一条</w:t>
      </w:r>
      <w:r>
        <w:rPr>
          <w:rFonts w:hint="eastAsia" w:ascii="仿宋_GB2312" w:hAnsi="宋体" w:cs="宋体"/>
          <w:szCs w:val="32"/>
        </w:rPr>
        <w:t xml:space="preserve">  为进一步规范南山区“民生微实事”工作实施、切实提升服务质量和成效，根据国家、省、市、区相关文件要求，结合我区实际，制定本规定。</w:t>
      </w: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第二条</w:t>
      </w:r>
      <w:r>
        <w:rPr>
          <w:rFonts w:hint="eastAsia" w:ascii="仿宋_GB2312" w:hAnsi="宋体" w:cs="宋体"/>
          <w:szCs w:val="32"/>
        </w:rPr>
        <w:t xml:space="preserve">  项目验收，按照“谁实施、谁验收”的原则，由项目实施责任主体负责组织，需求提出方共同参与，对项目进行验收；项目评价由街道或社区负责组织，由社区广大党员群众主导，邀请社区内各类主体参与，重点评测“民生微实事”工作满意度。</w:t>
      </w:r>
    </w:p>
    <w:p>
      <w:pPr>
        <w:snapToGrid w:val="0"/>
        <w:spacing w:line="520" w:lineRule="exact"/>
        <w:jc w:val="center"/>
        <w:rPr>
          <w:rFonts w:ascii="黑体" w:hAnsi="黑体" w:eastAsia="黑体" w:cs="黑体"/>
          <w:szCs w:val="32"/>
        </w:rPr>
      </w:pPr>
    </w:p>
    <w:p>
      <w:pPr>
        <w:snapToGrid w:val="0"/>
        <w:spacing w:line="520" w:lineRule="exact"/>
        <w:jc w:val="center"/>
        <w:rPr>
          <w:rFonts w:ascii="黑体" w:hAnsi="黑体" w:eastAsia="黑体" w:cs="黑体"/>
          <w:szCs w:val="32"/>
        </w:rPr>
      </w:pPr>
      <w:r>
        <w:rPr>
          <w:rFonts w:hint="eastAsia" w:ascii="黑体" w:hAnsi="黑体" w:eastAsia="黑体" w:cs="黑体"/>
          <w:szCs w:val="32"/>
        </w:rPr>
        <w:t>第二章  项目验收</w:t>
      </w:r>
    </w:p>
    <w:p>
      <w:pPr>
        <w:snapToGrid w:val="0"/>
        <w:spacing w:line="520" w:lineRule="exact"/>
        <w:ind w:firstLine="640" w:firstLineChars="200"/>
        <w:jc w:val="left"/>
        <w:rPr>
          <w:rFonts w:ascii="黑体" w:hAnsi="黑体" w:eastAsia="黑体" w:cs="黑体"/>
          <w:szCs w:val="32"/>
        </w:rPr>
      </w:pPr>
    </w:p>
    <w:p>
      <w:pPr>
        <w:snapToGrid w:val="0"/>
        <w:spacing w:line="520" w:lineRule="exact"/>
        <w:ind w:firstLine="640" w:firstLineChars="200"/>
        <w:jc w:val="left"/>
        <w:rPr>
          <w:rFonts w:ascii="仿宋_GB2312" w:hAnsi="宋体" w:cs="宋体"/>
          <w:szCs w:val="32"/>
        </w:rPr>
      </w:pPr>
      <w:r>
        <w:rPr>
          <w:rFonts w:hint="eastAsia" w:ascii="黑体" w:hAnsi="黑体" w:eastAsia="黑体" w:cs="黑体"/>
          <w:szCs w:val="32"/>
        </w:rPr>
        <w:t>第三条</w:t>
      </w:r>
      <w:r>
        <w:rPr>
          <w:rFonts w:hint="eastAsia" w:ascii="仿宋_GB2312" w:hAnsi="宋体" w:cs="宋体"/>
          <w:szCs w:val="32"/>
        </w:rPr>
        <w:t xml:space="preserve">  服务类项目、货物类项目按照项目合同或协议规定的内容，项目实施责任主体可自行组织或委托有资质的第三方机构对履约情况进行验收，可邀请“两代表一委员”、居民代表、服务对象代表、项目设计人员等参与。</w:t>
      </w:r>
    </w:p>
    <w:p>
      <w:pPr>
        <w:snapToGrid w:val="0"/>
        <w:spacing w:line="520" w:lineRule="exact"/>
        <w:ind w:firstLine="640" w:firstLineChars="200"/>
        <w:jc w:val="left"/>
        <w:rPr>
          <w:rFonts w:ascii="仿宋_GB2312" w:hAnsi="宋体" w:cs="宋体"/>
          <w:szCs w:val="32"/>
        </w:rPr>
      </w:pPr>
      <w:r>
        <w:rPr>
          <w:rFonts w:hint="eastAsia" w:ascii="黑体" w:hAnsi="黑体" w:eastAsia="黑体" w:cs="黑体"/>
          <w:szCs w:val="32"/>
        </w:rPr>
        <w:t>第四条</w:t>
      </w:r>
      <w:r>
        <w:rPr>
          <w:rFonts w:hint="eastAsia" w:ascii="仿宋_GB2312" w:hAnsi="宋体" w:cs="宋体"/>
          <w:szCs w:val="32"/>
        </w:rPr>
        <w:t xml:space="preserve">  工程类项目按照工程验收相关规定组织开展。</w:t>
      </w:r>
    </w:p>
    <w:p>
      <w:pPr>
        <w:snapToGrid w:val="0"/>
        <w:spacing w:line="520" w:lineRule="exact"/>
        <w:ind w:firstLine="640" w:firstLineChars="200"/>
        <w:jc w:val="left"/>
        <w:rPr>
          <w:rFonts w:ascii="仿宋_GB2312" w:hAnsi="宋体" w:cs="宋体"/>
          <w:szCs w:val="32"/>
        </w:rPr>
      </w:pPr>
      <w:r>
        <w:rPr>
          <w:rFonts w:hint="eastAsia" w:ascii="黑体" w:hAnsi="黑体" w:eastAsia="黑体" w:cs="黑体"/>
          <w:szCs w:val="32"/>
        </w:rPr>
        <w:t>第五条</w:t>
      </w:r>
      <w:r>
        <w:rPr>
          <w:rFonts w:hint="eastAsia" w:ascii="仿宋_GB2312" w:hAnsi="宋体" w:cs="宋体"/>
          <w:szCs w:val="32"/>
        </w:rPr>
        <w:t xml:space="preserve">  项目验收应出具验收报告，项目实施责任主体和项目实施单位应对验收报告进行书面确认。</w:t>
      </w: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第六条</w:t>
      </w:r>
      <w:r>
        <w:rPr>
          <w:rFonts w:hint="eastAsia" w:ascii="仿宋_GB2312" w:hAnsi="宋体" w:cs="宋体"/>
          <w:szCs w:val="32"/>
        </w:rPr>
        <w:t xml:space="preserve">  原则上项目实施结束后一个月内，应组织验收，确需推迟验收的，应报街道党工委备案。</w:t>
      </w: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第七条</w:t>
      </w:r>
      <w:r>
        <w:rPr>
          <w:rFonts w:hint="eastAsia" w:ascii="仿宋_GB2312" w:hAnsi="宋体" w:cs="宋体"/>
          <w:szCs w:val="32"/>
        </w:rPr>
        <w:t xml:space="preserve">  验收结果应向社会公告，并作为项目决算的依据。验收未通过的项目，不得支付项目尾款，项目实施单位应按规定期限进行整改，拒不整改或整改效果不符合要求的，纳入区或街道“民生微实事”项目负面清单，并由项目实施责任主体根据合同内容进行追责。</w:t>
      </w:r>
    </w:p>
    <w:p>
      <w:pPr>
        <w:autoSpaceDE w:val="0"/>
        <w:snapToGrid w:val="0"/>
        <w:spacing w:line="520" w:lineRule="exact"/>
        <w:jc w:val="center"/>
        <w:rPr>
          <w:rFonts w:ascii="黑体" w:hAnsi="黑体" w:eastAsia="黑体" w:cs="黑体"/>
          <w:szCs w:val="32"/>
        </w:rPr>
      </w:pPr>
    </w:p>
    <w:p>
      <w:pPr>
        <w:autoSpaceDE w:val="0"/>
        <w:snapToGrid w:val="0"/>
        <w:spacing w:line="520" w:lineRule="exact"/>
        <w:jc w:val="center"/>
        <w:rPr>
          <w:rFonts w:ascii="黑体" w:hAnsi="黑体" w:eastAsia="黑体" w:cs="黑体"/>
          <w:szCs w:val="32"/>
        </w:rPr>
      </w:pPr>
      <w:r>
        <w:rPr>
          <w:rFonts w:hint="eastAsia" w:ascii="黑体" w:hAnsi="黑体" w:eastAsia="黑体" w:cs="黑体"/>
          <w:szCs w:val="32"/>
        </w:rPr>
        <w:t>第三章  项目评价</w:t>
      </w:r>
    </w:p>
    <w:p>
      <w:pPr>
        <w:snapToGrid w:val="0"/>
        <w:spacing w:line="520" w:lineRule="exact"/>
        <w:ind w:firstLine="640" w:firstLineChars="200"/>
        <w:rPr>
          <w:rFonts w:ascii="黑体" w:hAnsi="黑体" w:eastAsia="黑体" w:cs="黑体"/>
          <w:szCs w:val="32"/>
        </w:rPr>
      </w:pP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第八条</w:t>
      </w:r>
      <w:r>
        <w:rPr>
          <w:rFonts w:hint="eastAsia" w:ascii="仿宋_GB2312" w:hAnsi="宋体" w:cs="宋体"/>
          <w:szCs w:val="32"/>
        </w:rPr>
        <w:t xml:space="preserve">  项目评价分为集中评价和日常评价两种方式，评价标准为居民对项目满意度、实施效果与居民需求的契合度。</w:t>
      </w:r>
    </w:p>
    <w:p>
      <w:pPr>
        <w:snapToGrid w:val="0"/>
        <w:spacing w:line="520" w:lineRule="exact"/>
        <w:ind w:firstLine="640" w:firstLineChars="200"/>
        <w:rPr>
          <w:rFonts w:ascii="仿宋_GB2312" w:hAnsi="宋体" w:cs="宋体"/>
          <w:szCs w:val="32"/>
        </w:rPr>
      </w:pPr>
      <w:r>
        <w:rPr>
          <w:rFonts w:hint="eastAsia" w:ascii="仿宋_GB2312" w:hAnsi="宋体" w:cs="宋体"/>
          <w:szCs w:val="32"/>
        </w:rPr>
        <w:t>集中评价由社区党委牵头，以召开党群联席会议的形式，发动需求提出方、辖区各类组织领头人、“两代表一委员”、居民代表、服务对象代表等参与项目评价。集中评价每半年开展一次，评价半年来本社区完成的全部项目，可结合年终和年中社区党委总结汇报工作或“民生微实事”公众体验日活动一并开展。</w:t>
      </w:r>
    </w:p>
    <w:p>
      <w:pPr>
        <w:snapToGrid w:val="0"/>
        <w:spacing w:line="520" w:lineRule="exact"/>
        <w:ind w:firstLine="640" w:firstLineChars="200"/>
        <w:rPr>
          <w:rFonts w:ascii="仿宋_GB2312" w:hAnsi="宋体" w:cs="宋体"/>
          <w:szCs w:val="32"/>
        </w:rPr>
      </w:pPr>
      <w:r>
        <w:rPr>
          <w:rFonts w:hint="eastAsia" w:ascii="仿宋_GB2312" w:hAnsi="宋体" w:cs="宋体"/>
          <w:szCs w:val="32"/>
        </w:rPr>
        <w:t>日常评价以项目为单位，由监督团队开展，采取入户走访、社区随访、电话回访、问卷调查、专题座谈等方式，全流程收集居民评价。</w:t>
      </w:r>
    </w:p>
    <w:p>
      <w:pPr>
        <w:snapToGrid w:val="0"/>
        <w:spacing w:line="520" w:lineRule="exact"/>
        <w:ind w:firstLine="640" w:firstLineChars="200"/>
        <w:rPr>
          <w:rFonts w:ascii="仿宋_GB2312" w:hAnsi="宋体" w:cs="宋体"/>
          <w:szCs w:val="32"/>
        </w:rPr>
      </w:pPr>
      <w:r>
        <w:rPr>
          <w:rFonts w:hint="eastAsia" w:ascii="仿宋_GB2312" w:hAnsi="宋体" w:cs="宋体"/>
          <w:szCs w:val="32"/>
        </w:rPr>
        <w:t>集中评价和日常评价的结果由社区党委报街道党工委备案。</w:t>
      </w: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第九条</w:t>
      </w:r>
      <w:r>
        <w:rPr>
          <w:rFonts w:hint="eastAsia" w:ascii="仿宋_GB2312" w:hAnsi="宋体" w:cs="宋体"/>
          <w:szCs w:val="32"/>
        </w:rPr>
        <w:t xml:space="preserve">  跨社区项目的评价由街道党工委组织开展，具体形式由街道党工委确定。</w:t>
      </w:r>
    </w:p>
    <w:p>
      <w:pPr>
        <w:snapToGrid w:val="0"/>
        <w:spacing w:line="520" w:lineRule="exact"/>
        <w:jc w:val="center"/>
        <w:rPr>
          <w:rFonts w:ascii="黑体" w:hAnsi="黑体" w:eastAsia="黑体" w:cs="黑体"/>
          <w:szCs w:val="32"/>
        </w:rPr>
      </w:pPr>
    </w:p>
    <w:p>
      <w:pPr>
        <w:snapToGrid w:val="0"/>
        <w:spacing w:line="520" w:lineRule="exact"/>
        <w:jc w:val="center"/>
        <w:rPr>
          <w:rFonts w:ascii="黑体" w:hAnsi="黑体" w:eastAsia="黑体" w:cs="黑体"/>
          <w:szCs w:val="32"/>
        </w:rPr>
      </w:pPr>
      <w:r>
        <w:rPr>
          <w:rFonts w:hint="eastAsia" w:ascii="黑体" w:hAnsi="黑体" w:eastAsia="黑体" w:cs="黑体"/>
          <w:szCs w:val="32"/>
        </w:rPr>
        <w:t>第四章  附则</w:t>
      </w:r>
    </w:p>
    <w:p>
      <w:pPr>
        <w:snapToGrid w:val="0"/>
        <w:spacing w:line="520" w:lineRule="exact"/>
        <w:ind w:firstLine="640" w:firstLineChars="200"/>
        <w:rPr>
          <w:rFonts w:ascii="黑体" w:hAnsi="黑体" w:eastAsia="黑体" w:cs="黑体"/>
          <w:szCs w:val="32"/>
        </w:rPr>
      </w:pPr>
    </w:p>
    <w:p>
      <w:pPr>
        <w:snapToGrid w:val="0"/>
        <w:spacing w:line="520" w:lineRule="exact"/>
        <w:ind w:firstLine="640" w:firstLineChars="200"/>
        <w:rPr>
          <w:rFonts w:ascii="仿宋_GB2312" w:hAnsi="宋体" w:cs="宋体"/>
          <w:szCs w:val="32"/>
        </w:rPr>
      </w:pPr>
      <w:r>
        <w:rPr>
          <w:rFonts w:hint="eastAsia" w:ascii="黑体" w:hAnsi="黑体" w:eastAsia="黑体" w:cs="黑体"/>
          <w:szCs w:val="32"/>
        </w:rPr>
        <w:t>第十条</w:t>
      </w:r>
      <w:r>
        <w:rPr>
          <w:rFonts w:hint="eastAsia" w:ascii="宋体" w:hAnsi="宋体" w:cs="Calibri"/>
          <w:szCs w:val="32"/>
        </w:rPr>
        <w:t xml:space="preserve">  </w:t>
      </w:r>
      <w:r>
        <w:rPr>
          <w:rFonts w:hint="eastAsia" w:ascii="仿宋_GB2312" w:hAnsi="宋体" w:cs="宋体"/>
          <w:bCs/>
          <w:szCs w:val="32"/>
        </w:rPr>
        <w:t>本规定有效期三年，</w:t>
      </w:r>
      <w:r>
        <w:rPr>
          <w:rFonts w:hint="eastAsia" w:ascii="仿宋_GB2312" w:hAnsi="宋体" w:cs="宋体"/>
          <w:szCs w:val="32"/>
        </w:rPr>
        <w:t>自</w:t>
      </w:r>
      <w:r>
        <w:rPr>
          <w:rFonts w:hint="eastAsia" w:ascii="仿宋_GB2312" w:hAnsi="宋体" w:cs="宋体"/>
          <w:szCs w:val="32"/>
          <w:lang w:val="en-US" w:eastAsia="zh-CN"/>
        </w:rPr>
        <w:t>2020</w:t>
      </w:r>
      <w:r>
        <w:rPr>
          <w:rFonts w:hint="eastAsia" w:ascii="仿宋_GB2312" w:hAnsi="宋体" w:cs="宋体"/>
          <w:szCs w:val="32"/>
        </w:rPr>
        <w:t>年</w:t>
      </w:r>
      <w:r>
        <w:rPr>
          <w:rFonts w:hint="eastAsia" w:ascii="仿宋_GB2312" w:hAnsi="宋体" w:cs="宋体"/>
          <w:szCs w:val="32"/>
          <w:lang w:val="en-US" w:eastAsia="zh-CN"/>
        </w:rPr>
        <w:t>9</w:t>
      </w:r>
      <w:r>
        <w:rPr>
          <w:rFonts w:hint="eastAsia" w:ascii="仿宋_GB2312" w:hAnsi="宋体" w:cs="宋体"/>
          <w:szCs w:val="32"/>
        </w:rPr>
        <w:t>月</w:t>
      </w:r>
      <w:r>
        <w:rPr>
          <w:rFonts w:hint="eastAsia" w:ascii="仿宋_GB2312" w:hAnsi="宋体" w:cs="宋体"/>
          <w:szCs w:val="32"/>
          <w:lang w:val="en-US" w:eastAsia="zh-CN"/>
        </w:rPr>
        <w:t>10</w:t>
      </w:r>
      <w:r>
        <w:rPr>
          <w:rFonts w:hint="eastAsia" w:ascii="仿宋_GB2312" w:hAnsi="宋体" w:cs="宋体"/>
          <w:szCs w:val="32"/>
        </w:rPr>
        <w:t>日起施行。</w:t>
      </w:r>
    </w:p>
    <w:p>
      <w:pPr>
        <w:snapToGrid w:val="0"/>
        <w:spacing w:line="520" w:lineRule="exact"/>
        <w:ind w:firstLine="640"/>
        <w:jc w:val="left"/>
        <w:rPr>
          <w:rFonts w:ascii="仿宋_GB2312" w:hAnsi="宋体" w:cs="宋体"/>
          <w:szCs w:val="32"/>
        </w:rPr>
      </w:pPr>
      <w:r>
        <w:rPr>
          <w:rFonts w:hint="eastAsia" w:ascii="黑体" w:hAnsi="黑体" w:eastAsia="黑体" w:cs="黑体"/>
          <w:szCs w:val="32"/>
        </w:rPr>
        <w:t>第十一条</w:t>
      </w:r>
      <w:r>
        <w:rPr>
          <w:rFonts w:hint="eastAsia" w:ascii="宋体" w:hAnsi="宋体" w:cs="Calibri"/>
          <w:szCs w:val="32"/>
        </w:rPr>
        <w:t xml:space="preserve">  </w:t>
      </w:r>
      <w:r>
        <w:rPr>
          <w:rFonts w:hint="eastAsia" w:ascii="仿宋_GB2312" w:hAnsi="宋体" w:cs="宋体"/>
          <w:szCs w:val="32"/>
        </w:rPr>
        <w:t>本规定由区民政局负责解释。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E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2020-09-04T01:23:21Z</dcterms:created>
  <dc:creator>Administrator.DESKTOP-JR2EJNJ</dc:creator>
  <cp:lastModifiedBy>winter</cp:lastModifiedBy>
  <dcterms:modified xsi:type="dcterms:W3CDTF">2020-09-04T01:24:05Z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