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  <w:lang w:val="zh-TW" w:eastAsia="zh-TW"/>
        </w:rPr>
        <w:t>附件</w:t>
      </w:r>
      <w:r>
        <w:rPr>
          <w:rFonts w:hint="eastAsia" w:ascii="黑体" w:hAnsi="黑体" w:eastAsia="黑体" w:cs="仿宋_GB2312"/>
          <w:szCs w:val="32"/>
        </w:rPr>
        <w:t>1</w:t>
      </w:r>
    </w:p>
    <w:p>
      <w:pPr>
        <w:pStyle w:val="4"/>
        <w:spacing w:line="540" w:lineRule="exact"/>
        <w:ind w:firstLine="314"/>
      </w:pPr>
    </w:p>
    <w:p>
      <w:pPr>
        <w:widowControl/>
        <w:snapToGrid w:val="0"/>
        <w:spacing w:line="560" w:lineRule="exact"/>
        <w:jc w:val="center"/>
        <w:rPr>
          <w:rFonts w:ascii="宋体" w:hAnsi="宋体" w:cs="黑体"/>
          <w:sz w:val="44"/>
          <w:szCs w:val="44"/>
        </w:rPr>
      </w:pPr>
      <w:bookmarkStart w:id="0" w:name="_Toc485720383"/>
      <w:bookmarkStart w:id="1" w:name="_Toc485133644"/>
      <w:bookmarkStart w:id="2" w:name="_Toc48575122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南山区“民生微实事”项目资金绩效管理规定</w:t>
      </w:r>
    </w:p>
    <w:p>
      <w:pPr>
        <w:snapToGrid w:val="0"/>
        <w:spacing w:line="560" w:lineRule="exact"/>
        <w:jc w:val="center"/>
        <w:rPr>
          <w:rFonts w:ascii="仿宋_GB2312" w:hAnsi="仿宋_GB2312" w:cs="仿宋_GB231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第一章</w:t>
      </w:r>
      <w:r>
        <w:rPr>
          <w:rFonts w:hint="eastAsia" w:eastAsia="黑体" w:cs="Calibri"/>
          <w:szCs w:val="32"/>
        </w:rPr>
        <w:t xml:space="preserve">  </w:t>
      </w:r>
      <w:r>
        <w:rPr>
          <w:rFonts w:hint="eastAsia" w:ascii="黑体" w:hAnsi="黑体" w:eastAsia="黑体" w:cs="黑体"/>
          <w:szCs w:val="32"/>
        </w:rPr>
        <w:t>总则</w:t>
      </w:r>
      <w:r>
        <w:rPr>
          <w:rFonts w:hint="eastAsia" w:ascii="仿宋_GB2312" w:hAnsi="宋体" w:cs="宋体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第一条</w:t>
      </w:r>
      <w:r>
        <w:rPr>
          <w:rFonts w:hint="eastAsia" w:ascii="宋体" w:hAnsi="宋体" w:cs="Calibri"/>
          <w:szCs w:val="32"/>
        </w:rPr>
        <w:t xml:space="preserve">  </w:t>
      </w:r>
      <w:r>
        <w:rPr>
          <w:rFonts w:hint="eastAsia" w:ascii="仿宋_GB2312" w:hAnsi="宋体" w:cs="宋体"/>
          <w:szCs w:val="32"/>
        </w:rPr>
        <w:t>为进一步加强和规范南山区“民生微实事”项目资金（以下简称“项目资金”）管理，保障各项“民生微实事”工作的顺利推进，根据国家、省、市、区相关文件要求，结合我区实际，特制定本规定。</w:t>
      </w:r>
    </w:p>
    <w:p>
      <w:pPr>
        <w:snapToGrid w:val="0"/>
        <w:spacing w:line="560" w:lineRule="exact"/>
        <w:ind w:firstLine="648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第二条</w:t>
      </w:r>
      <w:r>
        <w:rPr>
          <w:rFonts w:hint="eastAsia" w:ascii="宋体" w:hAnsi="宋体" w:cs="Calibri"/>
          <w:szCs w:val="32"/>
        </w:rPr>
        <w:t xml:space="preserve">  </w:t>
      </w:r>
      <w:r>
        <w:rPr>
          <w:rFonts w:hint="eastAsia" w:ascii="仿宋_GB2312" w:hAnsi="宋体" w:cs="宋体"/>
          <w:szCs w:val="32"/>
        </w:rPr>
        <w:t>项目资金按照“专款专用、分级承担、公开透明、注重实效”的原则进行管理、使用和监督。</w:t>
      </w:r>
    </w:p>
    <w:p>
      <w:pPr>
        <w:snapToGrid w:val="0"/>
        <w:spacing w:line="560" w:lineRule="exact"/>
        <w:ind w:firstLine="648"/>
        <w:jc w:val="left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第三条</w:t>
      </w:r>
      <w:r>
        <w:rPr>
          <w:rFonts w:hint="eastAsia" w:ascii="仿宋_GB2312" w:hAnsi="宋体" w:cs="宋体"/>
          <w:szCs w:val="32"/>
        </w:rPr>
        <w:t xml:space="preserve">  项目资金以街道为单位，列入各街道办事处年度部门预算。同一街道内各社区资金可不实行平均分配，街道党工委结合社区实际，统筹资金安排，重点向基础条件薄弱社区、群众急事难事项目倾斜。</w:t>
      </w:r>
    </w:p>
    <w:p>
      <w:pPr>
        <w:snapToGrid w:val="0"/>
        <w:spacing w:line="560" w:lineRule="exact"/>
        <w:ind w:firstLine="648"/>
        <w:jc w:val="lef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除项目资金外，各街道组织开展“民生微实事”所需工作经费，在街道部门预算内统筹考虑。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第二章</w:t>
      </w:r>
      <w:r>
        <w:rPr>
          <w:rFonts w:hint="eastAsia" w:eastAsia="黑体" w:cs="Calibri"/>
          <w:szCs w:val="32"/>
        </w:rPr>
        <w:t xml:space="preserve">  项目</w:t>
      </w:r>
      <w:r>
        <w:rPr>
          <w:rFonts w:hint="eastAsia" w:ascii="黑体" w:hAnsi="黑体" w:eastAsia="黑体" w:cs="黑体"/>
          <w:szCs w:val="32"/>
        </w:rPr>
        <w:t>资金的使用范围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第四条</w:t>
      </w:r>
      <w:r>
        <w:rPr>
          <w:rFonts w:hint="eastAsia" w:ascii="宋体" w:hAnsi="宋体" w:cs="Calibri"/>
          <w:szCs w:val="32"/>
        </w:rPr>
        <w:t xml:space="preserve">  </w:t>
      </w:r>
      <w:r>
        <w:rPr>
          <w:rFonts w:hint="eastAsia" w:ascii="仿宋_GB2312" w:hAnsi="宋体" w:cs="宋体"/>
          <w:szCs w:val="32"/>
        </w:rPr>
        <w:t>项目资金使用限定在以下范围：</w:t>
      </w:r>
    </w:p>
    <w:p>
      <w:pPr>
        <w:numPr>
          <w:ilvl w:val="0"/>
          <w:numId w:val="1"/>
        </w:num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项目实施经费，包括工程款、货物款、服务款等。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szCs w:val="32"/>
        </w:rPr>
        <w:t>项目实施过</w:t>
      </w:r>
      <w:r>
        <w:rPr>
          <w:rFonts w:hint="eastAsia" w:ascii="仿宋_GB2312" w:hAnsi="宋体" w:cs="宋体"/>
          <w:kern w:val="0"/>
          <w:szCs w:val="32"/>
        </w:rPr>
        <w:t>程中涉及的全流程督导、资金监管、设计、监理、造价、验收、评价、宣传推广等工作，以年度为单位，由街道党工委以服务类项目的形式实施，所需经费在年度“民生微实事”项目资金中列支，金额不超过街道资金总额的7%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“民生微实事”项目产生的其他费用。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 xml:space="preserve">    </w:t>
      </w:r>
      <w:r>
        <w:rPr>
          <w:rFonts w:hint="eastAsia" w:ascii="黑体" w:hAnsi="黑体" w:eastAsia="黑体" w:cs="黑体"/>
          <w:szCs w:val="32"/>
        </w:rPr>
        <w:t>第五条</w:t>
      </w:r>
      <w:r>
        <w:rPr>
          <w:rFonts w:hint="eastAsia" w:ascii="仿宋_GB2312" w:hAnsi="宋体" w:cs="宋体"/>
          <w:szCs w:val="32"/>
        </w:rPr>
        <w:t xml:space="preserve">  项目资金原则上</w:t>
      </w:r>
      <w:r>
        <w:rPr>
          <w:rFonts w:hint="eastAsia" w:ascii="仿宋_GB2312" w:hAnsi="宋体" w:cs="宋体"/>
          <w:bCs/>
          <w:szCs w:val="32"/>
        </w:rPr>
        <w:t>不支出以下</w:t>
      </w:r>
      <w:r>
        <w:rPr>
          <w:rFonts w:hint="eastAsia" w:ascii="仿宋_GB2312" w:hAnsi="宋体" w:cs="宋体"/>
          <w:szCs w:val="32"/>
        </w:rPr>
        <w:t>项目：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/>
          <w:szCs w:val="32"/>
        </w:rPr>
        <w:t>单项资金金额超过相关规定的项目。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在建、拟建的政府投资项目。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已纳入政府固定资产投资类的项目。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已列入街道办事处年度部门预算的项目。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szCs w:val="32"/>
        </w:rPr>
        <w:t>社区办公用房的装修及设备采购项目</w:t>
      </w:r>
      <w:r>
        <w:rPr>
          <w:rFonts w:hint="eastAsia" w:ascii="仿宋_GB2312" w:hAnsi="宋体"/>
          <w:bCs/>
          <w:szCs w:val="32"/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/>
          <w:szCs w:val="32"/>
        </w:rPr>
      </w:pPr>
      <w:r>
        <w:rPr>
          <w:rFonts w:hint="eastAsia" w:ascii="仿宋_GB2312" w:hAnsi="宋体"/>
          <w:bCs/>
          <w:szCs w:val="32"/>
        </w:rPr>
        <w:t>应当由各级党委、政府以及群众自治组织提供的服务和项目</w:t>
      </w:r>
      <w:r>
        <w:rPr>
          <w:rFonts w:hint="eastAsia" w:ascii="仿宋_GB2312" w:hAnsi="宋体" w:cs="宋体"/>
          <w:szCs w:val="32"/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szCs w:val="32"/>
        </w:rPr>
        <w:t>应由其它法人</w:t>
      </w:r>
      <w:r>
        <w:rPr>
          <w:rFonts w:hint="eastAsia" w:ascii="仿宋_GB2312" w:hAnsi="宋体"/>
          <w:bCs/>
          <w:szCs w:val="32"/>
        </w:rPr>
        <w:t>主体提供的服务和项目。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其它不应认定为“民生微实事”的项目。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 xml:space="preserve">    </w:t>
      </w:r>
      <w:r>
        <w:rPr>
          <w:rFonts w:hint="eastAsia" w:ascii="黑体" w:hAnsi="黑体" w:eastAsia="黑体" w:cs="黑体"/>
          <w:szCs w:val="32"/>
        </w:rPr>
        <w:t>第六条</w:t>
      </w:r>
      <w:r>
        <w:rPr>
          <w:rFonts w:hint="eastAsia" w:ascii="仿宋_GB2312" w:hAnsi="宋体" w:cs="宋体"/>
          <w:szCs w:val="32"/>
        </w:rPr>
        <w:t xml:space="preserve">  项目资金的使用分为街道和社区两个层级，街道级项目资金用于实施金额较大、专业性较强或跨社区的项目，由街道党工委支出；社区级项目资金用于社区一般性项目，由各社区党委支出。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 xml:space="preserve">    </w:t>
      </w:r>
      <w:r>
        <w:rPr>
          <w:rFonts w:hint="eastAsia" w:ascii="黑体" w:hAnsi="黑体" w:eastAsia="黑体" w:cs="黑体"/>
          <w:szCs w:val="32"/>
        </w:rPr>
        <w:t>第七条</w:t>
      </w:r>
      <w:r>
        <w:rPr>
          <w:rFonts w:hint="eastAsia" w:ascii="仿宋_GB2312" w:hAnsi="宋体" w:cs="宋体"/>
          <w:szCs w:val="32"/>
        </w:rPr>
        <w:t xml:space="preserve">  街道党工委综合平衡辖区内各社区实际需求，统筹安排本街道项目资金使用。</w:t>
      </w:r>
    </w:p>
    <w:p>
      <w:pPr>
        <w:snapToGrid w:val="0"/>
        <w:spacing w:line="560" w:lineRule="exact"/>
        <w:ind w:firstLine="64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第八条</w:t>
      </w:r>
      <w:r>
        <w:rPr>
          <w:rFonts w:hint="eastAsia" w:ascii="仿宋_GB2312" w:hAnsi="宋体" w:cs="宋体"/>
          <w:szCs w:val="32"/>
        </w:rPr>
        <w:t xml:space="preserve">  街道党工委、社区党委可通过购买服务的方式实施项目，承接项目的第三方单位须具备相关专业资质，并具有实施该项目的人力资源、物质资源保障。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第三章</w:t>
      </w:r>
      <w:r>
        <w:rPr>
          <w:rFonts w:hint="eastAsia" w:eastAsia="黑体" w:cs="Calibri"/>
          <w:szCs w:val="32"/>
        </w:rPr>
        <w:t xml:space="preserve">  项目</w:t>
      </w:r>
      <w:r>
        <w:rPr>
          <w:rFonts w:hint="eastAsia" w:ascii="黑体" w:hAnsi="黑体" w:eastAsia="黑体" w:cs="黑体"/>
          <w:szCs w:val="32"/>
        </w:rPr>
        <w:t>资金申请与审批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第九条</w:t>
      </w:r>
      <w:r>
        <w:rPr>
          <w:rFonts w:hint="eastAsia" w:ascii="仿宋_GB2312" w:hAnsi="宋体" w:cs="宋体"/>
          <w:szCs w:val="32"/>
        </w:rPr>
        <w:t xml:space="preserve">  项目资金申请按以下要求执行：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工程类项目按南山区建设工程有关经费标准执行。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宋体" w:cs="宋体"/>
          <w:bCs/>
          <w:szCs w:val="32"/>
        </w:rPr>
      </w:pPr>
      <w:r>
        <w:rPr>
          <w:rFonts w:hint="eastAsia" w:ascii="仿宋_GB2312" w:hAnsi="宋体" w:cs="宋体"/>
          <w:szCs w:val="32"/>
        </w:rPr>
        <w:t>货物类项目属于政府集中采购物品的，按现行采购标准及规定执行；不属于集中采购的，由采购单位按照《深圳经济特区政府采购条例》《深圳经济特区政府采购条例实施细则》等规定组织实施或委托代理机构实施。</w:t>
      </w:r>
      <w:r>
        <w:rPr>
          <w:rFonts w:hint="eastAsia" w:ascii="仿宋_GB2312" w:hAnsi="宋体" w:cs="宋体"/>
          <w:bCs/>
          <w:szCs w:val="32"/>
        </w:rPr>
        <w:t>采购活动实行单位负责人负责制，</w:t>
      </w:r>
      <w:r>
        <w:rPr>
          <w:rFonts w:hint="eastAsia" w:ascii="仿宋_GB2312" w:hAnsi="宋体" w:cs="宋体"/>
          <w:szCs w:val="32"/>
        </w:rPr>
        <w:t>委托代理机构实施的，由采购单位执行监管。</w:t>
      </w:r>
      <w:r>
        <w:rPr>
          <w:rFonts w:hint="eastAsia" w:ascii="仿宋_GB2312" w:hAnsi="宋体" w:cs="宋体"/>
          <w:bCs/>
          <w:szCs w:val="32"/>
        </w:rPr>
        <w:t>采购结果应进行公示。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宋体" w:cs="宋体"/>
          <w:bCs/>
          <w:szCs w:val="32"/>
        </w:rPr>
      </w:pPr>
      <w:r>
        <w:rPr>
          <w:rFonts w:hint="eastAsia" w:ascii="仿宋_GB2312" w:hAnsi="宋体" w:cs="宋体"/>
          <w:bCs/>
          <w:szCs w:val="32"/>
        </w:rPr>
        <w:t>服务类项目按市、区级相关财务文件经费标准执行。</w:t>
      </w:r>
    </w:p>
    <w:p>
      <w:pPr>
        <w:snapToGrid w:val="0"/>
        <w:spacing w:line="560" w:lineRule="exact"/>
        <w:ind w:firstLine="64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第十条</w:t>
      </w:r>
      <w:r>
        <w:rPr>
          <w:rFonts w:hint="eastAsia" w:ascii="仿宋_GB2312" w:hAnsi="宋体" w:cs="宋体"/>
          <w:szCs w:val="32"/>
        </w:rPr>
        <w:t xml:space="preserve">  项目资金申请具体按照《南山区“民生微实事”工作管理办法》相关规定执行。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第四章</w:t>
      </w:r>
      <w:r>
        <w:rPr>
          <w:rFonts w:hint="eastAsia" w:eastAsia="黑体" w:cs="Calibri"/>
          <w:szCs w:val="32"/>
        </w:rPr>
        <w:t xml:space="preserve">  </w:t>
      </w:r>
      <w:r>
        <w:rPr>
          <w:rFonts w:hint="eastAsia" w:ascii="黑体" w:hAnsi="黑体" w:eastAsia="黑体" w:cs="黑体"/>
          <w:szCs w:val="32"/>
        </w:rPr>
        <w:t>监督与评价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第十一条</w:t>
      </w:r>
      <w:r>
        <w:rPr>
          <w:rFonts w:hint="eastAsia" w:ascii="仿宋_GB2312" w:hAnsi="宋体" w:cs="宋体"/>
          <w:szCs w:val="32"/>
        </w:rPr>
        <w:t xml:space="preserve">  资金使用单位要建立和完善项目资金的使用台账，对“民生微实事”项目进行动态跟踪，对“民生微实事”项目开展情况及项目资料完整性等方面进行自查，对发现的问题及时整改并上报街道党工委。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第十二条</w:t>
      </w:r>
      <w:r>
        <w:rPr>
          <w:rFonts w:hint="eastAsia" w:ascii="仿宋_GB2312" w:hAnsi="宋体" w:cs="宋体"/>
          <w:szCs w:val="32"/>
        </w:rPr>
        <w:t xml:space="preserve">  各街道党工委建立和完善项目资金的发放台账，对“民生微实事”项目进行动态监管，定期对“民生微实事”项目开展情况实施普查，确保项目资金依法合规使用，并将普查情况报送区“民生微实事”专责小组办公室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第十三条</w:t>
      </w:r>
      <w:r>
        <w:rPr>
          <w:rFonts w:hint="eastAsia" w:ascii="仿宋_GB2312" w:hAnsi="宋体" w:cs="宋体"/>
          <w:szCs w:val="32"/>
        </w:rPr>
        <w:t xml:space="preserve">  项目资金使用完毕后，街道党工委对资金的使用情况及项目绩效情况进行评价，可委托第三方专业机构开展绩效评价工作。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第十四条</w:t>
      </w:r>
      <w:r>
        <w:rPr>
          <w:rFonts w:hint="eastAsia" w:ascii="仿宋_GB2312" w:hAnsi="宋体" w:cs="宋体"/>
          <w:szCs w:val="32"/>
        </w:rPr>
        <w:t xml:space="preserve">  区财政、民政部门对“民生微实事”项目进行抽查，并根据需要实施重点绩效评价或再评价，促进各单位改进项目管理、提高资金使用效益。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第十五条</w:t>
      </w:r>
      <w:r>
        <w:rPr>
          <w:rFonts w:hint="eastAsia" w:ascii="仿宋_GB2312" w:hAnsi="宋体" w:cs="宋体"/>
          <w:szCs w:val="32"/>
        </w:rPr>
        <w:t xml:space="preserve">  所有项目完成后均需建立完整档案，包括项目申请审批材料、购买第三方机构实施项目材料、资金拨付材料等，保证档案妥善保管，以备验收、审计、抽查。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　　</w:t>
      </w:r>
      <w:r>
        <w:rPr>
          <w:rFonts w:hint="eastAsia" w:ascii="黑体" w:hAnsi="黑体" w:eastAsia="黑体" w:cs="黑体"/>
          <w:szCs w:val="32"/>
        </w:rPr>
        <w:t>第十六条</w:t>
      </w:r>
      <w:r>
        <w:rPr>
          <w:rFonts w:hint="eastAsia" w:ascii="仿宋_GB2312" w:hAnsi="宋体" w:cs="宋体"/>
          <w:szCs w:val="32"/>
        </w:rPr>
        <w:t xml:space="preserve">  项目资金须严格按规定使用，资金使用单位有下列行为之一的，将停止拨付，并追回涉及违规的已拨付资金；情节严重的，由相关部门依法对相关责任人进行处理。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　　（一）擅自改变使用范围。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　　（二）挪用、侵占项目资金。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　　（三）利用虚假材料骗取项目资金。</w:t>
      </w:r>
    </w:p>
    <w:p>
      <w:pPr>
        <w:snapToGrid w:val="0"/>
        <w:spacing w:line="56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 xml:space="preserve">    （四）违反有关规定导致项目延期、取消或终止。</w:t>
      </w:r>
    </w:p>
    <w:p>
      <w:pPr>
        <w:snapToGrid w:val="0"/>
        <w:spacing w:line="560" w:lineRule="exact"/>
        <w:ind w:firstLine="640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（五）违反国家有关法律、法规及本规定的其他行为。</w:t>
      </w:r>
    </w:p>
    <w:p>
      <w:pPr>
        <w:snapToGrid w:val="0"/>
        <w:spacing w:line="56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第五章  附则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第十七条</w:t>
      </w:r>
      <w:r>
        <w:rPr>
          <w:rFonts w:hint="eastAsia" w:ascii="宋体" w:hAnsi="宋体" w:cs="Calibri"/>
          <w:szCs w:val="32"/>
        </w:rPr>
        <w:t xml:space="preserve">  </w:t>
      </w:r>
      <w:r>
        <w:rPr>
          <w:rFonts w:hint="eastAsia" w:ascii="仿宋_GB2312" w:hAnsi="宋体" w:cs="宋体"/>
          <w:bCs/>
          <w:szCs w:val="32"/>
        </w:rPr>
        <w:t>本规定有效期三年，</w:t>
      </w:r>
      <w:r>
        <w:rPr>
          <w:rFonts w:hint="eastAsia" w:ascii="仿宋_GB2312" w:hAnsi="宋体" w:cs="宋体"/>
          <w:szCs w:val="32"/>
        </w:rPr>
        <w:t>自</w:t>
      </w:r>
      <w:r>
        <w:rPr>
          <w:rFonts w:hint="eastAsia" w:ascii="仿宋_GB2312" w:hAnsi="宋体" w:cs="宋体"/>
          <w:szCs w:val="32"/>
          <w:lang w:val="en-US" w:eastAsia="zh-CN"/>
        </w:rPr>
        <w:t>2020</w:t>
      </w:r>
      <w:r>
        <w:rPr>
          <w:rFonts w:hint="eastAsia" w:ascii="仿宋_GB2312" w:hAnsi="宋体" w:cs="宋体"/>
          <w:szCs w:val="32"/>
        </w:rPr>
        <w:t>年</w:t>
      </w:r>
      <w:r>
        <w:rPr>
          <w:rFonts w:hint="eastAsia" w:ascii="仿宋_GB2312" w:hAnsi="宋体" w:cs="宋体"/>
          <w:szCs w:val="32"/>
          <w:lang w:val="en-US" w:eastAsia="zh-CN"/>
        </w:rPr>
        <w:t>9</w:t>
      </w:r>
      <w:r>
        <w:rPr>
          <w:rFonts w:hint="eastAsia" w:ascii="仿宋_GB2312" w:hAnsi="宋体" w:cs="宋体"/>
          <w:szCs w:val="32"/>
        </w:rPr>
        <w:t>月</w:t>
      </w:r>
      <w:r>
        <w:rPr>
          <w:rFonts w:hint="eastAsia" w:ascii="仿宋_GB2312" w:hAnsi="宋体" w:cs="宋体"/>
          <w:szCs w:val="32"/>
          <w:lang w:val="en-US" w:eastAsia="zh-CN"/>
        </w:rPr>
        <w:t>10</w:t>
      </w:r>
      <w:r>
        <w:rPr>
          <w:rFonts w:hint="eastAsia" w:ascii="仿宋_GB2312" w:hAnsi="宋体" w:cs="宋体"/>
          <w:szCs w:val="32"/>
        </w:rPr>
        <w:t>日起施行。</w:t>
      </w:r>
    </w:p>
    <w:p>
      <w:pPr>
        <w:widowControl/>
        <w:snapToGrid w:val="0"/>
        <w:spacing w:line="560" w:lineRule="exact"/>
        <w:jc w:val="left"/>
        <w:sectPr>
          <w:headerReference r:id="rId3" w:type="default"/>
          <w:footerReference r:id="rId4" w:type="default"/>
          <w:footerReference r:id="rId5" w:type="even"/>
          <w:pgSz w:w="11900" w:h="16840"/>
          <w:pgMar w:top="1440" w:right="1531" w:bottom="1440" w:left="1531" w:header="851" w:footer="992" w:gutter="0"/>
          <w:pgNumType w:start="1"/>
          <w:cols w:space="720" w:num="1"/>
          <w:docGrid w:linePitch="286" w:charSpace="0"/>
        </w:sectPr>
      </w:pPr>
      <w:r>
        <w:rPr>
          <w:rFonts w:hint="eastAsia" w:ascii="仿宋_GB2312" w:hAnsi="宋体" w:cs="宋体"/>
          <w:szCs w:val="32"/>
        </w:rPr>
        <w:t xml:space="preserve">    </w:t>
      </w:r>
      <w:r>
        <w:rPr>
          <w:rFonts w:hint="eastAsia" w:ascii="黑体" w:hAnsi="黑体" w:eastAsia="黑体" w:cs="黑体"/>
          <w:szCs w:val="32"/>
        </w:rPr>
        <w:t>第十八条</w:t>
      </w:r>
      <w:r>
        <w:rPr>
          <w:rFonts w:hint="eastAsia" w:ascii="仿宋_GB2312" w:hAnsi="宋体" w:cs="宋体"/>
          <w:szCs w:val="32"/>
        </w:rPr>
        <w:t xml:space="preserve">  本规定</w:t>
      </w:r>
      <w:r>
        <w:rPr>
          <w:rFonts w:hint="eastAsia" w:ascii="仿宋_GB2312" w:hAnsi="宋体" w:cs="宋体"/>
          <w:bCs/>
          <w:szCs w:val="32"/>
        </w:rPr>
        <w:t>由区财政局负</w:t>
      </w:r>
      <w:r>
        <w:rPr>
          <w:rFonts w:hint="eastAsia" w:ascii="仿宋_GB2312" w:hAnsi="宋体" w:cs="宋体"/>
          <w:szCs w:val="32"/>
        </w:rPr>
        <w:t>责解释。</w:t>
      </w:r>
      <w:bookmarkEnd w:id="0"/>
      <w:bookmarkEnd w:id="1"/>
      <w:bookmarkEnd w:id="2"/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60" w:rightChars="5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60" w:leftChars="50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648"/>
    <w:multiLevelType w:val="singleLevel"/>
    <w:tmpl w:val="1C13364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F9D70A0"/>
    <w:multiLevelType w:val="singleLevel"/>
    <w:tmpl w:val="4F9D70A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321D925"/>
    <w:multiLevelType w:val="singleLevel"/>
    <w:tmpl w:val="7321D92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华文中宋" w:cs="Times New Roman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4">
    <w:name w:val="Body Text First Indent"/>
    <w:basedOn w:val="2"/>
    <w:qFormat/>
    <w:uiPriority w:val="0"/>
    <w:pPr>
      <w:spacing w:after="120" w:line="590" w:lineRule="exact"/>
      <w:ind w:firstLine="420" w:firstLineChars="100"/>
      <w:jc w:val="both"/>
    </w:pPr>
    <w:rPr>
      <w:rFonts w:ascii="仿宋_GB2312" w:eastAsia="仿宋_GB2312"/>
      <w:spacing w:val="-3"/>
      <w:kern w:val="21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2020-09-04T01:22:11Z</dcterms:created>
  <dc:creator>Administrator.DESKTOP-JR2EJNJ</dc:creator>
  <cp:lastModifiedBy>winter</cp:lastModifiedBy>
  <dcterms:modified xsi:type="dcterms:W3CDTF">2020-09-04T01:22:49Z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