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kern w:val="2"/>
          <w:sz w:val="56"/>
          <w:szCs w:val="96"/>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kern w:val="2"/>
          <w:sz w:val="56"/>
          <w:szCs w:val="96"/>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kern w:val="2"/>
          <w:sz w:val="56"/>
          <w:szCs w:val="96"/>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kern w:val="2"/>
          <w:sz w:val="56"/>
          <w:szCs w:val="96"/>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rPr>
          <w:rFonts w:hint="eastAsia" w:ascii="方正小标宋简体" w:hAnsi="方正小标宋简体" w:eastAsia="方正小标宋简体" w:cs="方正小标宋简体"/>
          <w:kern w:val="2"/>
          <w:sz w:val="56"/>
          <w:szCs w:val="96"/>
          <w:lang w:val="en-US" w:eastAsia="zh-CN" w:bidi="ar-SA"/>
        </w:rPr>
      </w:pPr>
    </w:p>
    <w:p>
      <w:pPr>
        <w:pStyle w:val="8"/>
        <w:rPr>
          <w:rFonts w:hint="eastAsia" w:ascii="方正小标宋简体" w:hAnsi="方正小标宋简体" w:eastAsia="方正小标宋简体" w:cs="方正小标宋简体"/>
          <w:kern w:val="2"/>
          <w:sz w:val="56"/>
          <w:szCs w:val="96"/>
          <w:lang w:val="en-US" w:eastAsia="zh-CN" w:bidi="ar-SA"/>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3" w:leftChars="-95" w:right="0" w:rightChars="0" w:hanging="196" w:hangingChars="35"/>
        <w:jc w:val="center"/>
        <w:textAlignment w:val="auto"/>
        <w:rPr>
          <w:rFonts w:hint="eastAsia" w:ascii="方正小标宋简体" w:hAnsi="方正小标宋简体" w:eastAsia="方正小标宋简体" w:cs="方正小标宋简体"/>
          <w:kern w:val="2"/>
          <w:sz w:val="56"/>
          <w:szCs w:val="56"/>
          <w:lang w:val="en-US" w:eastAsia="zh-CN" w:bidi="ar-SA"/>
        </w:rPr>
      </w:pPr>
      <w:r>
        <w:rPr>
          <w:rFonts w:hint="eastAsia" w:ascii="方正小标宋简体" w:hAnsi="方正小标宋简体" w:eastAsia="方正小标宋简体" w:cs="方正小标宋简体"/>
          <w:kern w:val="2"/>
          <w:sz w:val="56"/>
          <w:szCs w:val="56"/>
          <w:lang w:val="en-US" w:eastAsia="zh-CN" w:bidi="ar-SA"/>
        </w:rPr>
        <w:t>南山区第三批人工智能场景应用</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3" w:leftChars="-95" w:right="0" w:rightChars="0" w:hanging="196" w:hangingChars="35"/>
        <w:jc w:val="center"/>
        <w:textAlignment w:val="auto"/>
        <w:rPr>
          <w:rFonts w:hint="eastAsia" w:ascii="方正小标宋简体" w:hAnsi="方正小标宋简体" w:eastAsia="方正小标宋简体" w:cs="方正小标宋简体"/>
          <w:kern w:val="2"/>
          <w:sz w:val="56"/>
          <w:szCs w:val="56"/>
          <w:lang w:val="en-US" w:eastAsia="zh-CN" w:bidi="ar-SA"/>
        </w:rPr>
      </w:pP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3" w:leftChars="-95" w:right="0" w:rightChars="0" w:hanging="196" w:hangingChars="35"/>
        <w:jc w:val="center"/>
        <w:textAlignment w:val="auto"/>
        <w:rPr>
          <w:rFonts w:hint="eastAsia" w:ascii="方正小标宋简体" w:hAnsi="方正小标宋简体" w:eastAsia="方正小标宋简体" w:cs="方正小标宋简体"/>
          <w:kern w:val="2"/>
          <w:sz w:val="56"/>
          <w:szCs w:val="56"/>
          <w:lang w:val="en-US" w:eastAsia="zh-CN" w:bidi="ar-SA"/>
        </w:rPr>
      </w:pPr>
      <w:r>
        <w:rPr>
          <w:rFonts w:hint="eastAsia" w:ascii="方正小标宋简体" w:hAnsi="方正小标宋简体" w:eastAsia="方正小标宋简体" w:cs="方正小标宋简体"/>
          <w:kern w:val="2"/>
          <w:sz w:val="56"/>
          <w:szCs w:val="56"/>
          <w:lang w:val="en-US" w:eastAsia="zh-CN" w:bidi="ar-SA"/>
        </w:rPr>
        <w:t>“揭榜挂帅”项目榜单</w:t>
      </w:r>
    </w:p>
    <w:p>
      <w:pPr>
        <w:pStyle w:val="8"/>
        <w:rPr>
          <w:rFonts w:hint="eastAsia" w:ascii="方正小标宋简体" w:hAnsi="方正小标宋简体" w:eastAsia="方正小标宋简体" w:cs="方正小标宋简体"/>
          <w:kern w:val="2"/>
          <w:sz w:val="56"/>
          <w:szCs w:val="56"/>
          <w:lang w:val="en-US" w:eastAsia="zh-CN" w:bidi="ar-SA"/>
        </w:rPr>
      </w:pPr>
    </w:p>
    <w:p>
      <w:pPr>
        <w:rPr>
          <w:rFonts w:hint="eastAsia" w:ascii="方正小标宋简体" w:hAnsi="方正小标宋简体" w:eastAsia="方正小标宋简体" w:cs="方正小标宋简体"/>
          <w:kern w:val="2"/>
          <w:sz w:val="56"/>
          <w:szCs w:val="56"/>
          <w:lang w:val="en-US" w:eastAsia="zh-CN" w:bidi="ar-SA"/>
        </w:rPr>
      </w:pPr>
    </w:p>
    <w:p>
      <w:pPr>
        <w:pStyle w:val="8"/>
        <w:rPr>
          <w:rFonts w:hint="eastAsia" w:ascii="方正小标宋简体" w:hAnsi="方正小标宋简体" w:eastAsia="方正小标宋简体" w:cs="方正小标宋简体"/>
          <w:kern w:val="2"/>
          <w:sz w:val="56"/>
          <w:szCs w:val="56"/>
          <w:lang w:val="en-US" w:eastAsia="zh-CN" w:bidi="ar-SA"/>
        </w:rPr>
      </w:pPr>
    </w:p>
    <w:p>
      <w:pPr>
        <w:rPr>
          <w:rFonts w:hint="eastAsia" w:ascii="方正小标宋简体" w:hAnsi="方正小标宋简体" w:eastAsia="方正小标宋简体" w:cs="方正小标宋简体"/>
          <w:kern w:val="2"/>
          <w:sz w:val="56"/>
          <w:szCs w:val="56"/>
          <w:lang w:val="en-US" w:eastAsia="zh-CN" w:bidi="ar-SA"/>
        </w:rPr>
      </w:pPr>
    </w:p>
    <w:p>
      <w:pPr>
        <w:pStyle w:val="8"/>
        <w:rPr>
          <w:rFonts w:hint="eastAsia" w:ascii="方正小标宋简体" w:hAnsi="方正小标宋简体" w:eastAsia="方正小标宋简体" w:cs="方正小标宋简体"/>
          <w:kern w:val="2"/>
          <w:sz w:val="56"/>
          <w:szCs w:val="56"/>
          <w:lang w:val="en-US" w:eastAsia="zh-CN" w:bidi="ar-SA"/>
        </w:rPr>
      </w:pPr>
    </w:p>
    <w:p>
      <w:pPr>
        <w:rPr>
          <w:rFonts w:hint="eastAsia" w:ascii="方正小标宋简体" w:hAnsi="方正小标宋简体" w:eastAsia="方正小标宋简体" w:cs="方正小标宋简体"/>
          <w:kern w:val="2"/>
          <w:sz w:val="56"/>
          <w:szCs w:val="56"/>
          <w:lang w:val="en-US" w:eastAsia="zh-CN" w:bidi="ar-SA"/>
        </w:rPr>
      </w:pPr>
    </w:p>
    <w:p>
      <w:pPr>
        <w:pStyle w:val="8"/>
        <w:rPr>
          <w:rFonts w:hint="eastAsia" w:ascii="方正小标宋简体" w:hAnsi="方正小标宋简体" w:eastAsia="方正小标宋简体" w:cs="方正小标宋简体"/>
          <w:kern w:val="2"/>
          <w:sz w:val="56"/>
          <w:szCs w:val="56"/>
          <w:lang w:val="en-US" w:eastAsia="zh-CN" w:bidi="ar-SA"/>
        </w:rPr>
      </w:pPr>
    </w:p>
    <w:p>
      <w:pPr>
        <w:rPr>
          <w:rFonts w:hint="eastAsia" w:ascii="方正小标宋简体" w:hAnsi="方正小标宋简体" w:eastAsia="方正小标宋简体" w:cs="方正小标宋简体"/>
          <w:kern w:val="2"/>
          <w:sz w:val="56"/>
          <w:szCs w:val="56"/>
          <w:lang w:val="en-US" w:eastAsia="zh-CN" w:bidi="ar-SA"/>
        </w:rPr>
      </w:pPr>
    </w:p>
    <w:p>
      <w:pPr>
        <w:pStyle w:val="8"/>
        <w:rPr>
          <w:rFonts w:hint="eastAsia" w:ascii="方正小标宋简体" w:hAnsi="方正小标宋简体" w:eastAsia="方正小标宋简体" w:cs="方正小标宋简体"/>
          <w:kern w:val="2"/>
          <w:sz w:val="56"/>
          <w:szCs w:val="56"/>
          <w:lang w:val="en-US" w:eastAsia="zh-CN" w:bidi="ar-SA"/>
        </w:rPr>
      </w:pPr>
    </w:p>
    <w:p>
      <w:pPr>
        <w:jc w:val="center"/>
        <w:rPr>
          <w:rFonts w:hint="eastAsia" w:ascii="仿宋_GB2312" w:hAnsi="仿宋_GB2312" w:eastAsia="仿宋_GB2312" w:cs="仿宋_GB2312"/>
          <w:kern w:val="2"/>
          <w:sz w:val="40"/>
          <w:szCs w:val="48"/>
          <w:lang w:val="en-US" w:eastAsia="zh-CN" w:bidi="ar-SA"/>
        </w:rPr>
      </w:pPr>
      <w:bookmarkStart w:id="0" w:name="__OfficeAi_Preconditioning"/>
      <w:r>
        <w:rPr>
          <w:rFonts w:hint="eastAsia" w:ascii="仿宋_GB2312" w:hAnsi="仿宋_GB2312" w:eastAsia="仿宋_GB2312" w:cs="仿宋_GB2312"/>
          <w:kern w:val="2"/>
          <w:sz w:val="40"/>
          <w:szCs w:val="48"/>
          <w:lang w:val="en-US" w:eastAsia="zh-CN" w:bidi="ar-SA"/>
        </w:rPr>
        <w:t>二○二六年六月</w:t>
      </w:r>
    </w:p>
    <w:bookmarkEnd w:id="0"/>
    <w:p>
      <w:pPr>
        <w:jc w:val="center"/>
        <w:rPr>
          <w:rFonts w:hint="eastAsia"/>
          <w:lang w:val="en-US" w:eastAsia="zh-CN"/>
        </w:rPr>
        <w:sectPr>
          <w:headerReference r:id="rId3" w:type="default"/>
          <w:footerReference r:id="rId4" w:type="default"/>
          <w:pgSz w:w="11905" w:h="16840"/>
          <w:pgMar w:top="1440" w:right="1485" w:bottom="1440" w:left="1800" w:header="720" w:footer="720" w:gutter="0"/>
          <w:cols w:space="720" w:num="1"/>
        </w:sectPr>
      </w:pPr>
    </w:p>
    <w:p>
      <w:pPr>
        <w:pStyle w:val="8"/>
        <w:rPr>
          <w:rFonts w:hint="eastAsia"/>
          <w:lang w:val="en-US" w:eastAsia="zh-CN"/>
        </w:rPr>
      </w:pPr>
    </w:p>
    <w:sdt>
      <w:sdtPr>
        <w:rPr>
          <w:rFonts w:ascii="宋体" w:hAnsi="宋体" w:eastAsia="宋体" w:cstheme="minorBidi"/>
          <w:sz w:val="21"/>
          <w:szCs w:val="22"/>
        </w:rPr>
        <w:id w:val="314508938"/>
        <w15:color w:val="DBDBDB"/>
        <w:docPartObj>
          <w:docPartGallery w:val="Table of Contents"/>
          <w:docPartUnique/>
        </w:docPartObj>
      </w:sdtPr>
      <w:sdtEndPr>
        <w:rPr>
          <w:rFonts w:ascii="宋体" w:hAnsi="宋体" w:eastAsia="宋体" w:cstheme="minorBidi"/>
          <w:sz w:val="21"/>
          <w:szCs w:val="22"/>
        </w:rPr>
      </w:sdtEndPr>
      <w:sdtContent>
        <w:p>
          <w:pPr>
            <w:spacing w:before="0" w:beforeLines="0" w:after="0" w:afterLines="0" w:line="240" w:lineRule="auto"/>
            <w:ind w:left="0" w:leftChars="0" w:right="0" w:rightChars="0" w:firstLine="0" w:firstLineChars="0"/>
            <w:jc w:val="center"/>
          </w:pPr>
          <w:r>
            <w:rPr>
              <w:rFonts w:hint="eastAsia" w:ascii="方正小标宋_GBK" w:hAnsi="方正小标宋_GBK" w:eastAsia="方正小标宋_GBK" w:cs="方正小标宋_GBK"/>
              <w:sz w:val="44"/>
              <w:szCs w:val="44"/>
            </w:rPr>
            <w:t>目录</w:t>
          </w:r>
        </w:p>
        <w:p>
          <w:pPr>
            <w:pStyle w:val="7"/>
            <w:keepNext w:val="0"/>
            <w:keepLines w:val="0"/>
            <w:pageBreakBefore w:val="0"/>
            <w:widowControl w:val="0"/>
            <w:tabs>
              <w:tab w:val="right" w:leader="dot" w:pos="8620"/>
            </w:tabs>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TOC \o "1-1" \h \u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HYPERLINK \l _Toc1401808116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lang w:val="en-US" w:eastAsia="zh-CN"/>
            </w:rPr>
            <w:t>1</w:t>
          </w:r>
          <w:r>
            <w:rPr>
              <w:rFonts w:hint="eastAsia" w:ascii="方正小标宋简体" w:hAnsi="方正小标宋简体" w:eastAsia="方正小标宋简体" w:cs="方正小标宋简体"/>
              <w:sz w:val="28"/>
              <w:szCs w:val="28"/>
            </w:rPr>
            <w:t>基于无人机的空地协同的城市智能巡检具身世界模型场景</w:t>
          </w:r>
          <w:r>
            <w:rPr>
              <w:rFonts w:hint="eastAsia" w:ascii="方正小标宋简体" w:hAnsi="方正小标宋简体" w:eastAsia="方正小标宋简体" w:cs="方正小标宋简体"/>
              <w:sz w:val="28"/>
              <w:szCs w:val="28"/>
            </w:rPr>
            <w:tab/>
          </w: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PAGEREF _Toc1401808116 \h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rPr>
            <w:t>1</w:t>
          </w:r>
          <w:r>
            <w:rPr>
              <w:rFonts w:hint="eastAsia" w:ascii="方正小标宋简体" w:hAnsi="方正小标宋简体" w:eastAsia="方正小标宋简体" w:cs="方正小标宋简体"/>
              <w:sz w:val="28"/>
              <w:szCs w:val="28"/>
            </w:rPr>
            <w:fldChar w:fldCharType="end"/>
          </w:r>
          <w:r>
            <w:rPr>
              <w:rFonts w:hint="eastAsia" w:ascii="方正小标宋简体" w:hAnsi="方正小标宋简体" w:eastAsia="方正小标宋简体" w:cs="方正小标宋简体"/>
              <w:sz w:val="28"/>
              <w:szCs w:val="28"/>
            </w:rPr>
            <w:fldChar w:fldCharType="end"/>
          </w:r>
        </w:p>
        <w:p>
          <w:pPr>
            <w:pStyle w:val="7"/>
            <w:keepNext w:val="0"/>
            <w:keepLines w:val="0"/>
            <w:pageBreakBefore w:val="0"/>
            <w:widowControl w:val="0"/>
            <w:tabs>
              <w:tab w:val="right" w:leader="dot" w:pos="8620"/>
            </w:tabs>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HYPERLINK \l _Toc1356360054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lang w:val="en-US" w:eastAsia="zh-CN"/>
            </w:rPr>
            <w:t>2</w:t>
          </w:r>
          <w:r>
            <w:rPr>
              <w:rFonts w:hint="eastAsia" w:ascii="方正小标宋简体" w:hAnsi="方正小标宋简体" w:eastAsia="方正小标宋简体" w:cs="方正小标宋简体"/>
              <w:sz w:val="28"/>
              <w:szCs w:val="28"/>
            </w:rPr>
            <w:t>大模型与多智能体融合的应付结算端到端智能处理场景</w:t>
          </w:r>
          <w:r>
            <w:rPr>
              <w:rFonts w:hint="eastAsia" w:ascii="方正小标宋简体" w:hAnsi="方正小标宋简体" w:eastAsia="方正小标宋简体" w:cs="方正小标宋简体"/>
              <w:sz w:val="28"/>
              <w:szCs w:val="28"/>
            </w:rPr>
            <w:tab/>
          </w: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PAGEREF _Toc1356360054 \h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rPr>
            <w:t>8</w:t>
          </w:r>
          <w:r>
            <w:rPr>
              <w:rFonts w:hint="eastAsia" w:ascii="方正小标宋简体" w:hAnsi="方正小标宋简体" w:eastAsia="方正小标宋简体" w:cs="方正小标宋简体"/>
              <w:sz w:val="28"/>
              <w:szCs w:val="28"/>
            </w:rPr>
            <w:fldChar w:fldCharType="end"/>
          </w:r>
          <w:r>
            <w:rPr>
              <w:rFonts w:hint="eastAsia" w:ascii="方正小标宋简体" w:hAnsi="方正小标宋简体" w:eastAsia="方正小标宋简体" w:cs="方正小标宋简体"/>
              <w:sz w:val="28"/>
              <w:szCs w:val="28"/>
            </w:rPr>
            <w:fldChar w:fldCharType="end"/>
          </w:r>
        </w:p>
        <w:p>
          <w:pPr>
            <w:pStyle w:val="7"/>
            <w:keepNext w:val="0"/>
            <w:keepLines w:val="0"/>
            <w:pageBreakBefore w:val="0"/>
            <w:widowControl w:val="0"/>
            <w:tabs>
              <w:tab w:val="right" w:leader="dot" w:pos="8620"/>
            </w:tabs>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HYPERLINK \l _Toc3990079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lang w:val="en-US" w:eastAsia="zh-CN"/>
            </w:rPr>
            <w:t>3</w:t>
          </w:r>
          <w:r>
            <w:rPr>
              <w:rFonts w:hint="eastAsia" w:ascii="方正小标宋简体" w:hAnsi="方正小标宋简体" w:eastAsia="方正小标宋简体" w:cs="方正小标宋简体"/>
              <w:sz w:val="28"/>
              <w:szCs w:val="28"/>
            </w:rPr>
            <w:t>基于AI驱动建模的SMT全流程智造场景</w:t>
          </w:r>
          <w:r>
            <w:rPr>
              <w:rFonts w:hint="eastAsia" w:ascii="方正小标宋简体" w:hAnsi="方正小标宋简体" w:eastAsia="方正小标宋简体" w:cs="方正小标宋简体"/>
              <w:sz w:val="28"/>
              <w:szCs w:val="28"/>
            </w:rPr>
            <w:tab/>
          </w: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PAGEREF _Toc3990079 \h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rPr>
            <w:t>14</w:t>
          </w:r>
          <w:r>
            <w:rPr>
              <w:rFonts w:hint="eastAsia" w:ascii="方正小标宋简体" w:hAnsi="方正小标宋简体" w:eastAsia="方正小标宋简体" w:cs="方正小标宋简体"/>
              <w:sz w:val="28"/>
              <w:szCs w:val="28"/>
            </w:rPr>
            <w:fldChar w:fldCharType="end"/>
          </w:r>
          <w:r>
            <w:rPr>
              <w:rFonts w:hint="eastAsia" w:ascii="方正小标宋简体" w:hAnsi="方正小标宋简体" w:eastAsia="方正小标宋简体" w:cs="方正小标宋简体"/>
              <w:sz w:val="28"/>
              <w:szCs w:val="28"/>
            </w:rPr>
            <w:fldChar w:fldCharType="end"/>
          </w:r>
        </w:p>
        <w:p>
          <w:pPr>
            <w:pStyle w:val="7"/>
            <w:keepNext w:val="0"/>
            <w:keepLines w:val="0"/>
            <w:pageBreakBefore w:val="0"/>
            <w:widowControl w:val="0"/>
            <w:tabs>
              <w:tab w:val="right" w:leader="dot" w:pos="8620"/>
            </w:tabs>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HYPERLINK \l _Toc1935126949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kern w:val="2"/>
              <w:sz w:val="28"/>
              <w:szCs w:val="28"/>
              <w:lang w:val="en-US" w:eastAsia="zh-CN" w:bidi="ar-SA"/>
            </w:rPr>
            <w:t>4扫地机器人高精度双目深度视觉感知场景</w:t>
          </w:r>
          <w:r>
            <w:rPr>
              <w:rFonts w:hint="eastAsia" w:ascii="方正小标宋简体" w:hAnsi="方正小标宋简体" w:eastAsia="方正小标宋简体" w:cs="方正小标宋简体"/>
              <w:sz w:val="28"/>
              <w:szCs w:val="28"/>
            </w:rPr>
            <w:tab/>
          </w: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PAGEREF _Toc1935126949 \h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rPr>
            <w:t>17</w:t>
          </w:r>
          <w:r>
            <w:rPr>
              <w:rFonts w:hint="eastAsia" w:ascii="方正小标宋简体" w:hAnsi="方正小标宋简体" w:eastAsia="方正小标宋简体" w:cs="方正小标宋简体"/>
              <w:sz w:val="28"/>
              <w:szCs w:val="28"/>
            </w:rPr>
            <w:fldChar w:fldCharType="end"/>
          </w:r>
          <w:r>
            <w:rPr>
              <w:rFonts w:hint="eastAsia" w:ascii="方正小标宋简体" w:hAnsi="方正小标宋简体" w:eastAsia="方正小标宋简体" w:cs="方正小标宋简体"/>
              <w:sz w:val="28"/>
              <w:szCs w:val="28"/>
            </w:rPr>
            <w:fldChar w:fldCharType="end"/>
          </w:r>
        </w:p>
        <w:p>
          <w:pPr>
            <w:pStyle w:val="7"/>
            <w:keepNext w:val="0"/>
            <w:keepLines w:val="0"/>
            <w:pageBreakBefore w:val="0"/>
            <w:widowControl w:val="0"/>
            <w:tabs>
              <w:tab w:val="right" w:leader="dot" w:pos="8620"/>
            </w:tabs>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HYPERLINK \l _Toc608916476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lang w:val="en-US" w:eastAsia="zh-CN"/>
            </w:rPr>
            <w:t>5</w:t>
          </w:r>
          <w:r>
            <w:rPr>
              <w:rFonts w:hint="eastAsia" w:ascii="方正小标宋简体" w:hAnsi="方正小标宋简体" w:eastAsia="方正小标宋简体" w:cs="方正小标宋简体"/>
              <w:sz w:val="28"/>
              <w:szCs w:val="28"/>
              <w:lang w:eastAsia="zh-CN"/>
            </w:rPr>
            <w:t>面向机床CNC主轴热伸长问题的 AI实时补偿场景</w:t>
          </w:r>
          <w:r>
            <w:rPr>
              <w:rFonts w:hint="eastAsia" w:ascii="方正小标宋简体" w:hAnsi="方正小标宋简体" w:eastAsia="方正小标宋简体" w:cs="方正小标宋简体"/>
              <w:sz w:val="28"/>
              <w:szCs w:val="28"/>
            </w:rPr>
            <w:tab/>
          </w: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PAGEREF _Toc608916476 \h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rPr>
            <w:t>19</w:t>
          </w:r>
          <w:r>
            <w:rPr>
              <w:rFonts w:hint="eastAsia" w:ascii="方正小标宋简体" w:hAnsi="方正小标宋简体" w:eastAsia="方正小标宋简体" w:cs="方正小标宋简体"/>
              <w:sz w:val="28"/>
              <w:szCs w:val="28"/>
            </w:rPr>
            <w:fldChar w:fldCharType="end"/>
          </w:r>
          <w:r>
            <w:rPr>
              <w:rFonts w:hint="eastAsia" w:ascii="方正小标宋简体" w:hAnsi="方正小标宋简体" w:eastAsia="方正小标宋简体" w:cs="方正小标宋简体"/>
              <w:sz w:val="28"/>
              <w:szCs w:val="28"/>
            </w:rPr>
            <w:fldChar w:fldCharType="end"/>
          </w:r>
        </w:p>
        <w:p>
          <w:pPr>
            <w:pStyle w:val="7"/>
            <w:keepNext w:val="0"/>
            <w:keepLines w:val="0"/>
            <w:pageBreakBefore w:val="0"/>
            <w:widowControl w:val="0"/>
            <w:tabs>
              <w:tab w:val="right" w:leader="dot" w:pos="8620"/>
            </w:tabs>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HYPERLINK \l _Toc945439029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lang w:val="en-US" w:eastAsia="zh-CN"/>
            </w:rPr>
            <w:t>6</w:t>
          </w:r>
          <w:r>
            <w:rPr>
              <w:rFonts w:hint="eastAsia" w:ascii="方正小标宋简体" w:hAnsi="方正小标宋简体" w:eastAsia="方正小标宋简体" w:cs="方正小标宋简体"/>
              <w:sz w:val="28"/>
              <w:szCs w:val="28"/>
            </w:rPr>
            <w:t>基于AI热学仿真的电视热学设计研发提质场景</w:t>
          </w:r>
          <w:r>
            <w:rPr>
              <w:rFonts w:hint="eastAsia" w:ascii="方正小标宋简体" w:hAnsi="方正小标宋简体" w:eastAsia="方正小标宋简体" w:cs="方正小标宋简体"/>
              <w:sz w:val="28"/>
              <w:szCs w:val="28"/>
            </w:rPr>
            <w:tab/>
          </w: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PAGEREF _Toc945439029 \h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rPr>
            <w:t>32</w:t>
          </w:r>
          <w:r>
            <w:rPr>
              <w:rFonts w:hint="eastAsia" w:ascii="方正小标宋简体" w:hAnsi="方正小标宋简体" w:eastAsia="方正小标宋简体" w:cs="方正小标宋简体"/>
              <w:sz w:val="28"/>
              <w:szCs w:val="28"/>
            </w:rPr>
            <w:fldChar w:fldCharType="end"/>
          </w:r>
          <w:r>
            <w:rPr>
              <w:rFonts w:hint="eastAsia" w:ascii="方正小标宋简体" w:hAnsi="方正小标宋简体" w:eastAsia="方正小标宋简体" w:cs="方正小标宋简体"/>
              <w:sz w:val="28"/>
              <w:szCs w:val="28"/>
            </w:rPr>
            <w:fldChar w:fldCharType="end"/>
          </w:r>
        </w:p>
        <w:p>
          <w:pPr>
            <w:pStyle w:val="7"/>
            <w:keepNext w:val="0"/>
            <w:keepLines w:val="0"/>
            <w:pageBreakBefore w:val="0"/>
            <w:widowControl w:val="0"/>
            <w:tabs>
              <w:tab w:val="right" w:leader="dot" w:pos="8620"/>
            </w:tabs>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HYPERLINK \l _Toc1890342260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lang w:val="en-US" w:eastAsia="zh-CN"/>
            </w:rPr>
            <w:t>7基于AI视觉的电子行业PCB智能插装场景</w:t>
          </w:r>
          <w:r>
            <w:rPr>
              <w:rFonts w:hint="eastAsia" w:ascii="方正小标宋简体" w:hAnsi="方正小标宋简体" w:eastAsia="方正小标宋简体" w:cs="方正小标宋简体"/>
              <w:sz w:val="28"/>
              <w:szCs w:val="28"/>
            </w:rPr>
            <w:tab/>
          </w: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PAGEREF _Toc1890342260 \h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rPr>
            <w:t>36</w:t>
          </w:r>
          <w:r>
            <w:rPr>
              <w:rFonts w:hint="eastAsia" w:ascii="方正小标宋简体" w:hAnsi="方正小标宋简体" w:eastAsia="方正小标宋简体" w:cs="方正小标宋简体"/>
              <w:sz w:val="28"/>
              <w:szCs w:val="28"/>
            </w:rPr>
            <w:fldChar w:fldCharType="end"/>
          </w:r>
          <w:r>
            <w:rPr>
              <w:rFonts w:hint="eastAsia" w:ascii="方正小标宋简体" w:hAnsi="方正小标宋简体" w:eastAsia="方正小标宋简体" w:cs="方正小标宋简体"/>
              <w:sz w:val="28"/>
              <w:szCs w:val="28"/>
            </w:rPr>
            <w:fldChar w:fldCharType="end"/>
          </w:r>
        </w:p>
        <w:p>
          <w:pPr>
            <w:pStyle w:val="7"/>
            <w:keepNext w:val="0"/>
            <w:keepLines w:val="0"/>
            <w:pageBreakBefore w:val="0"/>
            <w:widowControl w:val="0"/>
            <w:tabs>
              <w:tab w:val="right" w:leader="dot" w:pos="8620"/>
            </w:tabs>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HYPERLINK \l _Toc1913371600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lang w:val="en-US" w:eastAsia="zh-CN"/>
            </w:rPr>
            <w:t>8</w:t>
          </w:r>
          <w:r>
            <w:rPr>
              <w:rFonts w:hint="eastAsia" w:ascii="方正小标宋简体" w:hAnsi="方正小标宋简体" w:eastAsia="方正小标宋简体" w:cs="方正小标宋简体"/>
              <w:sz w:val="28"/>
              <w:szCs w:val="28"/>
            </w:rPr>
            <w:t>面向消费级3D打印机的AI复杂排障辅助决策场景</w:t>
          </w:r>
          <w:r>
            <w:rPr>
              <w:rFonts w:hint="eastAsia" w:ascii="方正小标宋简体" w:hAnsi="方正小标宋简体" w:eastAsia="方正小标宋简体" w:cs="方正小标宋简体"/>
              <w:sz w:val="28"/>
              <w:szCs w:val="28"/>
            </w:rPr>
            <w:tab/>
          </w: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PAGEREF _Toc1913371600 \h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rPr>
            <w:t>39</w:t>
          </w:r>
          <w:r>
            <w:rPr>
              <w:rFonts w:hint="eastAsia" w:ascii="方正小标宋简体" w:hAnsi="方正小标宋简体" w:eastAsia="方正小标宋简体" w:cs="方正小标宋简体"/>
              <w:sz w:val="28"/>
              <w:szCs w:val="28"/>
            </w:rPr>
            <w:fldChar w:fldCharType="end"/>
          </w:r>
          <w:r>
            <w:rPr>
              <w:rFonts w:hint="eastAsia" w:ascii="方正小标宋简体" w:hAnsi="方正小标宋简体" w:eastAsia="方正小标宋简体" w:cs="方正小标宋简体"/>
              <w:sz w:val="28"/>
              <w:szCs w:val="28"/>
            </w:rPr>
            <w:fldChar w:fldCharType="end"/>
          </w:r>
        </w:p>
        <w:p>
          <w:pPr>
            <w:pStyle w:val="7"/>
            <w:keepNext w:val="0"/>
            <w:keepLines w:val="0"/>
            <w:pageBreakBefore w:val="0"/>
            <w:widowControl w:val="0"/>
            <w:tabs>
              <w:tab w:val="right" w:leader="dot" w:pos="8620"/>
            </w:tabs>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HYPERLINK \l _Toc1063548727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lang w:val="en-US" w:eastAsia="zh-CN"/>
            </w:rPr>
            <w:t>9</w:t>
          </w:r>
          <w:r>
            <w:rPr>
              <w:rFonts w:hint="eastAsia" w:ascii="方正小标宋简体" w:hAnsi="方正小标宋简体" w:eastAsia="方正小标宋简体" w:cs="方正小标宋简体"/>
              <w:sz w:val="28"/>
              <w:szCs w:val="28"/>
            </w:rPr>
            <w:t>基于API统一网关的AI服务智能化管理场景</w:t>
          </w:r>
          <w:r>
            <w:rPr>
              <w:rFonts w:hint="eastAsia" w:ascii="方正小标宋简体" w:hAnsi="方正小标宋简体" w:eastAsia="方正小标宋简体" w:cs="方正小标宋简体"/>
              <w:sz w:val="28"/>
              <w:szCs w:val="28"/>
            </w:rPr>
            <w:tab/>
          </w: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PAGEREF _Toc1063548727 \h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rPr>
            <w:t>43</w:t>
          </w:r>
          <w:r>
            <w:rPr>
              <w:rFonts w:hint="eastAsia" w:ascii="方正小标宋简体" w:hAnsi="方正小标宋简体" w:eastAsia="方正小标宋简体" w:cs="方正小标宋简体"/>
              <w:sz w:val="28"/>
              <w:szCs w:val="28"/>
            </w:rPr>
            <w:fldChar w:fldCharType="end"/>
          </w:r>
          <w:r>
            <w:rPr>
              <w:rFonts w:hint="eastAsia" w:ascii="方正小标宋简体" w:hAnsi="方正小标宋简体" w:eastAsia="方正小标宋简体" w:cs="方正小标宋简体"/>
              <w:sz w:val="28"/>
              <w:szCs w:val="28"/>
            </w:rPr>
            <w:fldChar w:fldCharType="end"/>
          </w:r>
        </w:p>
        <w:p>
          <w:pPr>
            <w:pStyle w:val="7"/>
            <w:keepNext w:val="0"/>
            <w:keepLines w:val="0"/>
            <w:pageBreakBefore w:val="0"/>
            <w:widowControl w:val="0"/>
            <w:tabs>
              <w:tab w:val="right" w:leader="dot" w:pos="8620"/>
            </w:tabs>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HYPERLINK \l _Toc1984963904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lang w:val="en-US" w:eastAsia="zh-CN"/>
            </w:rPr>
            <w:t xml:space="preserve">10 </w:t>
          </w:r>
          <w:r>
            <w:rPr>
              <w:rFonts w:hint="eastAsia" w:ascii="方正小标宋简体" w:hAnsi="方正小标宋简体" w:eastAsia="方正小标宋简体" w:cs="方正小标宋简体"/>
              <w:sz w:val="28"/>
              <w:szCs w:val="28"/>
            </w:rPr>
            <w:t>DSR平台智能翻译与合规应答助手场景</w:t>
          </w:r>
          <w:r>
            <w:rPr>
              <w:rFonts w:hint="eastAsia" w:ascii="方正小标宋简体" w:hAnsi="方正小标宋简体" w:eastAsia="方正小标宋简体" w:cs="方正小标宋简体"/>
              <w:sz w:val="28"/>
              <w:szCs w:val="28"/>
            </w:rPr>
            <w:tab/>
          </w:r>
          <w:r>
            <w:rPr>
              <w:rFonts w:hint="eastAsia" w:ascii="方正小标宋简体" w:hAnsi="方正小标宋简体" w:eastAsia="方正小标宋简体" w:cs="方正小标宋简体"/>
              <w:sz w:val="28"/>
              <w:szCs w:val="28"/>
            </w:rPr>
            <w:fldChar w:fldCharType="begin"/>
          </w:r>
          <w:r>
            <w:rPr>
              <w:rFonts w:hint="eastAsia" w:ascii="方正小标宋简体" w:hAnsi="方正小标宋简体" w:eastAsia="方正小标宋简体" w:cs="方正小标宋简体"/>
              <w:sz w:val="28"/>
              <w:szCs w:val="28"/>
            </w:rPr>
            <w:instrText xml:space="preserve"> PAGEREF _Toc1984963904 \h </w:instrText>
          </w:r>
          <w:r>
            <w:rPr>
              <w:rFonts w:hint="eastAsia" w:ascii="方正小标宋简体" w:hAnsi="方正小标宋简体" w:eastAsia="方正小标宋简体" w:cs="方正小标宋简体"/>
              <w:sz w:val="28"/>
              <w:szCs w:val="28"/>
            </w:rPr>
            <w:fldChar w:fldCharType="separate"/>
          </w:r>
          <w:r>
            <w:rPr>
              <w:rFonts w:hint="eastAsia" w:ascii="方正小标宋简体" w:hAnsi="方正小标宋简体" w:eastAsia="方正小标宋简体" w:cs="方正小标宋简体"/>
              <w:sz w:val="28"/>
              <w:szCs w:val="28"/>
            </w:rPr>
            <w:t>54</w:t>
          </w:r>
          <w:r>
            <w:rPr>
              <w:rFonts w:hint="eastAsia" w:ascii="方正小标宋简体" w:hAnsi="方正小标宋简体" w:eastAsia="方正小标宋简体" w:cs="方正小标宋简体"/>
              <w:sz w:val="28"/>
              <w:szCs w:val="28"/>
            </w:rPr>
            <w:fldChar w:fldCharType="end"/>
          </w:r>
          <w:r>
            <w:rPr>
              <w:rFonts w:hint="eastAsia" w:ascii="方正小标宋简体" w:hAnsi="方正小标宋简体" w:eastAsia="方正小标宋简体" w:cs="方正小标宋简体"/>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textAlignment w:val="auto"/>
          </w:pPr>
          <w:r>
            <w:rPr>
              <w:rFonts w:hint="eastAsia" w:ascii="方正小标宋简体" w:hAnsi="方正小标宋简体" w:eastAsia="方正小标宋简体" w:cs="方正小标宋简体"/>
              <w:sz w:val="28"/>
              <w:szCs w:val="28"/>
            </w:rPr>
            <w:fldChar w:fldCharType="end"/>
          </w:r>
        </w:p>
      </w:sdtContent>
    </w:sdt>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方正小标宋简体" w:hAnsi="方正小标宋简体" w:eastAsia="方正小标宋简体" w:cs="方正小标宋简体"/>
          <w:sz w:val="44"/>
          <w:szCs w:val="44"/>
          <w:lang w:val="en-US" w:eastAsia="zh-CN"/>
        </w:rPr>
        <w:sectPr>
          <w:footerReference r:id="rId5" w:type="default"/>
          <w:pgSz w:w="11905" w:h="16840"/>
          <w:pgMar w:top="1440" w:right="1485" w:bottom="1440" w:left="1800" w:header="720" w:footer="720" w:gutter="0"/>
          <w:pgNumType w:start="1"/>
          <w:cols w:space="720" w:num="1"/>
        </w:sectPr>
      </w:pPr>
    </w:p>
    <w:p>
      <w:pPr>
        <w:pStyle w:val="2"/>
        <w:keepNext w:val="0"/>
        <w:keepLines w:val="0"/>
        <w:pageBreakBefore w:val="0"/>
        <w:kinsoku/>
        <w:overflowPunct/>
        <w:topLinePunct w:val="0"/>
        <w:autoSpaceDE/>
        <w:autoSpaceDN/>
        <w:bidi w:val="0"/>
        <w:adjustRightInd/>
        <w:spacing w:beforeAutospacing="0" w:afterAutospacing="0" w:line="560" w:lineRule="exact"/>
        <w:textAlignment w:val="auto"/>
        <w:rPr>
          <w:rFonts w:hint="eastAsia" w:ascii="方正小标宋简体" w:hAnsi="方正小标宋简体" w:eastAsia="方正小标宋简体" w:cs="方正小标宋简体"/>
        </w:rPr>
      </w:pPr>
      <w:bookmarkStart w:id="1" w:name="_Toc1401808116"/>
      <w:r>
        <w:rPr>
          <w:rFonts w:hint="eastAsia" w:ascii="方正小标宋简体" w:hAnsi="方正小标宋简体" w:cs="方正小标宋简体"/>
          <w:lang w:val="en-US" w:eastAsia="zh-CN"/>
        </w:rPr>
        <w:t>1</w:t>
      </w:r>
      <w:r>
        <w:rPr>
          <w:rFonts w:hint="eastAsia" w:ascii="方正小标宋简体" w:hAnsi="方正小标宋简体" w:eastAsia="方正小标宋简体" w:cs="方正小标宋简体"/>
        </w:rPr>
        <w:t>基于无人机的空地协同的城市智能巡检具身世界模型场景</w:t>
      </w:r>
      <w:bookmarkEnd w:id="1"/>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outlineLvl w:val="2"/>
        <w:rPr>
          <w:rFonts w:hint="eastAsia" w:ascii="方正小标宋简体" w:hAnsi="方正小标宋简体" w:eastAsia="方正小标宋简体" w:cs="方正小标宋简体"/>
          <w:b w:val="0"/>
          <w:bCs w:val="0"/>
          <w:sz w:val="44"/>
          <w:szCs w:val="44"/>
          <w14:ligatures w14:val="none"/>
        </w:rPr>
      </w:pPr>
    </w:p>
    <w:p>
      <w:pPr>
        <w:ind w:firstLine="640"/>
        <w:jc w:val="left"/>
        <w:rPr>
          <w:rFonts w:hint="default" w:ascii="黑体" w:hAnsi="黑体" w:eastAsia="黑体" w:cstheme="minorBidi"/>
          <w:b w:val="0"/>
          <w:bCs w:val="0"/>
          <w:sz w:val="32"/>
          <w:lang w:val="en-US" w:eastAsia="en-US" w:bidi="ar-SA"/>
          <w14:ligatures w14:val="none"/>
        </w:rPr>
      </w:pPr>
      <w:r>
        <w:rPr>
          <w:rFonts w:hint="default" w:ascii="黑体" w:hAnsi="黑体" w:eastAsia="黑体" w:cstheme="minorBidi"/>
          <w:b w:val="0"/>
          <w:bCs w:val="0"/>
          <w:sz w:val="32"/>
          <w:lang w:val="en-US" w:eastAsia="en-US" w:bidi="ar-SA"/>
          <w14:ligatures w14:val="none"/>
        </w:rPr>
        <w:t>一、</w:t>
      </w:r>
      <w:r>
        <w:rPr>
          <w:rFonts w:ascii="黑体" w:hAnsi="黑体" w:eastAsia="黑体" w:cstheme="minorBidi"/>
          <w:b w:val="0"/>
          <w:bCs w:val="0"/>
          <w:sz w:val="32"/>
          <w:lang w:val="en-US" w:eastAsia="en-US" w:bidi="ar-SA"/>
          <w14:ligatures w14:val="none"/>
        </w:rPr>
        <w:t>现状场景描述</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城市环境具有极高的复杂性与多样性。以南山区为例，辖区内具有繁忙的交通路网，以及千米海岸线、深圳湾、大南山等丰富的自然山水资源。这种“山、海、河、城”交织的格局，使得城市的交通安全与灾害预防巡检方面面临着巨大挑战。交通事故、道路障碍物、违停占道、施工围挡异常，和暴雨、山火等日常灾害及次生灾害（如道路积水、道路阻断）等问题，均对城市安全运行和交通通行能力产生直接影响。</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当前相关事件发现与处置仍以固定视频监控和人工巡查为主，存在巡查覆盖不足、问题发现不及时、应急处置协同效率不高等问题，难以满足城市精细化管理与快速应急响应的需求。无人机凭借其机动灵活、视野广阔、响应迅速的独特优势，已成为城市巡检的核心空基力量，但现有无人机巡检系统仍以人工操控或预设航线的半自动模式为主，智能化程度不足。因此，有必要打造一套以无人机为核心的“空地一体化”综合智能巡检与自动化处置底座，通过“无人机高空全景巡航+机器狗/无人车地面精细核实+自动化设备终端处置”的协同模式，提升城市交通运行保障与灾害风险防控能力，支撑智慧城市建设。</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近年来，具身智能特别是视觉-语言-动作大模型（VLA）的发展，为无人机、机器狗等巡检设备的自动化操作提供了新路径。然而，在实际投入复杂多变的城市场景时，现有VLA模型暴露出严重的局限性。这些模型大多是在封闭环境或特定任务数据集上训练而成，面对开放世界中未见过的新场景、新障碍物或突发险情时，往往无所适从。为了让以无人机为代表的空地协同设备真正具备在复杂城市环境中自主作业的能力，亟需攻克底层AI算法瓶颈。必须探索并引入前沿的具身世界模型（World Model），以弥补现有VLA模型在泛化能力上的先天不足，赋予智能体对真实物理世界的内在理解、未来推演与跨场景适应能力，从而打造真正通用的城市管养与应急处置“具身大脑”。</w:t>
      </w:r>
    </w:p>
    <w:p>
      <w:pPr>
        <w:ind w:firstLine="640"/>
        <w:jc w:val="left"/>
        <w:rPr>
          <w:rFonts w:hint="default" w:ascii="黑体" w:hAnsi="黑体" w:eastAsia="黑体" w:cstheme="minorBidi"/>
          <w:b w:val="0"/>
          <w:bCs w:val="0"/>
          <w:sz w:val="32"/>
          <w:lang w:val="en-US" w:eastAsia="en-US" w:bidi="ar-SA"/>
          <w14:ligatures w14:val="none"/>
        </w:rPr>
      </w:pPr>
      <w:r>
        <w:rPr>
          <w:rFonts w:hint="default" w:ascii="黑体" w:hAnsi="黑体" w:eastAsia="黑体" w:cstheme="minorBidi"/>
          <w:b w:val="0"/>
          <w:bCs w:val="0"/>
          <w:sz w:val="32"/>
          <w:lang w:val="en-US" w:eastAsia="en-US" w:bidi="ar-SA"/>
          <w14:ligatures w14:val="none"/>
        </w:rPr>
        <w:t>二、现阶段技术困境</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现有具身智能技术在向真实复杂物理世界落地，尤其是在无人机城市智能巡检场景中应用时，面临以下核心技术鸿沟：</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60" w:lineRule="exact"/>
        <w:ind w:firstLine="640" w:firstLineChars="200"/>
        <w:textAlignment w:val="auto"/>
        <w:rPr>
          <w:rFonts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lang w:val="en-US" w:eastAsia="zh-CN"/>
          <w14:ligatures w14:val="none"/>
        </w:rPr>
        <w:t>1.</w:t>
      </w:r>
      <w:r>
        <w:rPr>
          <w:rFonts w:hint="eastAsia" w:ascii="仿宋_GB2312" w:hAnsi="仿宋_GB2312" w:eastAsia="仿宋_GB2312" w:cs="仿宋_GB2312"/>
          <w:b w:val="0"/>
          <w:bCs w:val="0"/>
          <w:sz w:val="32"/>
          <w:szCs w:val="32"/>
          <w14:ligatures w14:val="none"/>
        </w:rPr>
        <w:t>现有VLA模型泛化能力极弱，陷入“数据依赖”困境：当前的VLA模型高度依赖于特定场景和特定硬件的大规模专家轨迹数据进行模仿学习。在面对南山区非结构化的开放场景（如光照剧变、复杂路况、罕见灾害形态）时，无人机巡检模型极易失效，缺乏对新环境和未见任务的</w:t>
      </w:r>
      <w:r>
        <w:rPr>
          <w:rFonts w:hint="eastAsia" w:ascii="仿宋_GB2312" w:hAnsi="仿宋_GB2312" w:eastAsia="仿宋_GB2312" w:cs="仿宋_GB2312"/>
          <w:b w:val="0"/>
          <w:bCs w:val="0"/>
          <w:sz w:val="32"/>
          <w:szCs w:val="32"/>
          <w:lang w:eastAsia="zh-CN"/>
          <w14:ligatures w14:val="none"/>
        </w:rPr>
        <w:t>“</w:t>
      </w:r>
      <w:r>
        <w:rPr>
          <w:rFonts w:hint="eastAsia" w:ascii="仿宋_GB2312" w:hAnsi="仿宋_GB2312" w:eastAsia="仿宋_GB2312" w:cs="仿宋_GB2312"/>
          <w:b w:val="0"/>
          <w:bCs w:val="0"/>
          <w:sz w:val="32"/>
          <w:szCs w:val="32"/>
          <w14:ligatures w14:val="none"/>
        </w:rPr>
        <w:t>零样本泛化</w:t>
      </w:r>
      <w:r>
        <w:rPr>
          <w:rFonts w:hint="eastAsia" w:ascii="仿宋_GB2312" w:hAnsi="仿宋_GB2312" w:eastAsia="仿宋_GB2312" w:cs="仿宋_GB2312"/>
          <w:b w:val="0"/>
          <w:bCs w:val="0"/>
          <w:sz w:val="32"/>
          <w:szCs w:val="32"/>
          <w:lang w:eastAsia="zh-CN"/>
          <w14:ligatures w14:val="none"/>
        </w:rPr>
        <w:t>”</w:t>
      </w:r>
      <w:r>
        <w:rPr>
          <w:rFonts w:hint="eastAsia" w:ascii="仿宋_GB2312" w:hAnsi="仿宋_GB2312" w:eastAsia="仿宋_GB2312" w:cs="仿宋_GB2312"/>
          <w:b w:val="0"/>
          <w:bCs w:val="0"/>
          <w:sz w:val="32"/>
          <w:szCs w:val="32"/>
          <w14:ligatures w14:val="none"/>
        </w:rPr>
        <w:t>能力，导致无人机巡检场景拓展成本极高，无法快速适配不同区域、不同类型的巡检需求。</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60" w:lineRule="exact"/>
        <w:ind w:firstLine="640" w:firstLineChars="200"/>
        <w:textAlignment w:val="auto"/>
        <w:rPr>
          <w:rFonts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lang w:val="en-US" w:eastAsia="zh-CN"/>
          <w14:ligatures w14:val="none"/>
        </w:rPr>
        <w:t>2.</w:t>
      </w:r>
      <w:r>
        <w:rPr>
          <w:rFonts w:hint="eastAsia" w:ascii="仿宋_GB2312" w:hAnsi="仿宋_GB2312" w:eastAsia="仿宋_GB2312" w:cs="仿宋_GB2312"/>
          <w:b w:val="0"/>
          <w:bCs w:val="0"/>
          <w:sz w:val="32"/>
          <w:szCs w:val="32"/>
          <w14:ligatures w14:val="none"/>
        </w:rPr>
        <w:t>缺乏“世界模型”底座，系统不具备物理推演与预测能力：现有无人机巡检VLA模型多为端到端的统计映射（从像素直接映射到动作），缺乏对物理世界运行规律（如重力、碰撞、流体动力学）的内在理解。模型无法预判自身动作对环境产生的影响（例如无人机气流扰动对地面轻量障碍物的影响、火势的蔓延路径、道路积水的扩散范围），无法进行联合视频帧生成与连续动作预测，导致无人机在物理交互类巡检任务（如近距离隐患排查、应急物资投放）中极易失败。</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60" w:lineRule="exact"/>
        <w:ind w:firstLine="640" w:firstLineChars="200"/>
        <w:textAlignment w:val="auto"/>
        <w:rPr>
          <w:rFonts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lang w:val="en-US" w:eastAsia="zh-CN"/>
          <w14:ligatures w14:val="none"/>
        </w:rPr>
        <w:t>3.</w:t>
      </w:r>
      <w:r>
        <w:rPr>
          <w:rFonts w:hint="eastAsia" w:ascii="仿宋_GB2312" w:hAnsi="仿宋_GB2312" w:eastAsia="仿宋_GB2312" w:cs="仿宋_GB2312"/>
          <w:b w:val="0"/>
          <w:bCs w:val="0"/>
          <w:sz w:val="32"/>
          <w:szCs w:val="32"/>
          <w14:ligatures w14:val="none"/>
        </w:rPr>
        <w:t>“跨机体”迁移壁垒高，真实环境试错成本高昂：当前具身AI算法多为</w:t>
      </w:r>
      <w:r>
        <w:rPr>
          <w:rFonts w:hint="eastAsia" w:ascii="仿宋_GB2312" w:hAnsi="仿宋_GB2312" w:eastAsia="仿宋_GB2312" w:cs="仿宋_GB2312"/>
          <w:b w:val="0"/>
          <w:bCs w:val="0"/>
          <w:sz w:val="32"/>
          <w:szCs w:val="32"/>
          <w:lang w:eastAsia="zh-CN"/>
          <w14:ligatures w14:val="none"/>
        </w:rPr>
        <w:t>“</w:t>
      </w:r>
      <w:r>
        <w:rPr>
          <w:rFonts w:hint="eastAsia" w:ascii="仿宋_GB2312" w:hAnsi="仿宋_GB2312" w:eastAsia="仿宋_GB2312" w:cs="仿宋_GB2312"/>
          <w:b w:val="0"/>
          <w:bCs w:val="0"/>
          <w:sz w:val="32"/>
          <w:szCs w:val="32"/>
          <w14:ligatures w14:val="none"/>
        </w:rPr>
        <w:t>一机一模型”，由于缺乏统一的世界动作模型，在一个形态智能体（如某型号多旋翼无人机）上学会的巡检技能，无法泛化迁移到其他形态（如固定翼无人机、垂直起降无人机或地面机器狗）上。此外，在交通或高危灾害等真实环境中直接测试无人机VLA模型的物理控制策略风险极大，缺乏能够提供高逼真“仿真即评估”的虚拟推演环境。</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lang w:val="en-US" w:eastAsia="zh-CN"/>
          <w14:ligatures w14:val="none"/>
        </w:rPr>
        <w:t>4.</w:t>
      </w:r>
      <w:r>
        <w:rPr>
          <w:rFonts w:hint="eastAsia" w:ascii="仿宋_GB2312" w:hAnsi="仿宋_GB2312" w:eastAsia="仿宋_GB2312" w:cs="仿宋_GB2312"/>
          <w:b w:val="0"/>
          <w:bCs w:val="0"/>
          <w:sz w:val="32"/>
          <w:szCs w:val="32"/>
          <w14:ligatures w14:val="none"/>
        </w:rPr>
        <w:t>纯视觉3D几何认知与高频控制能力缺失：感知端高度依赖昂贵的激光雷达，纯视觉/单目传感器下缺乏可交互的3D几何与实例语义理解能力；控制端由于传统架构解耦，无法支撑无人机等设备在极端环境（如高速机动、强侧风干扰）下的高频端到端控制响应，制约了无人机在应急抢险等极端场景下的作业能力。</w:t>
      </w: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三、场景示范需求</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本项目依托</w:t>
      </w:r>
      <w:r>
        <w:rPr>
          <w:rFonts w:hint="eastAsia" w:ascii="仿宋_GB2312" w:hAnsi="仿宋_GB2312" w:eastAsia="仿宋_GB2312" w:cs="仿宋_GB2312"/>
          <w:b w:val="0"/>
          <w:bCs w:val="0"/>
          <w:sz w:val="32"/>
          <w:szCs w:val="32"/>
          <w:lang w:val="en-US" w:eastAsia="zh-CN"/>
          <w14:ligatures w14:val="none"/>
        </w:rPr>
        <w:t>公司</w:t>
      </w:r>
      <w:r>
        <w:rPr>
          <w:rFonts w:hint="eastAsia" w:ascii="仿宋_GB2312" w:hAnsi="仿宋_GB2312" w:eastAsia="仿宋_GB2312" w:cs="仿宋_GB2312"/>
          <w:b w:val="0"/>
          <w:bCs w:val="0"/>
          <w:sz w:val="32"/>
          <w:szCs w:val="32"/>
          <w14:ligatures w14:val="none"/>
        </w:rPr>
        <w:t>在无人机领域的技术积累与产品优势，旨在研发面向无人机城市智能巡检场景的通用具身智能底座，突破VLA模型的泛化瓶颈，具体核心需求如下：</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（一）构建面向无人机智能巡检的具身世界模型，破解泛化难题</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针对现有无人机巡检模型的开放场景泛化难题，示范平台须探索构建国内首个城市场景专属的无人机巡检具身世界模型，打造</w:t>
      </w:r>
      <w:r>
        <w:rPr>
          <w:rFonts w:hint="eastAsia" w:ascii="仿宋_GB2312" w:hAnsi="仿宋_GB2312" w:eastAsia="仿宋_GB2312" w:cs="仿宋_GB2312"/>
          <w:b w:val="0"/>
          <w:bCs w:val="0"/>
          <w:sz w:val="32"/>
          <w:szCs w:val="32"/>
          <w:lang w:eastAsia="zh-CN"/>
          <w14:ligatures w14:val="none"/>
        </w:rPr>
        <w:t>“</w:t>
      </w:r>
      <w:r>
        <w:rPr>
          <w:rFonts w:hint="eastAsia" w:ascii="仿宋_GB2312" w:hAnsi="仿宋_GB2312" w:eastAsia="仿宋_GB2312" w:cs="仿宋_GB2312"/>
          <w:b w:val="0"/>
          <w:bCs w:val="0"/>
          <w:sz w:val="32"/>
          <w:szCs w:val="32"/>
          <w14:ligatures w14:val="none"/>
        </w:rPr>
        <w:t>先想象、再决策、后执行</w:t>
      </w:r>
      <w:r>
        <w:rPr>
          <w:rFonts w:hint="eastAsia" w:ascii="仿宋_GB2312" w:hAnsi="仿宋_GB2312" w:eastAsia="仿宋_GB2312" w:cs="仿宋_GB2312"/>
          <w:b w:val="0"/>
          <w:bCs w:val="0"/>
          <w:sz w:val="32"/>
          <w:szCs w:val="32"/>
          <w:lang w:eastAsia="zh-CN"/>
          <w14:ligatures w14:val="none"/>
        </w:rPr>
        <w:t>”</w:t>
      </w:r>
      <w:r>
        <w:rPr>
          <w:rFonts w:hint="eastAsia" w:ascii="仿宋_GB2312" w:hAnsi="仿宋_GB2312" w:eastAsia="仿宋_GB2312" w:cs="仿宋_GB2312"/>
          <w:b w:val="0"/>
          <w:bCs w:val="0"/>
          <w:sz w:val="32"/>
          <w:szCs w:val="32"/>
          <w14:ligatures w14:val="none"/>
        </w:rPr>
        <w:t>的自主作业范式，具体需实现以下可量化、可落地的核心能力：</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60" w:lineRule="exact"/>
        <w:ind w:leftChars="0"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lang w:val="en-US" w:eastAsia="zh-CN"/>
          <w14:ligatures w14:val="none"/>
        </w:rPr>
        <w:t>1.</w:t>
      </w:r>
      <w:r>
        <w:rPr>
          <w:rFonts w:hint="eastAsia" w:ascii="仿宋_GB2312" w:hAnsi="仿宋_GB2312" w:eastAsia="仿宋_GB2312" w:cs="仿宋_GB2312"/>
          <w:b w:val="0"/>
          <w:bCs w:val="0"/>
          <w:sz w:val="32"/>
          <w:szCs w:val="32"/>
          <w14:ligatures w14:val="none"/>
        </w:rPr>
        <w:t>物理常识与巡检态势推演能力</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依托基础世界模型，内置城市巡检领域专属物理引擎与灾害演化知识库，实现对南山区</w:t>
      </w:r>
      <w:r>
        <w:rPr>
          <w:rFonts w:hint="eastAsia" w:ascii="仿宋_GB2312" w:hAnsi="仿宋_GB2312" w:eastAsia="仿宋_GB2312" w:cs="仿宋_GB2312"/>
          <w:b w:val="0"/>
          <w:bCs w:val="0"/>
          <w:sz w:val="32"/>
          <w:szCs w:val="32"/>
          <w:lang w:eastAsia="zh-CN"/>
          <w14:ligatures w14:val="none"/>
        </w:rPr>
        <w:t>“</w:t>
      </w:r>
      <w:r>
        <w:rPr>
          <w:rFonts w:hint="eastAsia" w:ascii="仿宋_GB2312" w:hAnsi="仿宋_GB2312" w:eastAsia="仿宋_GB2312" w:cs="仿宋_GB2312"/>
          <w:b w:val="0"/>
          <w:bCs w:val="0"/>
          <w:sz w:val="32"/>
          <w:szCs w:val="32"/>
          <w14:ligatures w14:val="none"/>
        </w:rPr>
        <w:t>山-海-河-城</w:t>
      </w:r>
      <w:r>
        <w:rPr>
          <w:rFonts w:hint="eastAsia" w:ascii="仿宋_GB2312" w:hAnsi="仿宋_GB2312" w:eastAsia="仿宋_GB2312" w:cs="仿宋_GB2312"/>
          <w:b w:val="0"/>
          <w:bCs w:val="0"/>
          <w:sz w:val="32"/>
          <w:szCs w:val="32"/>
          <w:lang w:eastAsia="zh-CN"/>
          <w14:ligatures w14:val="none"/>
        </w:rPr>
        <w:t>”</w:t>
      </w:r>
      <w:r>
        <w:rPr>
          <w:rFonts w:hint="eastAsia" w:ascii="仿宋_GB2312" w:hAnsi="仿宋_GB2312" w:eastAsia="仿宋_GB2312" w:cs="仿宋_GB2312"/>
          <w:b w:val="0"/>
          <w:bCs w:val="0"/>
          <w:sz w:val="32"/>
          <w:szCs w:val="32"/>
          <w14:ligatures w14:val="none"/>
        </w:rPr>
        <w:t>复杂环境的高保真数字孪生与动态联合预测。重点突破：</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交通巡检态势推演：能够预判违停车辆启动驶离轨迹（准确率≥90%）、施工围挡在6级以上大风下的倾倒风险（提前10分钟预警）、交通事故引发的拥堵扩散范围（提前15分钟预测30分钟内的拥堵程度），自动调整无人机巡检航线优先覆盖高风险路段。</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自然灾害演化推演：针对暴雨天气，可结合地形数据与实时降雨信息，提前30分钟预判道路积水深度≥15cm的区域范围（空间误差≤5米）；针对大南山等山林区域，可模拟山火在不同风力、植被条件下的蔓延路径（预测时长≥2小时），为无人机火情侦察与灭火弹投放提供决策依据。</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无人机自身物理影响推演：能够计算无人机低空飞行时的气流扰动对地面轻量障碍物（如施工警示牌、遮阳棚）的影响，自动调整飞行高度与速度避免次生灾害；预判无人机在强侧风、雨雾等恶劣天气下的飞行稳定性，动态规划安全返航路线。</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lang w:val="en-US" w:eastAsia="zh-CN"/>
          <w14:ligatures w14:val="none"/>
        </w:rPr>
        <w:t>2.</w:t>
      </w:r>
      <w:r>
        <w:rPr>
          <w:rFonts w:hint="eastAsia" w:ascii="仿宋_GB2312" w:hAnsi="仿宋_GB2312" w:eastAsia="仿宋_GB2312" w:cs="仿宋_GB2312"/>
          <w:b w:val="0"/>
          <w:bCs w:val="0"/>
          <w:sz w:val="32"/>
          <w:szCs w:val="32"/>
          <w14:ligatures w14:val="none"/>
        </w:rPr>
        <w:t>跨机体巡检技能迁移与零样本泛化能力</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打破</w:t>
      </w:r>
      <w:r>
        <w:rPr>
          <w:rFonts w:hint="eastAsia" w:ascii="仿宋_GB2312" w:hAnsi="仿宋_GB2312" w:eastAsia="仿宋_GB2312" w:cs="仿宋_GB2312"/>
          <w:b w:val="0"/>
          <w:bCs w:val="0"/>
          <w:sz w:val="32"/>
          <w:szCs w:val="32"/>
          <w:lang w:eastAsia="zh-CN"/>
          <w14:ligatures w14:val="none"/>
        </w:rPr>
        <w:t>“</w:t>
      </w:r>
      <w:r>
        <w:rPr>
          <w:rFonts w:hint="eastAsia" w:ascii="仿宋_GB2312" w:hAnsi="仿宋_GB2312" w:eastAsia="仿宋_GB2312" w:cs="仿宋_GB2312"/>
          <w:b w:val="0"/>
          <w:bCs w:val="0"/>
          <w:sz w:val="32"/>
          <w:szCs w:val="32"/>
          <w14:ligatures w14:val="none"/>
        </w:rPr>
        <w:t>一机一模型、一任务一训练</w:t>
      </w:r>
      <w:r>
        <w:rPr>
          <w:rFonts w:hint="eastAsia" w:ascii="仿宋_GB2312" w:hAnsi="仿宋_GB2312" w:eastAsia="仿宋_GB2312" w:cs="仿宋_GB2312"/>
          <w:b w:val="0"/>
          <w:bCs w:val="0"/>
          <w:sz w:val="32"/>
          <w:szCs w:val="32"/>
          <w:lang w:eastAsia="zh-CN"/>
          <w14:ligatures w14:val="none"/>
        </w:rPr>
        <w:t>”</w:t>
      </w:r>
      <w:r>
        <w:rPr>
          <w:rFonts w:hint="eastAsia" w:ascii="仿宋_GB2312" w:hAnsi="仿宋_GB2312" w:eastAsia="仿宋_GB2312" w:cs="仿宋_GB2312"/>
          <w:b w:val="0"/>
          <w:bCs w:val="0"/>
          <w:sz w:val="32"/>
          <w:szCs w:val="32"/>
          <w14:ligatures w14:val="none"/>
        </w:rPr>
        <w:t>的传统模式，通过世界动作模型实现</w:t>
      </w:r>
      <w:r>
        <w:rPr>
          <w:rFonts w:hint="eastAsia" w:ascii="仿宋_GB2312" w:hAnsi="仿宋_GB2312" w:eastAsia="仿宋_GB2312" w:cs="仿宋_GB2312"/>
          <w:b w:val="0"/>
          <w:bCs w:val="0"/>
          <w:sz w:val="32"/>
          <w:szCs w:val="32"/>
          <w:lang w:eastAsia="zh-CN"/>
          <w14:ligatures w14:val="none"/>
        </w:rPr>
        <w:t>“</w:t>
      </w:r>
      <w:r>
        <w:rPr>
          <w:rFonts w:hint="eastAsia" w:ascii="仿宋_GB2312" w:hAnsi="仿宋_GB2312" w:eastAsia="仿宋_GB2312" w:cs="仿宋_GB2312"/>
          <w:b w:val="0"/>
          <w:bCs w:val="0"/>
          <w:sz w:val="32"/>
          <w:szCs w:val="32"/>
          <w14:ligatures w14:val="none"/>
        </w:rPr>
        <w:t>视频理解-未来想象-动作生成</w:t>
      </w:r>
      <w:r>
        <w:rPr>
          <w:rFonts w:hint="eastAsia" w:ascii="仿宋_GB2312" w:hAnsi="仿宋_GB2312" w:eastAsia="仿宋_GB2312" w:cs="仿宋_GB2312"/>
          <w:b w:val="0"/>
          <w:bCs w:val="0"/>
          <w:sz w:val="32"/>
          <w:szCs w:val="32"/>
          <w:lang w:eastAsia="zh-CN"/>
          <w14:ligatures w14:val="none"/>
        </w:rPr>
        <w:t>”</w:t>
      </w:r>
      <w:r>
        <w:rPr>
          <w:rFonts w:hint="eastAsia" w:ascii="仿宋_GB2312" w:hAnsi="仿宋_GB2312" w:eastAsia="仿宋_GB2312" w:cs="仿宋_GB2312"/>
          <w:b w:val="0"/>
          <w:bCs w:val="0"/>
          <w:sz w:val="32"/>
          <w:szCs w:val="32"/>
          <w14:ligatures w14:val="none"/>
        </w:rPr>
        <w:t>的端到端统一，使全系列无人机及空地协同设备具备通用智能：</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跨机型零样本迁移：在任意一款无人机上训练完成的核心巡检技能（包括高空全景巡航、目标自动识别、悬停精细拍摄、应急物资投放、喊话驱离），可直接迁移至其他系列产品，技能迁移准确率≥85%，模型适配时间从传统的3个月缩短至72小时以内，无需重新采集大规模训练数据。</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空地跨机体协同技能迁移：支持无人机巡检发现的隐患点自动同步至地面机器狗/无人车，实现</w:t>
      </w:r>
      <w:r>
        <w:rPr>
          <w:rFonts w:hint="eastAsia" w:ascii="仿宋_GB2312" w:hAnsi="仿宋_GB2312" w:eastAsia="仿宋_GB2312" w:cs="仿宋_GB2312"/>
          <w:b w:val="0"/>
          <w:bCs w:val="0"/>
          <w:sz w:val="32"/>
          <w:szCs w:val="32"/>
          <w:lang w:eastAsia="zh-CN"/>
          <w14:ligatures w14:val="none"/>
        </w:rPr>
        <w:t>“</w:t>
      </w:r>
      <w:r>
        <w:rPr>
          <w:rFonts w:hint="eastAsia" w:ascii="仿宋_GB2312" w:hAnsi="仿宋_GB2312" w:eastAsia="仿宋_GB2312" w:cs="仿宋_GB2312"/>
          <w:b w:val="0"/>
          <w:bCs w:val="0"/>
          <w:sz w:val="32"/>
          <w:szCs w:val="32"/>
          <w14:ligatures w14:val="none"/>
        </w:rPr>
        <w:t>无人机高空定位-地面设备精准抵达-近距离精细核查</w:t>
      </w:r>
      <w:r>
        <w:rPr>
          <w:rFonts w:hint="eastAsia" w:ascii="仿宋_GB2312" w:hAnsi="仿宋_GB2312" w:eastAsia="仿宋_GB2312" w:cs="仿宋_GB2312"/>
          <w:b w:val="0"/>
          <w:bCs w:val="0"/>
          <w:sz w:val="32"/>
          <w:szCs w:val="32"/>
          <w:lang w:eastAsia="zh-CN"/>
          <w14:ligatures w14:val="none"/>
        </w:rPr>
        <w:t>”</w:t>
      </w:r>
      <w:r>
        <w:rPr>
          <w:rFonts w:hint="eastAsia" w:ascii="仿宋_GB2312" w:hAnsi="仿宋_GB2312" w:eastAsia="仿宋_GB2312" w:cs="仿宋_GB2312"/>
          <w:b w:val="0"/>
          <w:bCs w:val="0"/>
          <w:sz w:val="32"/>
          <w:szCs w:val="32"/>
          <w14:ligatures w14:val="none"/>
        </w:rPr>
        <w:t>的全流程自动化。例如无人机发现道路裂缝后，可直接生成地面机器狗的行走路径与拍摄指令，机器狗无需额外训练即可完成裂缝宽度测量与高清拍照任务。</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未见任务零样本执行：面对新增的巡检任务（如共享单车乱停放排查、河道漂浮物检测、建筑工地扬尘监测），模型仅需通过自然语言指令描述任务目标，即可自主生成巡检航线与动作策略，无需人工标注数据进行重新训练，首次执行任务准确率≥75%。</w:t>
      </w:r>
    </w:p>
    <w:p>
      <w:pPr>
        <w:pStyle w:val="15"/>
        <w:keepNext w:val="0"/>
        <w:keepLines w:val="0"/>
        <w:pageBreakBefore w:val="0"/>
        <w:widowControl w:val="0"/>
        <w:numPr>
          <w:ilvl w:val="0"/>
          <w:numId w:val="0"/>
        </w:numPr>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lang w:val="en-US" w:eastAsia="zh-CN"/>
          <w14:ligatures w14:val="none"/>
        </w:rPr>
        <w:t>3.</w:t>
      </w:r>
      <w:r>
        <w:rPr>
          <w:rFonts w:hint="eastAsia" w:ascii="仿宋_GB2312" w:hAnsi="仿宋_GB2312" w:eastAsia="仿宋_GB2312" w:cs="仿宋_GB2312"/>
          <w:b w:val="0"/>
          <w:bCs w:val="0"/>
          <w:sz w:val="32"/>
          <w:szCs w:val="32"/>
          <w14:ligatures w14:val="none"/>
        </w:rPr>
        <w:t>无人机巡检仿真验证闭环能力</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构建基于世界模型的</w:t>
      </w:r>
      <w:r>
        <w:rPr>
          <w:rFonts w:hint="eastAsia" w:ascii="仿宋_GB2312" w:hAnsi="仿宋_GB2312" w:eastAsia="仿宋_GB2312" w:cs="仿宋_GB2312"/>
          <w:b w:val="0"/>
          <w:bCs w:val="0"/>
          <w:sz w:val="32"/>
          <w:szCs w:val="32"/>
          <w:lang w:eastAsia="zh-CN"/>
          <w14:ligatures w14:val="none"/>
        </w:rPr>
        <w:t>“</w:t>
      </w:r>
      <w:r>
        <w:rPr>
          <w:rFonts w:hint="eastAsia" w:ascii="仿宋_GB2312" w:hAnsi="仿宋_GB2312" w:eastAsia="仿宋_GB2312" w:cs="仿宋_GB2312"/>
          <w:b w:val="0"/>
          <w:bCs w:val="0"/>
          <w:sz w:val="32"/>
          <w:szCs w:val="32"/>
          <w14:ligatures w14:val="none"/>
        </w:rPr>
        <w:t>虚拟南山区</w:t>
      </w:r>
      <w:r>
        <w:rPr>
          <w:rFonts w:hint="eastAsia" w:ascii="仿宋_GB2312" w:hAnsi="仿宋_GB2312" w:eastAsia="仿宋_GB2312" w:cs="仿宋_GB2312"/>
          <w:b w:val="0"/>
          <w:bCs w:val="0"/>
          <w:sz w:val="32"/>
          <w:szCs w:val="32"/>
          <w:lang w:eastAsia="zh-CN"/>
          <w14:ligatures w14:val="none"/>
        </w:rPr>
        <w:t>”</w:t>
      </w:r>
      <w:r>
        <w:rPr>
          <w:rFonts w:hint="eastAsia" w:ascii="仿宋_GB2312" w:hAnsi="仿宋_GB2312" w:eastAsia="仿宋_GB2312" w:cs="仿宋_GB2312"/>
          <w:b w:val="0"/>
          <w:bCs w:val="0"/>
          <w:sz w:val="32"/>
          <w:szCs w:val="32"/>
          <w14:ligatures w14:val="none"/>
        </w:rPr>
        <w:t>仿真平台，实现</w:t>
      </w:r>
      <w:r>
        <w:rPr>
          <w:rFonts w:hint="eastAsia" w:ascii="仿宋_GB2312" w:hAnsi="仿宋_GB2312" w:eastAsia="仿宋_GB2312" w:cs="仿宋_GB2312"/>
          <w:b w:val="0"/>
          <w:bCs w:val="0"/>
          <w:sz w:val="32"/>
          <w:szCs w:val="32"/>
          <w:lang w:eastAsia="zh-CN"/>
          <w14:ligatures w14:val="none"/>
        </w:rPr>
        <w:t>“</w:t>
      </w:r>
      <w:r>
        <w:rPr>
          <w:rFonts w:hint="eastAsia" w:ascii="仿宋_GB2312" w:hAnsi="仿宋_GB2312" w:eastAsia="仿宋_GB2312" w:cs="仿宋_GB2312"/>
          <w:b w:val="0"/>
          <w:bCs w:val="0"/>
          <w:sz w:val="32"/>
          <w:szCs w:val="32"/>
          <w14:ligatures w14:val="none"/>
        </w:rPr>
        <w:t>数据生成-模型训练-仿真验证-真机部署</w:t>
      </w:r>
      <w:r>
        <w:rPr>
          <w:rFonts w:hint="eastAsia" w:ascii="仿宋_GB2312" w:hAnsi="仿宋_GB2312" w:eastAsia="仿宋_GB2312" w:cs="仿宋_GB2312"/>
          <w:b w:val="0"/>
          <w:bCs w:val="0"/>
          <w:sz w:val="32"/>
          <w:szCs w:val="32"/>
          <w:lang w:eastAsia="zh-CN"/>
          <w14:ligatures w14:val="none"/>
        </w:rPr>
        <w:t>”</w:t>
      </w:r>
      <w:r>
        <w:rPr>
          <w:rFonts w:hint="eastAsia" w:ascii="仿宋_GB2312" w:hAnsi="仿宋_GB2312" w:eastAsia="仿宋_GB2312" w:cs="仿宋_GB2312"/>
          <w:b w:val="0"/>
          <w:bCs w:val="0"/>
          <w:sz w:val="32"/>
          <w:szCs w:val="32"/>
          <w14:ligatures w14:val="none"/>
        </w:rPr>
        <w:t>的全流程闭环，彻底解决真实环境数据采集难、风险高、成本贵的问题：</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高保真合成数据生成：可生成包含光照变化（早中晚、阴晴雨雾）、地形地貌（城市道路、山林、海岸线）、动态障碍物（车辆、行人、飞鸟）、灾害场景（山火、积水、塌方）等12类可变参数的无人机巡检合成数据，数据生成速度≥10万帧/小时，合成数据与真实数据的视觉相似度≥95%。</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高危场景大规模推演：重点覆盖南山区100+高风险、难采集的巡检场景，包括山火扑救（模拟不同规模山火蔓延，验证火情侦察与灭火弹投放精度）、桥梁高危检测（模拟桥梁裂缝、钢筋外露等病害，验证近距离飞行安全性）、极端天气巡检（模拟8级大风、暴雨、大雾，验证飞行稳定性与识别能力）、交通应急处置（模拟重大交通事故、道路阻断，验证应急响应速度）。</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模型快速迭代优化：支持在仿真环境中对无人机巡检模型进行7×24小时不间断训练与验证，模型迭代周期从传统的1个月缩短至1周以内。所有高危物理干预策略（如靠近高压线路检测、低空穿越障碍物）必须先在仿真环境中通过1000次以上安全验证，方可部署至真机执行。</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（二）研发适配无人机的纯视觉泛化具身3D基础模型</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突破对多线激光雷达等重型传感器的依赖，构建适配无人机轻量化搭载需求的纯视觉/单目具身3D基础模型。要求模型能够同时捕捉空间语义与3D几何学信息，具备高效的深度预测与实例级语义感知能力。使无人机在复杂交通路网与非结构化野外环境中，实现对道路坑洼、交通标识损坏、山体滑坡隐患、河道漂浮物等障碍物与目标物的高精度三维重建与空间交互理解，为无人机巡检世界模型提供极低延迟的底层视觉支撑。</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（三）突破无人机极端巡检场景的端到端高频控制与边缘算力适配</w:t>
      </w:r>
    </w:p>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b w:val="0"/>
          <w:bCs w:val="0"/>
          <w:sz w:val="32"/>
          <w:szCs w:val="32"/>
          <w14:ligatures w14:val="none"/>
        </w:rPr>
      </w:pPr>
      <w:r>
        <w:rPr>
          <w:rFonts w:hint="eastAsia" w:ascii="仿宋_GB2312" w:hAnsi="仿宋_GB2312" w:eastAsia="仿宋_GB2312" w:cs="仿宋_GB2312"/>
          <w:b w:val="0"/>
          <w:bCs w:val="0"/>
          <w:sz w:val="32"/>
          <w:szCs w:val="32"/>
          <w14:ligatures w14:val="none"/>
        </w:rPr>
        <w:t>针对交通防灾等高动态应急巡检场景，突破传统分层架构，研发端到端的无人机具身控制算法。以支撑特种无人机平台在极限空气动力学条件下的高速响应（如支持具备 极速巡航与应急干预能力的固定翼无人机）；并探索研发与之匹配的自研边缘算力芯片或底层算力架构优化方案，确保在复杂灾害及弱网环境下，无人机端侧世界模型与VLA巡检策略的稳定、高频实时推理。</w:t>
      </w:r>
    </w:p>
    <w:p>
      <w:pPr>
        <w:pStyle w:val="2"/>
        <w:keepNext w:val="0"/>
        <w:keepLines w:val="0"/>
        <w:pageBreakBefore w:val="0"/>
        <w:kinsoku/>
        <w:overflowPunct/>
        <w:topLinePunct w:val="0"/>
        <w:autoSpaceDE/>
        <w:autoSpaceDN/>
        <w:bidi w:val="0"/>
        <w:adjustRightInd/>
        <w:spacing w:beforeAutospacing="0" w:afterAutospacing="0" w:line="560" w:lineRule="exact"/>
        <w:textAlignment w:val="auto"/>
        <w:rPr>
          <w:rFonts w:hint="eastAsia" w:ascii="方正小标宋简体" w:hAnsi="方正小标宋简体" w:eastAsia="方正小标宋简体" w:cs="方正小标宋简体"/>
        </w:rPr>
      </w:pPr>
      <w:r>
        <w:rPr>
          <w:rFonts w:hint="eastAsia" w:ascii="仿宋_GB2312" w:hAnsi="仿宋_GB2312" w:eastAsia="仿宋_GB2312" w:cs="仿宋_GB2312"/>
          <w:b w:val="0"/>
          <w:bCs w:val="0"/>
          <w:sz w:val="32"/>
          <w:szCs w:val="32"/>
          <w14:ligatures w14:val="none"/>
        </w:rPr>
        <w:br w:type="page"/>
      </w:r>
      <w:bookmarkStart w:id="2" w:name="_Toc1356360054"/>
      <w:r>
        <w:rPr>
          <w:rFonts w:hint="eastAsia" w:ascii="方正小标宋简体" w:hAnsi="方正小标宋简体" w:cs="方正小标宋简体"/>
          <w:lang w:val="en-US" w:eastAsia="zh-CN"/>
        </w:rPr>
        <w:t>2</w:t>
      </w:r>
      <w:r>
        <w:rPr>
          <w:rFonts w:hint="eastAsia" w:ascii="方正小标宋简体" w:hAnsi="方正小标宋简体" w:eastAsia="方正小标宋简体" w:cs="方正小标宋简体"/>
        </w:rPr>
        <w:t>大模型与多智能体融合的应付结算端到端智能处理场景</w:t>
      </w:r>
      <w:bookmarkEnd w:id="2"/>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rPr>
      </w:pPr>
    </w:p>
    <w:p>
      <w:pPr>
        <w:ind w:firstLine="640"/>
        <w:jc w:val="left"/>
        <w:rPr>
          <w:rFonts w:hint="eastAsia" w:ascii="黑体" w:hAnsi="黑体" w:eastAsia="黑体" w:cstheme="minorBidi"/>
          <w:b w:val="0"/>
          <w:bCs w:val="0"/>
          <w:sz w:val="32"/>
          <w:lang w:val="en-US" w:eastAsia="en-US" w:bidi="ar-SA"/>
          <w14:ligatures w14:val="none"/>
        </w:rPr>
      </w:pPr>
      <w:r>
        <w:rPr>
          <w:rFonts w:hint="eastAsia" w:ascii="黑体" w:hAnsi="黑体" w:eastAsia="黑体" w:cstheme="minorBidi"/>
          <w:b w:val="0"/>
          <w:bCs w:val="0"/>
          <w:sz w:val="32"/>
          <w:lang w:val="en-US" w:eastAsia="en-US" w:bidi="ar-SA"/>
          <w14:ligatures w14:val="none"/>
        </w:rPr>
        <w:t>一、场景现状描述</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大型全球化物流企业的财务共享中心承担着集团全球业务的财务结算处理职能，覆盖</w:t>
      </w:r>
      <w:r>
        <w:rPr>
          <w:rFonts w:hint="eastAsia" w:ascii="仿宋_GB2312" w:hAnsi="仿宋_GB2312" w:eastAsia="仿宋_GB2312" w:cs="仿宋_GB2312"/>
          <w:b w:val="0"/>
          <w:bCs w:val="0"/>
          <w:sz w:val="32"/>
          <w:szCs w:val="32"/>
          <w:lang w:eastAsia="zh-CN"/>
        </w:rPr>
        <w:t>海内外</w:t>
      </w:r>
      <w:r>
        <w:rPr>
          <w:rFonts w:hint="eastAsia" w:ascii="仿宋_GB2312" w:hAnsi="仿宋_GB2312" w:eastAsia="仿宋_GB2312" w:cs="仿宋_GB2312"/>
          <w:b w:val="0"/>
          <w:bCs w:val="0"/>
          <w:sz w:val="32"/>
          <w:szCs w:val="32"/>
        </w:rPr>
        <w:t>业务板块，日均处理海量应付结算单据，业务</w:t>
      </w:r>
      <w:r>
        <w:rPr>
          <w:rFonts w:hint="eastAsia" w:ascii="仿宋_GB2312" w:hAnsi="仿宋_GB2312" w:eastAsia="仿宋_GB2312" w:cs="仿宋_GB2312"/>
          <w:b w:val="0"/>
          <w:bCs w:val="0"/>
          <w:sz w:val="32"/>
          <w:szCs w:val="32"/>
          <w:lang w:val="en-US" w:eastAsia="zh-CN"/>
        </w:rPr>
        <w:t>前端</w:t>
      </w:r>
      <w:r>
        <w:rPr>
          <w:rFonts w:hint="eastAsia" w:ascii="仿宋_GB2312" w:hAnsi="仿宋_GB2312" w:eastAsia="仿宋_GB2312" w:cs="仿宋_GB2312"/>
          <w:b w:val="0"/>
          <w:bCs w:val="0"/>
          <w:sz w:val="32"/>
          <w:szCs w:val="32"/>
        </w:rPr>
        <w:t>涉及合同录入、提单填写、附件审核、单据审批、风控校验等端到端全流程。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作为全球化物流企业的财务中枢，工作内容呈现高度复杂性：从业务覆盖范围来说，涉及国内及数十海外国家和地区的跨境结算业务；从单证类型来说，涵盖多语种形式发票、合同、</w:t>
      </w:r>
      <w:r>
        <w:rPr>
          <w:rFonts w:hint="eastAsia" w:ascii="仿宋_GB2312" w:hAnsi="仿宋_GB2312" w:eastAsia="仿宋_GB2312" w:cs="仿宋_GB2312"/>
          <w:b w:val="0"/>
          <w:bCs w:val="0"/>
          <w:sz w:val="32"/>
          <w:szCs w:val="32"/>
          <w:lang w:val="en-US" w:eastAsia="zh-CN"/>
        </w:rPr>
        <w:t>对账单</w:t>
      </w:r>
      <w:r>
        <w:rPr>
          <w:rFonts w:hint="eastAsia" w:ascii="仿宋_GB2312" w:hAnsi="仿宋_GB2312" w:eastAsia="仿宋_GB2312" w:cs="仿宋_GB2312"/>
          <w:b w:val="0"/>
          <w:bCs w:val="0"/>
          <w:sz w:val="32"/>
          <w:szCs w:val="32"/>
        </w:rPr>
        <w:t>、银行回单等数十类非标单据；从语言环境来说，日常处理涉及中文、英文、泰文、日文、韩文、阿拉伯文等</w:t>
      </w:r>
      <w:r>
        <w:rPr>
          <w:rFonts w:hint="eastAsia" w:ascii="仿宋_GB2312" w:hAnsi="仿宋_GB2312" w:eastAsia="仿宋_GB2312" w:cs="仿宋_GB2312"/>
          <w:b w:val="0"/>
          <w:bCs w:val="0"/>
          <w:sz w:val="32"/>
          <w:szCs w:val="32"/>
          <w:lang w:val="en-US" w:eastAsia="zh-CN"/>
        </w:rPr>
        <w:t>多</w:t>
      </w:r>
      <w:r>
        <w:rPr>
          <w:rFonts w:hint="eastAsia" w:ascii="仿宋_GB2312" w:hAnsi="仿宋_GB2312" w:eastAsia="仿宋_GB2312" w:cs="仿宋_GB2312"/>
          <w:b w:val="0"/>
          <w:bCs w:val="0"/>
          <w:sz w:val="32"/>
          <w:szCs w:val="32"/>
        </w:rPr>
        <w:t>种语言的票据和合同文本。</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当前，财务共享中心在端到端结算流程中呈现以下特点：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b w:val="0"/>
          <w:bCs w:val="0"/>
          <w:sz w:val="32"/>
          <w:szCs w:val="32"/>
        </w:rPr>
      </w:pPr>
      <w:r>
        <w:rPr>
          <w:rStyle w:val="13"/>
          <w:rFonts w:hint="eastAsia" w:ascii="仿宋_GB2312" w:hAnsi="仿宋_GB2312" w:eastAsia="仿宋_GB2312" w:cs="仿宋_GB2312"/>
          <w:b w:val="0"/>
          <w:bCs w:val="0"/>
          <w:i w:val="0"/>
          <w:iCs w:val="0"/>
          <w:caps w:val="0"/>
          <w:spacing w:val="0"/>
          <w:sz w:val="32"/>
          <w:szCs w:val="32"/>
          <w:lang w:val="en-US" w:eastAsia="zh-CN"/>
        </w:rPr>
        <w:t>1.</w:t>
      </w:r>
      <w:r>
        <w:rPr>
          <w:rStyle w:val="13"/>
          <w:rFonts w:hint="eastAsia" w:ascii="仿宋_GB2312" w:hAnsi="仿宋_GB2312" w:eastAsia="仿宋_GB2312" w:cs="仿宋_GB2312"/>
          <w:b w:val="0"/>
          <w:bCs w:val="0"/>
          <w:i w:val="0"/>
          <w:iCs w:val="0"/>
          <w:caps w:val="0"/>
          <w:spacing w:val="0"/>
          <w:sz w:val="32"/>
          <w:szCs w:val="32"/>
        </w:rPr>
        <w:t>流程链路长</w:t>
      </w:r>
      <w:r>
        <w:rPr>
          <w:rFonts w:hint="eastAsia" w:ascii="仿宋_GB2312" w:hAnsi="仿宋_GB2312" w:eastAsia="仿宋_GB2312" w:cs="仿宋_GB2312"/>
          <w:b w:val="0"/>
          <w:bCs w:val="0"/>
          <w:i w:val="0"/>
          <w:iCs w:val="0"/>
          <w:caps w:val="0"/>
          <w:spacing w:val="0"/>
          <w:sz w:val="32"/>
          <w:szCs w:val="32"/>
        </w:rPr>
        <w:t>：一笔应付结算业务从合同信息采集、提单填写、附件上传、共享审单到最终付款确认，跨越多个系统、多个环节、多个角色，信息在流转过程中存在断点和重复劳动。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b w:val="0"/>
          <w:bCs w:val="0"/>
          <w:sz w:val="32"/>
          <w:szCs w:val="32"/>
        </w:rPr>
      </w:pPr>
      <w:r>
        <w:rPr>
          <w:rStyle w:val="13"/>
          <w:rFonts w:hint="eastAsia" w:ascii="仿宋_GB2312" w:hAnsi="仿宋_GB2312" w:eastAsia="仿宋_GB2312" w:cs="仿宋_GB2312"/>
          <w:b w:val="0"/>
          <w:bCs w:val="0"/>
          <w:i w:val="0"/>
          <w:iCs w:val="0"/>
          <w:caps w:val="0"/>
          <w:spacing w:val="0"/>
          <w:sz w:val="32"/>
          <w:szCs w:val="32"/>
          <w:lang w:val="en-US" w:eastAsia="zh-CN"/>
        </w:rPr>
        <w:t>2.</w:t>
      </w:r>
      <w:r>
        <w:rPr>
          <w:rStyle w:val="13"/>
          <w:rFonts w:hint="eastAsia" w:ascii="仿宋_GB2312" w:hAnsi="仿宋_GB2312" w:eastAsia="仿宋_GB2312" w:cs="仿宋_GB2312"/>
          <w:b w:val="0"/>
          <w:bCs w:val="0"/>
          <w:i w:val="0"/>
          <w:iCs w:val="0"/>
          <w:caps w:val="0"/>
          <w:spacing w:val="0"/>
          <w:sz w:val="32"/>
          <w:szCs w:val="32"/>
        </w:rPr>
        <w:t>单证形态多样</w:t>
      </w:r>
      <w:r>
        <w:rPr>
          <w:rFonts w:hint="eastAsia" w:ascii="仿宋_GB2312" w:hAnsi="仿宋_GB2312" w:eastAsia="仿宋_GB2312" w:cs="仿宋_GB2312"/>
          <w:b w:val="0"/>
          <w:bCs w:val="0"/>
          <w:i w:val="0"/>
          <w:iCs w:val="0"/>
          <w:caps w:val="0"/>
          <w:spacing w:val="0"/>
          <w:sz w:val="32"/>
          <w:szCs w:val="32"/>
        </w:rPr>
        <w:t>：跨境物流业务中各国发票格式、语言、税务规则差异巨大，同一业务类型在不同国家的附件要求和审核标准截然不同，目前主要依赖人工经验判断。</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b w:val="0"/>
          <w:bCs w:val="0"/>
          <w:sz w:val="32"/>
          <w:szCs w:val="32"/>
        </w:rPr>
      </w:pPr>
      <w:r>
        <w:rPr>
          <w:rStyle w:val="13"/>
          <w:rFonts w:hint="eastAsia" w:ascii="仿宋_GB2312" w:hAnsi="仿宋_GB2312" w:eastAsia="仿宋_GB2312" w:cs="仿宋_GB2312"/>
          <w:b w:val="0"/>
          <w:bCs w:val="0"/>
          <w:i w:val="0"/>
          <w:iCs w:val="0"/>
          <w:caps w:val="0"/>
          <w:spacing w:val="0"/>
          <w:sz w:val="32"/>
          <w:szCs w:val="32"/>
          <w:lang w:val="en-US" w:eastAsia="zh-CN"/>
        </w:rPr>
        <w:t>3.</w:t>
      </w:r>
      <w:r>
        <w:rPr>
          <w:rStyle w:val="13"/>
          <w:rFonts w:hint="eastAsia" w:ascii="仿宋_GB2312" w:hAnsi="仿宋_GB2312" w:eastAsia="仿宋_GB2312" w:cs="仿宋_GB2312"/>
          <w:b w:val="0"/>
          <w:bCs w:val="0"/>
          <w:i w:val="0"/>
          <w:iCs w:val="0"/>
          <w:caps w:val="0"/>
          <w:spacing w:val="0"/>
          <w:sz w:val="32"/>
          <w:szCs w:val="32"/>
        </w:rPr>
        <w:t>审核规则体系庞杂</w:t>
      </w:r>
      <w:r>
        <w:rPr>
          <w:rFonts w:hint="eastAsia" w:ascii="仿宋_GB2312" w:hAnsi="仿宋_GB2312" w:eastAsia="仿宋_GB2312" w:cs="仿宋_GB2312"/>
          <w:b w:val="0"/>
          <w:bCs w:val="0"/>
          <w:i w:val="0"/>
          <w:iCs w:val="0"/>
          <w:caps w:val="0"/>
          <w:spacing w:val="0"/>
          <w:sz w:val="32"/>
          <w:szCs w:val="32"/>
        </w:rPr>
        <w:t>：共享审单环节涉及数百条SOP审核规则，规则以线下文档形式存在，覆盖不同国家、不同业务类型。</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b w:val="0"/>
          <w:bCs w:val="0"/>
          <w:sz w:val="32"/>
          <w:szCs w:val="32"/>
        </w:rPr>
      </w:pPr>
      <w:r>
        <w:rPr>
          <w:rStyle w:val="13"/>
          <w:rFonts w:hint="eastAsia" w:ascii="仿宋_GB2312" w:hAnsi="仿宋_GB2312" w:eastAsia="仿宋_GB2312" w:cs="仿宋_GB2312"/>
          <w:b w:val="0"/>
          <w:bCs w:val="0"/>
          <w:i w:val="0"/>
          <w:iCs w:val="0"/>
          <w:caps w:val="0"/>
          <w:spacing w:val="0"/>
          <w:sz w:val="32"/>
          <w:szCs w:val="32"/>
          <w:lang w:val="en-US" w:eastAsia="zh-CN"/>
        </w:rPr>
        <w:t>4.</w:t>
      </w:r>
      <w:r>
        <w:rPr>
          <w:rStyle w:val="13"/>
          <w:rFonts w:hint="eastAsia" w:ascii="仿宋_GB2312" w:hAnsi="仿宋_GB2312" w:eastAsia="仿宋_GB2312" w:cs="仿宋_GB2312"/>
          <w:b w:val="0"/>
          <w:bCs w:val="0"/>
          <w:i w:val="0"/>
          <w:iCs w:val="0"/>
          <w:caps w:val="0"/>
          <w:spacing w:val="0"/>
          <w:sz w:val="32"/>
          <w:szCs w:val="32"/>
        </w:rPr>
        <w:t>非标合同种类繁多</w:t>
      </w:r>
      <w:r>
        <w:rPr>
          <w:rFonts w:hint="eastAsia" w:ascii="仿宋_GB2312" w:hAnsi="仿宋_GB2312" w:eastAsia="仿宋_GB2312" w:cs="仿宋_GB2312"/>
          <w:b w:val="0"/>
          <w:bCs w:val="0"/>
          <w:i w:val="0"/>
          <w:iCs w:val="0"/>
          <w:caps w:val="0"/>
          <w:spacing w:val="0"/>
          <w:sz w:val="32"/>
          <w:szCs w:val="32"/>
        </w:rPr>
        <w:t>：物业、租赁、运输等十余类业务场景的合同格式各异、篇幅长短不一，关键结算字段散落在合同各处。</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微软雅黑" w:hAnsi="微软雅黑" w:eastAsia="微软雅黑" w:cs="微软雅黑"/>
          <w:b w:val="0"/>
          <w:bCs w:val="0"/>
          <w:sz w:val="32"/>
          <w:szCs w:val="32"/>
        </w:rPr>
      </w:pPr>
      <w:r>
        <w:rPr>
          <w:rFonts w:hint="eastAsia" w:ascii="仿宋_GB2312" w:hAnsi="仿宋_GB2312" w:eastAsia="仿宋_GB2312" w:cs="仿宋_GB2312"/>
          <w:b w:val="0"/>
          <w:bCs w:val="0"/>
          <w:sz w:val="32"/>
          <w:szCs w:val="32"/>
        </w:rPr>
        <w:t>目前，部分环节已引入基础OCR和规则引擎技术，但面对多语种、多版式、长文本、非标准化的复杂物流跨境结算场景，现有技术手段的识别准确率和智能化程度远不能满足业务需求，亟需依托多模态大模型、小语种自然语言处理等前沿AI技术，构建覆盖</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合同信息采集—智能提单—附件标准化—AI审单—风控校验</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全链路的智能化处理能力，推动物流企业财务结算从</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人工驱动、经验依赖</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向</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AI驱动、数据赋能</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全面跃升。</w:t>
      </w:r>
    </w:p>
    <w:p>
      <w:pPr>
        <w:ind w:firstLine="640"/>
        <w:jc w:val="left"/>
        <w:rPr>
          <w:rFonts w:hint="eastAsia" w:ascii="黑体" w:hAnsi="黑体" w:eastAsia="黑体" w:cstheme="minorBidi"/>
          <w:b w:val="0"/>
          <w:bCs w:val="0"/>
          <w:sz w:val="32"/>
          <w:lang w:val="en-US" w:eastAsia="en-US" w:bidi="ar-SA"/>
          <w14:ligatures w14:val="none"/>
        </w:rPr>
      </w:pPr>
      <w:r>
        <w:rPr>
          <w:rFonts w:hint="eastAsia" w:ascii="黑体" w:hAnsi="黑体" w:eastAsia="黑体" w:cstheme="minorBidi"/>
          <w:b w:val="0"/>
          <w:bCs w:val="0"/>
          <w:sz w:val="32"/>
          <w:lang w:val="en-US" w:eastAsia="en-US" w:bidi="ar-SA"/>
          <w14:ligatures w14:val="none"/>
        </w:rPr>
        <w:t>二、场景困境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基于上述现状，现有处理方式在支撑高效、精准、智能化的跨境物流结算方面，面临以下核心瓶颈：</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多语种单证识别精度不足，跨境场景泛化能力薄弱</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传统OCR模型主要针对中英文优化，对泰文、越南文、日文、阿拉伯文等小语种字符、特殊排版及混合语言场景的识别准确率低。加之各国发票版式千差万别，模板化识别方案无法有效覆盖，仍需大量人工逐字核对与翻译，严重制约处理效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附件信息提取与结构化能力薄弱，缺乏统一管理</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现有系统无法对多语种、多格式的跨境应付附件进行智能提取、翻译和结构化处理。跨境形式发票缺乏统一的发票池进行集中管理与防重校验，同一供应商在不同时间、不同渠道提交的重复发票难以自动识别，存在重复付款风险。附件信息与提单字段之间缺乏智能映射，无法实现</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上传即提取、提取即填单</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的自动化闭环。</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审核规则线下化，智能审核能力缺失</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数百条SOP审核规则以线下文档形式管理，审核人员需凭经验逐条比对，标准一致性和执行效率难以保障。不同国家、不同物流业务类型的审核要点差异大，人员学习成本高、流动风险大，且缺乏AI辅助审核能力，大量可标准化处理的单据仍依赖人工逐一审核。</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非标长文本合同处理效率低，</w:t>
      </w:r>
      <w:r>
        <w:rPr>
          <w:rFonts w:hint="eastAsia" w:ascii="仿宋_GB2312" w:hAnsi="仿宋_GB2312" w:eastAsia="仿宋_GB2312" w:cs="仿宋_GB2312"/>
          <w:b w:val="0"/>
          <w:bCs w:val="0"/>
          <w:sz w:val="32"/>
          <w:szCs w:val="32"/>
          <w:lang w:val="en-US" w:eastAsia="zh-CN"/>
        </w:rPr>
        <w:t>部分关键</w:t>
      </w:r>
      <w:r>
        <w:rPr>
          <w:rFonts w:hint="eastAsia" w:ascii="仿宋_GB2312" w:hAnsi="仿宋_GB2312" w:eastAsia="仿宋_GB2312" w:cs="仿宋_GB2312"/>
          <w:b w:val="0"/>
          <w:bCs w:val="0"/>
          <w:sz w:val="32"/>
          <w:szCs w:val="32"/>
        </w:rPr>
        <w:t>字段提取依赖人工</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物流企业涉及物业、租赁、运输等十余类合同，内容冗长且格式各异，关键结算字段（如合同金额、付款条件、服务期限、结算方式等）散布于各章节段落，人工逐页查找、手工录入耗时费力。传统文本处理技术难以应对长文本的跨段落语义关联，分段处理易导致上下文割裂与关键信息遗漏。</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端到端流程割裂，缺乏全链路智能协同与风控贯通</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微软雅黑" w:hAnsi="微软雅黑" w:eastAsia="微软雅黑" w:cs="微软雅黑"/>
          <w:b w:val="0"/>
          <w:bCs w:val="0"/>
          <w:sz w:val="32"/>
          <w:szCs w:val="32"/>
        </w:rPr>
      </w:pPr>
      <w:r>
        <w:rPr>
          <w:rFonts w:hint="eastAsia" w:ascii="仿宋_GB2312" w:hAnsi="仿宋_GB2312" w:eastAsia="仿宋_GB2312" w:cs="仿宋_GB2312"/>
          <w:b w:val="0"/>
          <w:bCs w:val="0"/>
          <w:sz w:val="32"/>
          <w:szCs w:val="32"/>
        </w:rPr>
        <w:t>合同信息采集、智能提单、附件处理、审单校验等环节各自为战，数据和能力未实现贯通。缺乏贯穿全流程的智能校验与风险预警机制，无法实现跨环节的逻辑一致性自动校验（如合同金额与发票金额匹配、发票防重、供应商信息一致性等），错误依赖后端人工发现，风险管控存在盲区。</w:t>
      </w:r>
    </w:p>
    <w:p>
      <w:pPr>
        <w:ind w:firstLine="640"/>
        <w:jc w:val="left"/>
        <w:rPr>
          <w:rFonts w:hint="eastAsia" w:ascii="黑体" w:hAnsi="黑体" w:eastAsia="黑体" w:cstheme="minorBidi"/>
          <w:b w:val="0"/>
          <w:bCs w:val="0"/>
          <w:sz w:val="32"/>
          <w:lang w:val="en-US" w:eastAsia="en-US" w:bidi="ar-SA"/>
          <w14:ligatures w14:val="none"/>
        </w:rPr>
      </w:pPr>
      <w:r>
        <w:rPr>
          <w:rFonts w:hint="eastAsia" w:ascii="黑体" w:hAnsi="黑体" w:eastAsia="黑体" w:cstheme="minorBidi"/>
          <w:b w:val="0"/>
          <w:bCs w:val="0"/>
          <w:sz w:val="32"/>
          <w:lang w:val="en-US" w:eastAsia="en-US" w:bidi="ar-SA"/>
          <w14:ligatures w14:val="none"/>
        </w:rPr>
        <w:t>三、场景示范需求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为破解跨境物流财务结算端到端流程的效率与质量瓶颈，构建基于多模态大模型和多智能体工作流的全链路智能处理体系，实现从合同信息采集到最终审核确认的端到端智能化升级。具体需求如下：</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1.多语种附件智能识别与结构化处理</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基于多模态大模型，构建覆盖中文、英文、泰文、日文、韩文、阿拉伯文等多种语言的跨境物流单证智能识别能力，支持对形式发票、费用清单、运输单据等高频应付附件进行高精度识别与信息提取，兼容多国发票版式差异、手写体、盖章遮挡、低分辨率扫描件等复杂情况，关键字段提取准确率≥95%。</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kern w:val="2"/>
          <w:sz w:val="32"/>
          <w:szCs w:val="32"/>
          <w:lang w:val="en-US" w:eastAsia="zh-CN" w:bidi="ar-SA"/>
        </w:rPr>
        <w:t>分类管理线下表单附件，对应付审核附件实现多语种智能处理（信息提取及翻译）、信息结构化与可视化比对。以公司/国家及业务类型维度，对已确认的附件所约束的最小必要字段，进行准确提取与结构化存储，为后续提单填写和审核校验提供高质量的结构化数据支撑。</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2.跨境形式发票</w:t>
      </w:r>
      <w:r>
        <w:rPr>
          <w:rFonts w:hint="eastAsia" w:ascii="仿宋_GB2312" w:hAnsi="仿宋_GB2312" w:eastAsia="仿宋_GB2312" w:cs="仿宋_GB2312"/>
          <w:b w:val="0"/>
          <w:bCs w:val="0"/>
          <w:sz w:val="32"/>
          <w:szCs w:val="32"/>
          <w:lang w:val="en-US" w:eastAsia="zh-CN"/>
        </w:rPr>
        <w:t>信息数据库</w:t>
      </w:r>
      <w:r>
        <w:rPr>
          <w:rFonts w:hint="eastAsia" w:ascii="仿宋_GB2312" w:hAnsi="仿宋_GB2312" w:eastAsia="仿宋_GB2312" w:cs="仿宋_GB2312"/>
          <w:b w:val="0"/>
          <w:bCs w:val="0"/>
          <w:sz w:val="32"/>
          <w:szCs w:val="32"/>
        </w:rPr>
        <w:t>建设与防重校验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构建跨境形式发票信息数据库，整合多语言发票关键要素，满足跨境物流业务发票池索引、发票数据的集中管理与复用。支持多维度发票数据索引管理，实现发票数据的快速检索、复用与全生命周期追溯。在提单和审单环节，通过多维度特征检索（发票号、金额、开票日期、供应商信息等）实现精准防重校验及多语种翻译，自动识别重复报销风险并实时预警，有效防控重复付款风险。</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3.非标长文本合同智能信息采集与自动填单</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基于多模态大语言模型构建定制化合同信息提取体系，适配物流企业多业务场景合同，实现从合同文本解析到业务系统对接的全流程智能化。模型需具备长文本处理能力，能够一次性处理完整合同文档，保障跨段落条款关联信息的完整捕获，避免因分段处理导致的上下文割裂与语义缺失。</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将合同中包含且业务系统需手工填写的所有字段（如合同金额、付款条件、服务期限、结算方式、甲乙方信息等）进行全量识别，并自动回写至业务系统合同提单页面，实现</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上传合同即自动填单</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。输出结果需采用结构化格式，严格对齐业务系统字段要求，无需二次格式转换。同时建立</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提取-校验-反馈-优化</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的闭环机制，收集人工审核反馈数据，持续迭代优化提取准确率。</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4.SOP规则智能化与AI</w:t>
      </w:r>
      <w:r>
        <w:rPr>
          <w:rFonts w:hint="eastAsia" w:ascii="仿宋_GB2312" w:hAnsi="仿宋_GB2312" w:eastAsia="仿宋_GB2312" w:cs="仿宋_GB2312"/>
          <w:b w:val="0"/>
          <w:bCs w:val="0"/>
          <w:sz w:val="32"/>
          <w:szCs w:val="32"/>
          <w:lang w:val="en-US" w:eastAsia="zh-CN"/>
        </w:rPr>
        <w:t>智能</w:t>
      </w:r>
      <w:r>
        <w:rPr>
          <w:rFonts w:hint="eastAsia" w:ascii="仿宋_GB2312" w:hAnsi="仿宋_GB2312" w:eastAsia="仿宋_GB2312" w:cs="仿宋_GB2312"/>
          <w:b w:val="0"/>
          <w:bCs w:val="0"/>
          <w:sz w:val="32"/>
          <w:szCs w:val="32"/>
        </w:rPr>
        <w:t>审单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实现跨境物流业务SOP审核规则的线上化与智能化转换，搭建支持线上增删改查的SOP管理平台，既能与AI充分交互，又能满足人工使用要求。将AI能力接入共享审单环节，嵌入智审页面，实现AI辅助审核与AI独立审核的分级应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逐步扩大AI独立审单覆盖范围，并同步提升对应场景的AI审核通过率。逐步推进非自动化审核单据的AI审单能力，持续提升审核效率与质量。</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5.智能提单与字段自动填充</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应用AI及大数据手段，辅助提单人进行智能填单。当提单人上传附件后，系统自动完成附件信息提取，根据附件信息与历史数据智能推荐并自动填充单据的关键字段</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覆盖</w:t>
      </w:r>
      <w:r>
        <w:rPr>
          <w:rFonts w:hint="eastAsia" w:ascii="仿宋_GB2312" w:hAnsi="仿宋_GB2312" w:eastAsia="仿宋_GB2312" w:cs="仿宋_GB2312"/>
          <w:b w:val="0"/>
          <w:bCs w:val="0"/>
          <w:sz w:val="32"/>
          <w:szCs w:val="32"/>
          <w:lang w:val="en-US" w:eastAsia="zh-CN"/>
        </w:rPr>
        <w:t>全网物流</w:t>
      </w:r>
      <w:r>
        <w:rPr>
          <w:rFonts w:hint="eastAsia" w:ascii="仿宋_GB2312" w:hAnsi="仿宋_GB2312" w:eastAsia="仿宋_GB2312" w:cs="仿宋_GB2312"/>
          <w:b w:val="0"/>
          <w:bCs w:val="0"/>
          <w:sz w:val="32"/>
          <w:szCs w:val="32"/>
        </w:rPr>
        <w:t>业务场景，减少人工录入，降低填写错误率，实现</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上传附件即智能填单</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6.端到端智能风控与逻辑校验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构建贯穿</w:t>
      </w:r>
      <w:r>
        <w:rPr>
          <w:rFonts w:hint="eastAsia" w:ascii="仿宋_GB2312" w:hAnsi="仿宋_GB2312" w:eastAsia="仿宋_GB2312" w:cs="仿宋_GB2312"/>
          <w:b w:val="0"/>
          <w:bCs w:val="0"/>
          <w:sz w:val="32"/>
          <w:szCs w:val="32"/>
          <w:lang w:val="en-US" w:eastAsia="zh-CN"/>
        </w:rPr>
        <w:t>物流企业</w:t>
      </w:r>
      <w:r>
        <w:rPr>
          <w:rFonts w:hint="eastAsia" w:ascii="仿宋_GB2312" w:hAnsi="仿宋_GB2312" w:eastAsia="仿宋_GB2312" w:cs="仿宋_GB2312"/>
          <w:b w:val="0"/>
          <w:bCs w:val="0"/>
          <w:sz w:val="32"/>
          <w:szCs w:val="32"/>
        </w:rPr>
        <w:t>财务结算全流程的智能校验与风控预警体系，自动校验单据内部及跨环节逻辑一致性（如合同金额与发票金额匹配、发票防重复、供应商信息一致性、付款条件合规性、附件完整性等），对异常项实时标红预警，辅助审核人员快速定位风险点。结合结算历史数据与业务规则，建立风险识别模型，对高风险单据进行智能拦截与预警，实现风控关口前移，提升端到端结算质量与合规性。</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7.系统自学习与持续迭代优化</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支持通过少量样本快速适配新增国家、新增语种、新增单证类型和新增</w:t>
      </w:r>
      <w:r>
        <w:rPr>
          <w:rFonts w:hint="eastAsia" w:ascii="仿宋_GB2312" w:hAnsi="仿宋_GB2312" w:eastAsia="仿宋_GB2312" w:cs="仿宋_GB2312"/>
          <w:b w:val="0"/>
          <w:bCs w:val="0"/>
          <w:sz w:val="32"/>
          <w:szCs w:val="32"/>
          <w:lang w:val="en-US" w:eastAsia="zh-CN"/>
        </w:rPr>
        <w:t>物流</w:t>
      </w:r>
      <w:r>
        <w:rPr>
          <w:rFonts w:hint="eastAsia" w:ascii="仿宋_GB2312" w:hAnsi="仿宋_GB2312" w:eastAsia="仿宋_GB2312" w:cs="仿宋_GB2312"/>
          <w:b w:val="0"/>
          <w:bCs w:val="0"/>
          <w:sz w:val="32"/>
          <w:szCs w:val="32"/>
        </w:rPr>
        <w:t>业务场景，模型可在线迭代优化，适应业务持续变化。建立模型效果监控与反馈闭环机制，持续跟踪各语种、各场景的识别准确率、审核通过率等核心指标，驱动模型能力的持续提升，形成</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应用-反馈-优化-升级</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的良性循环。</w:t>
      </w:r>
    </w:p>
    <w:p>
      <w:pPr>
        <w:pStyle w:val="2"/>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方正小标宋简体" w:hAnsi="方正小标宋简体" w:eastAsia="方正小标宋简体" w:cs="方正小标宋简体"/>
          <w:b w:val="0"/>
          <w:bCs/>
          <w:szCs w:val="44"/>
        </w:rPr>
      </w:pPr>
      <w:r>
        <w:rPr>
          <w:rFonts w:hint="eastAsia" w:ascii="仿宋_GB2312" w:hAnsi="仿宋_GB2312" w:eastAsia="仿宋_GB2312" w:cs="仿宋_GB2312"/>
          <w:b w:val="0"/>
          <w:bCs w:val="0"/>
          <w:sz w:val="32"/>
          <w:szCs w:val="32"/>
        </w:rPr>
        <w:br w:type="page"/>
      </w:r>
      <w:bookmarkStart w:id="3" w:name="_Toc3990079"/>
      <w:r>
        <w:rPr>
          <w:rFonts w:hint="eastAsia" w:ascii="方正小标宋简体" w:hAnsi="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基于AI驱动建模的SMT全流程智造场景</w:t>
      </w:r>
      <w:bookmarkEnd w:id="3"/>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jc w:val="center"/>
        <w:textAlignment w:val="auto"/>
        <w:rPr>
          <w:rFonts w:hint="eastAsia" w:ascii="方正小标宋简体" w:hAnsi="方正小标宋简体" w:eastAsia="方正小标宋简体" w:cs="方正小标宋简体"/>
          <w:b w:val="0"/>
          <w:bCs/>
          <w:sz w:val="44"/>
          <w:szCs w:val="44"/>
        </w:rPr>
      </w:pPr>
    </w:p>
    <w:p>
      <w:pPr>
        <w:ind w:firstLine="640"/>
        <w:jc w:val="left"/>
        <w:rPr>
          <w:rFonts w:hint="eastAsia" w:ascii="黑体" w:hAnsi="黑体" w:eastAsia="黑体" w:cstheme="minorBidi"/>
          <w:b w:val="0"/>
          <w:bCs w:val="0"/>
          <w:sz w:val="32"/>
          <w:lang w:val="en-US" w:eastAsia="en-US" w:bidi="ar-SA"/>
          <w14:ligatures w14:val="none"/>
        </w:rPr>
      </w:pPr>
      <w:bookmarkStart w:id="4" w:name="heading_0"/>
      <w:r>
        <w:rPr>
          <w:rFonts w:hint="eastAsia" w:ascii="黑体" w:hAnsi="黑体" w:eastAsia="黑体" w:cstheme="minorBidi"/>
          <w:b w:val="0"/>
          <w:bCs w:val="0"/>
          <w:sz w:val="32"/>
          <w:lang w:val="en-US" w:eastAsia="en-US" w:bidi="ar-SA"/>
          <w14:ligatures w14:val="none"/>
        </w:rPr>
        <w:t>一、场景现状描述</w:t>
      </w:r>
      <w:bookmarkEnd w:id="4"/>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outlineLvl w:val="9"/>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表面贴装技术（SMT）是消费电子、新能源汽车、通信设备等产业中最核心的电子制造环节之一。随着全球消费电子产品更新迭代加快、产品小型化和高密度化趋势加剧，SMT产线正从“自动化生产”阶段向“智能化制造”阶段快速演进。</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outlineLvl w:val="9"/>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从行业整体看，当前SMT工厂已大规模部署贴片机、印刷机、回流焊、AOI、SPI等自动化设备，单线产值和节拍能力持续提升。但与此同时，行业也呈现出显著特征：一是设备品牌高度异构，不同厂商设备在通信协议、数据结构、控制逻辑上差异巨大；二是产线复杂度快速上升，工艺参数数量呈指数级增长，对精细化管理和实时优化提出更高要求；三是生产模式从大批量标准化向多品种、小批量、快速换线转变，传统依赖人工经验的管理方式已难以支撑。</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outlineLvl w:val="9"/>
        <w:rPr>
          <w:rFonts w:hint="eastAsia" w:ascii="仿宋" w:hAnsi="仿宋" w:eastAsia="仿宋" w:cs="仿宋"/>
          <w:b w:val="0"/>
          <w:bCs/>
          <w:sz w:val="32"/>
          <w:szCs w:val="32"/>
        </w:rPr>
      </w:pPr>
      <w:r>
        <w:rPr>
          <w:rFonts w:hint="eastAsia" w:ascii="仿宋_GB2312" w:hAnsi="仿宋_GB2312" w:eastAsia="仿宋_GB2312" w:cs="仿宋_GB2312"/>
          <w:b w:val="0"/>
          <w:bCs/>
          <w:sz w:val="32"/>
          <w:szCs w:val="32"/>
        </w:rPr>
        <w:t>在实践中，大量SMT工厂虽已建设MES、QMS等系统，但系统之间割裂严重，设备数据、工艺数据、质量数据难以形成统一视图，生产运行仍以“事后分析、人工决策”为主，无法实现对质量风险、设备异常和效率瓶颈的提前预测与全局优化。这一现状在消费电子产业链中尤为突出，已成为制约制造效率提升和成本下降的关键瓶颈。</w:t>
      </w:r>
    </w:p>
    <w:p>
      <w:pPr>
        <w:ind w:firstLine="640"/>
        <w:jc w:val="left"/>
        <w:rPr>
          <w:rFonts w:hint="eastAsia" w:ascii="黑体" w:hAnsi="黑体" w:eastAsia="黑体" w:cstheme="minorBidi"/>
          <w:b w:val="0"/>
          <w:bCs w:val="0"/>
          <w:sz w:val="32"/>
          <w:lang w:val="en-US" w:eastAsia="en-US" w:bidi="ar-SA"/>
          <w14:ligatures w14:val="none"/>
        </w:rPr>
      </w:pPr>
      <w:bookmarkStart w:id="5" w:name="heading_1"/>
      <w:r>
        <w:rPr>
          <w:rFonts w:hint="eastAsia" w:ascii="黑体" w:hAnsi="黑体" w:eastAsia="黑体" w:cstheme="minorBidi"/>
          <w:b w:val="0"/>
          <w:bCs w:val="0"/>
          <w:sz w:val="32"/>
          <w:lang w:val="en-US" w:eastAsia="en-US" w:bidi="ar-SA"/>
          <w14:ligatures w14:val="none"/>
        </w:rPr>
        <w:t>二、传统技术困境</w:t>
      </w:r>
      <w:bookmarkEnd w:id="5"/>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outlineLvl w:val="9"/>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rPr>
        <w:t>多品牌设备异构，数据难以统一建模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outlineLvl w:val="9"/>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典型SMT产线往往由多个国际及国内品牌设备混合构成，不同设备采用私有协议或非标准接口，数据采集依赖定制开发，维护成本高、扩展性差，难以支撑跨产线、跨工厂的统一建模与复制推广。</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outlineLvl w:val="9"/>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rPr>
        <w:t>数据孤岛严重，缺乏全链路关联能力</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outlineLvl w:val="9"/>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设备运行数据、工艺参数、质量检测结果、物料信息分别沉淀在不同系统或本地设备中，缺乏统一的数据治理和语义关联机制，难以开展跨设备、跨工序的质量追溯与多变量关联分析。</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outlineLvl w:val="9"/>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3.</w:t>
      </w:r>
      <w:r>
        <w:rPr>
          <w:rFonts w:hint="eastAsia" w:ascii="仿宋_GB2312" w:hAnsi="仿宋_GB2312" w:eastAsia="仿宋_GB2312" w:cs="仿宋_GB2312"/>
          <w:b w:val="0"/>
          <w:bCs/>
          <w:sz w:val="32"/>
          <w:szCs w:val="32"/>
        </w:rPr>
        <w:t>依赖人工经验决策，优化响应滞后</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outlineLvl w:val="9"/>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当前SMT工厂在工艺调优、异常处理方面仍以工程师经验为主，问题往往在不良已产生或效率已下降后才被发现，难以实现事前预警和主动干预，质量和效率波动风险高。</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outlineLvl w:val="9"/>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4.</w:t>
      </w:r>
      <w:r>
        <w:rPr>
          <w:rFonts w:hint="eastAsia" w:ascii="仿宋_GB2312" w:hAnsi="仿宋_GB2312" w:eastAsia="仿宋_GB2312" w:cs="仿宋_GB2312"/>
          <w:b w:val="0"/>
          <w:bCs/>
          <w:sz w:val="32"/>
          <w:szCs w:val="32"/>
        </w:rPr>
        <w:t>缺乏产线级预测与仿真能力</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outlineLvl w:val="9"/>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传统系统侧重生产数据展示和事后分析，无法在虚拟环境中对产线运行进行仿真推演，难以对排产策略、参数组合和设备协同效果进行预测评估，制约精细化运营和智能决策能力提升。</w:t>
      </w:r>
    </w:p>
    <w:p>
      <w:pPr>
        <w:ind w:firstLine="640"/>
        <w:jc w:val="left"/>
        <w:rPr>
          <w:rFonts w:hint="eastAsia" w:ascii="黑体" w:hAnsi="黑体" w:eastAsia="黑体" w:cstheme="minorBidi"/>
          <w:b w:val="0"/>
          <w:bCs w:val="0"/>
          <w:sz w:val="32"/>
          <w:lang w:val="en-US" w:eastAsia="en-US" w:bidi="ar-SA"/>
          <w14:ligatures w14:val="none"/>
        </w:rPr>
      </w:pPr>
      <w:bookmarkStart w:id="6" w:name="heading_2"/>
      <w:r>
        <w:rPr>
          <w:rFonts w:hint="eastAsia" w:ascii="黑体" w:hAnsi="黑体" w:eastAsia="黑体" w:cstheme="minorBidi"/>
          <w:b w:val="0"/>
          <w:bCs w:val="0"/>
          <w:sz w:val="32"/>
          <w:lang w:val="en-US" w:eastAsia="en-US" w:bidi="ar-SA"/>
          <w14:ligatures w14:val="none"/>
        </w:rPr>
        <w:t>三、场景示范需求</w:t>
      </w:r>
      <w:bookmarkEnd w:id="6"/>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rPr>
        <w:t>柔性排程与资源动态调配中枢</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outlineLvl w:val="9"/>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面对紧急插单、小批量多品种、物料齐套性波动等复杂场景，系统通过优化算法动态重构生产序列：合并同产品小订单减少换线、跨线体负载均衡分配、提前/推迟换线准备指令减少空闲、替代料工艺参数自动切换。实现从刚性计划向敏捷响应的转型，最小化总换线时间与订单影响。相比传统排产方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总换线次数减少15%</w:t>
      </w:r>
      <w:r>
        <w:rPr>
          <w:rFonts w:hint="eastAsia" w:ascii="仿宋_GB2312" w:hAnsi="仿宋_GB2312" w:eastAsia="仿宋_GB2312" w:cs="仿宋_GB2312"/>
          <w:b w:val="0"/>
          <w:bCs/>
          <w:sz w:val="32"/>
          <w:szCs w:val="32"/>
          <w:lang w:eastAsia="zh-CN"/>
        </w:rPr>
        <w:t>以上</w:t>
      </w:r>
      <w:r>
        <w:rPr>
          <w:rFonts w:hint="eastAsia" w:ascii="仿宋_GB2312" w:hAnsi="仿宋_GB2312" w:eastAsia="仿宋_GB2312" w:cs="仿宋_GB2312"/>
          <w:b w:val="0"/>
          <w:bCs/>
          <w:sz w:val="32"/>
          <w:szCs w:val="32"/>
        </w:rPr>
        <w:t>，加权拖期天数降低10%</w:t>
      </w:r>
      <w:r>
        <w:rPr>
          <w:rFonts w:hint="eastAsia" w:ascii="仿宋_GB2312" w:hAnsi="仿宋_GB2312" w:eastAsia="仿宋_GB2312" w:cs="仿宋_GB2312"/>
          <w:b w:val="0"/>
          <w:bCs/>
          <w:sz w:val="32"/>
          <w:szCs w:val="32"/>
          <w:lang w:eastAsia="zh-CN"/>
        </w:rPr>
        <w:t>以上</w:t>
      </w:r>
      <w:r>
        <w:rPr>
          <w:rFonts w:hint="eastAsia" w:ascii="仿宋_GB2312" w:hAnsi="仿宋_GB2312" w:eastAsia="仿宋_GB2312" w:cs="仿宋_GB2312"/>
          <w:b w:val="0"/>
          <w:bCs/>
          <w:sz w:val="32"/>
          <w:szCs w:val="32"/>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2.</w:t>
      </w:r>
      <w:r>
        <w:rPr>
          <w:rFonts w:hint="eastAsia" w:ascii="仿宋_GB2312" w:hAnsi="仿宋_GB2312" w:eastAsia="仿宋_GB2312" w:cs="仿宋_GB2312"/>
          <w:b w:val="0"/>
          <w:bCs/>
          <w:sz w:val="32"/>
          <w:szCs w:val="32"/>
        </w:rPr>
        <w:t>闭环反馈的工艺自调优</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outlineLvl w:val="9"/>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基于实时过程数据，系统自动触发工艺参数微调——刮刀压力/速度补偿、吸嘴清洁提示、回流炉温区功率自适应调节、AOI检测阈值动态学习优化。形成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感知-分析-决策-执行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的闭环控制，将传统事后返修转变为事前预防与事中纠偏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误报率相对降低20%（若基线误报率10%</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则</w:t>
      </w:r>
      <w:r>
        <w:rPr>
          <w:rFonts w:hint="eastAsia" w:ascii="仿宋_GB2312" w:hAnsi="仿宋_GB2312" w:eastAsia="仿宋_GB2312" w:cs="仿宋_GB2312"/>
          <w:b w:val="0"/>
          <w:bCs/>
          <w:sz w:val="32"/>
          <w:szCs w:val="32"/>
          <w:lang w:eastAsia="zh-CN"/>
        </w:rPr>
        <w:t>整体</w:t>
      </w:r>
      <w:r>
        <w:rPr>
          <w:rFonts w:hint="eastAsia" w:ascii="仿宋_GB2312" w:hAnsi="仿宋_GB2312" w:eastAsia="仿宋_GB2312" w:cs="仿宋_GB2312"/>
          <w:b w:val="0"/>
          <w:bCs/>
          <w:sz w:val="32"/>
          <w:szCs w:val="32"/>
        </w:rPr>
        <w:t>降低2</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w:t>
      </w:r>
      <w:r>
        <w:rPr>
          <w:rFonts w:hint="eastAsia" w:ascii="仿宋_GB2312" w:hAnsi="仿宋_GB2312" w:eastAsia="仿宋_GB2312" w:cs="仿宋_GB2312"/>
          <w:b w:val="0"/>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outlineLvl w:val="9"/>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3.</w:t>
      </w:r>
      <w:r>
        <w:rPr>
          <w:rFonts w:hint="eastAsia" w:ascii="仿宋_GB2312" w:hAnsi="仿宋_GB2312" w:eastAsia="仿宋_GB2312" w:cs="仿宋_GB2312"/>
          <w:b w:val="0"/>
          <w:bCs/>
          <w:sz w:val="32"/>
          <w:szCs w:val="32"/>
        </w:rPr>
        <w:t>设备健康预测与自主恢复生态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outlineLvl w:val="9"/>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基于振动、温度、真空值等多源传感器数据，构建设备故障预测模型，将突发故障转化为计划内维护。基于状态监测动态生成维护工单，在低峰期执行预防性保养，最大化设备可用率与生命周期价值。对于周期保养或报错频率超阈值，系统自动触发送修工单，包含部件ID、保养项目、推荐时间窗口。工单格式符合甲方维护系统要求。</w:t>
      </w:r>
    </w:p>
    <w:p>
      <w:pPr>
        <w:pStyle w:val="9"/>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center"/>
        <w:textAlignment w:val="auto"/>
        <w:outlineLvl w:val="0"/>
        <w:rPr>
          <w:rFonts w:hint="eastAsia" w:ascii="方正小标宋简体" w:hAnsi="方正小标宋简体" w:eastAsia="方正小标宋简体" w:cs="方正小标宋简体"/>
          <w:bCs/>
          <w:kern w:val="44"/>
          <w:sz w:val="44"/>
          <w:szCs w:val="44"/>
          <w:lang w:val="en-US" w:eastAsia="zh-CN" w:bidi="ar"/>
        </w:rPr>
      </w:pPr>
      <w:r>
        <w:rPr>
          <w:rFonts w:hint="eastAsia" w:ascii="仿宋_GB2312" w:hAnsi="仿宋_GB2312" w:eastAsia="仿宋_GB2312" w:cs="仿宋_GB2312"/>
          <w:b w:val="0"/>
          <w:bCs/>
          <w:sz w:val="32"/>
          <w:szCs w:val="32"/>
        </w:rPr>
        <w:br w:type="page"/>
      </w:r>
      <w:bookmarkStart w:id="7" w:name="_Toc1935126949"/>
      <w:r>
        <w:rPr>
          <w:rFonts w:hint="eastAsia" w:ascii="方正小标宋简体" w:hAnsi="方正小标宋简体" w:eastAsia="方正小标宋简体" w:cs="方正小标宋简体"/>
          <w:bCs/>
          <w:kern w:val="44"/>
          <w:sz w:val="44"/>
          <w:szCs w:val="44"/>
          <w:lang w:val="en-US" w:eastAsia="zh-CN" w:bidi="ar"/>
        </w:rPr>
        <w:t>4扫地机器人高精度双目深度视觉感知</w:t>
      </w:r>
      <w:bookmarkEnd w:id="7"/>
      <w:r>
        <w:rPr>
          <w:rFonts w:hint="eastAsia" w:ascii="方正小标宋简体" w:hAnsi="方正小标宋简体" w:eastAsia="方正小标宋简体" w:cs="方正小标宋简体"/>
          <w:bCs/>
          <w:kern w:val="44"/>
          <w:sz w:val="44"/>
          <w:szCs w:val="44"/>
          <w:lang w:val="en-US" w:eastAsia="zh-CN" w:bidi="ar"/>
        </w:rPr>
        <w:t>场景</w:t>
      </w:r>
    </w:p>
    <w:p>
      <w:pPr>
        <w:pStyle w:val="9"/>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60" w:lineRule="exact"/>
        <w:jc w:val="center"/>
        <w:textAlignment w:val="auto"/>
        <w:outlineLvl w:val="0"/>
        <w:rPr>
          <w:rFonts w:hint="eastAsia" w:ascii="方正小标宋_GBK" w:hAnsi="方正小标宋_GBK" w:eastAsia="方正小标宋_GBK" w:cs="方正小标宋_GBK"/>
          <w:kern w:val="2"/>
          <w:sz w:val="48"/>
          <w:szCs w:val="48"/>
          <w:lang w:val="en-US" w:eastAsia="zh-CN" w:bidi="ar-SA"/>
        </w:rPr>
      </w:pP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一、现状场景描述</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当前高端智能家庭服务机器人正加速从单一功能清扫工具，向具备"全场景强感知、自主决策、高动态避障"的智能移动终端演进。双目深度视觉作为新一代高端清扫设备的核心感知手段，可实现立体避障与三维空间重建，让机器人像人一样"看懂"家庭环境——实时识别地面低矮障碍物、悬空复杂物体及多变地形，显著提升清扫覆盖率与安全性。</w:t>
      </w: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二、传统技术困境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传统方案在实际落地中存在诸多瓶颈：</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val="0"/>
          <w:kern w:val="2"/>
          <w:sz w:val="32"/>
          <w:szCs w:val="32"/>
          <w:lang w:val="en-US" w:eastAsia="zh-CN" w:bidi="ar-SA"/>
        </w:rPr>
        <w:t>感知精度不足：现有双目深度算法对家庭常见障碍物（如数据线、透明容器、暗色家具腿）的识别准确率偏低，漏检率高，导致机器人碰撞或卡困。</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2.</w:t>
      </w:r>
      <w:r>
        <w:rPr>
          <w:rFonts w:hint="eastAsia" w:ascii="仿宋_GB2312" w:hAnsi="仿宋_GB2312" w:eastAsia="仿宋_GB2312" w:cs="仿宋_GB2312"/>
          <w:b w:val="0"/>
          <w:bCs w:val="0"/>
          <w:kern w:val="2"/>
          <w:sz w:val="32"/>
          <w:szCs w:val="32"/>
          <w:lang w:val="en-US" w:eastAsia="zh-CN" w:bidi="ar-SA"/>
        </w:rPr>
        <w:t>实时性差：视频流处理延迟高，机器人在快速移动中无法及时响应突发障碍，避障体验差。</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3.</w:t>
      </w:r>
      <w:r>
        <w:rPr>
          <w:rFonts w:hint="eastAsia" w:ascii="仿宋_GB2312" w:hAnsi="仿宋_GB2312" w:eastAsia="仿宋_GB2312" w:cs="仿宋_GB2312"/>
          <w:b w:val="0"/>
          <w:bCs w:val="0"/>
          <w:kern w:val="2"/>
          <w:sz w:val="32"/>
          <w:szCs w:val="32"/>
          <w:lang w:val="en-US" w:eastAsia="zh-CN" w:bidi="ar-SA"/>
        </w:rPr>
        <w:t>场景适应弱：对光照变化、地板反光、地毯高度起伏等家庭复杂地面环境缺乏鲁棒的感知能力。</w:t>
      </w: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三、场景示范需求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1.</w:t>
      </w:r>
      <w:r>
        <w:rPr>
          <w:rFonts w:hint="eastAsia" w:ascii="仿宋_GB2312" w:hAnsi="仿宋_GB2312" w:eastAsia="仿宋_GB2312" w:cs="仿宋_GB2312"/>
          <w:b w:val="0"/>
          <w:bCs w:val="0"/>
          <w:kern w:val="2"/>
          <w:sz w:val="32"/>
          <w:szCs w:val="32"/>
          <w:lang w:val="en-US" w:eastAsia="zh-CN" w:bidi="ar-SA"/>
        </w:rPr>
        <w:t>高可靠避障：实现对家庭低矮障碍物、透明物体、暗色表面等复杂目标的精准识别与实时避障。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2.</w:t>
      </w:r>
      <w:r>
        <w:rPr>
          <w:rFonts w:hint="eastAsia" w:ascii="仿宋_GB2312" w:hAnsi="仿宋_GB2312" w:eastAsia="仿宋_GB2312" w:cs="仿宋_GB2312"/>
          <w:b w:val="0"/>
          <w:bCs w:val="0"/>
          <w:kern w:val="2"/>
          <w:sz w:val="32"/>
          <w:szCs w:val="32"/>
          <w:lang w:val="en-US" w:eastAsia="zh-CN" w:bidi="ar-SA"/>
        </w:rPr>
        <w:t>动态地形感知：对地毯边缘、门槛高度变化、地面凹坑等地形进行实时三维建模，支持机器人的自主越障与脱困决策。</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3.</w:t>
      </w:r>
      <w:r>
        <w:rPr>
          <w:rFonts w:hint="eastAsia" w:ascii="仿宋_GB2312" w:hAnsi="仿宋_GB2312" w:eastAsia="仿宋_GB2312" w:cs="仿宋_GB2312"/>
          <w:b w:val="0"/>
          <w:bCs w:val="0"/>
          <w:kern w:val="2"/>
          <w:sz w:val="32"/>
          <w:szCs w:val="32"/>
          <w:lang w:val="en-US" w:eastAsia="zh-CN" w:bidi="ar-SA"/>
        </w:rPr>
        <w:t>低光环境适应：在逆光、暗光、局部光照等典型家庭场景下保持稳定感知性能。</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firstLineChars="200"/>
        <w:jc w:val="left"/>
        <w:textAlignment w:val="auto"/>
        <w:outlineLvl w:val="9"/>
        <w:rPr>
          <w:rFonts w:hint="eastAsia" w:ascii="仿宋_GB2312" w:hAnsi="仿宋_GB2312" w:eastAsia="仿宋_GB2312" w:cs="仿宋_GB2312"/>
          <w:b w:val="0"/>
          <w:bCs/>
          <w:sz w:val="32"/>
          <w:szCs w:val="32"/>
        </w:rPr>
      </w:pPr>
      <w:r>
        <w:rPr>
          <w:rFonts w:hint="default" w:ascii="仿宋_GB2312" w:hAnsi="仿宋_GB2312" w:eastAsia="仿宋_GB2312" w:cs="仿宋_GB2312"/>
          <w:b w:val="0"/>
          <w:bCs w:val="0"/>
          <w:kern w:val="2"/>
          <w:sz w:val="32"/>
          <w:szCs w:val="32"/>
          <w:lang w:val="en-US" w:eastAsia="zh-CN" w:bidi="ar-SA"/>
        </w:rPr>
        <w:t>4.</w:t>
      </w:r>
      <w:r>
        <w:rPr>
          <w:rFonts w:hint="eastAsia" w:ascii="仿宋_GB2312" w:hAnsi="仿宋_GB2312" w:eastAsia="仿宋_GB2312" w:cs="仿宋_GB2312"/>
          <w:b w:val="0"/>
          <w:bCs w:val="0"/>
          <w:kern w:val="2"/>
          <w:sz w:val="32"/>
          <w:szCs w:val="32"/>
          <w:lang w:val="en-US" w:eastAsia="zh-CN" w:bidi="ar-SA"/>
        </w:rPr>
        <w:t>三维空间重建：基于双目视觉实时构建室内三维地图，支持智能分区、禁入区域设置等高级功能。</w:t>
      </w:r>
    </w:p>
    <w:p>
      <w:pPr>
        <w:pStyle w:val="2"/>
        <w:keepNext w:val="0"/>
        <w:keepLines w:val="0"/>
        <w:pageBreakBefore w:val="0"/>
        <w:kinsoku/>
        <w:overflowPunct/>
        <w:topLinePunct w:val="0"/>
        <w:autoSpaceDE/>
        <w:autoSpaceDN/>
        <w:bidi w:val="0"/>
        <w:adjustRightInd/>
        <w:spacing w:beforeAutospacing="0" w:afterAutospacing="0" w:line="560" w:lineRule="exact"/>
        <w:textAlignment w:val="auto"/>
        <w:rPr>
          <w:rFonts w:hint="eastAsia" w:ascii="方正小标宋简体" w:hAnsi="方正小标宋简体" w:eastAsia="方正小标宋简体" w:cs="方正小标宋简体"/>
          <w:lang w:eastAsia="zh-CN"/>
        </w:rPr>
      </w:pPr>
      <w:r>
        <w:rPr>
          <w:rFonts w:hint="eastAsia" w:ascii="仿宋_GB2312" w:hAnsi="仿宋_GB2312" w:eastAsia="仿宋_GB2312" w:cs="仿宋_GB2312"/>
          <w:b w:val="0"/>
          <w:bCs/>
          <w:szCs w:val="32"/>
        </w:rPr>
        <w:br w:type="page"/>
      </w:r>
      <w:bookmarkStart w:id="8" w:name="_Toc608916476"/>
      <w:r>
        <w:rPr>
          <w:rFonts w:hint="eastAsia" w:ascii="方正小标宋简体" w:hAnsi="方正小标宋简体" w:cs="方正小标宋简体"/>
          <w:lang w:val="en-US" w:eastAsia="zh-CN"/>
        </w:rPr>
        <w:t>5</w:t>
      </w:r>
      <w:r>
        <w:rPr>
          <w:rFonts w:hint="eastAsia" w:ascii="方正小标宋简体" w:hAnsi="方正小标宋简体" w:eastAsia="方正小标宋简体" w:cs="方正小标宋简体"/>
          <w:lang w:eastAsia="zh-CN"/>
        </w:rPr>
        <w:t>面向机床CNC主轴热伸长问题的</w:t>
      </w:r>
      <w:r>
        <w:rPr>
          <w:rFonts w:hint="eastAsia" w:ascii="方正小标宋简体" w:hAnsi="方正小标宋简体" w:eastAsia="方正小标宋简体" w:cs="方正小标宋简体"/>
          <w:lang w:eastAsia="zh-CN"/>
        </w:rPr>
        <w:br w:type="textWrapping"/>
      </w:r>
      <w:r>
        <w:rPr>
          <w:rFonts w:hint="eastAsia" w:ascii="方正小标宋简体" w:hAnsi="方正小标宋简体" w:eastAsia="方正小标宋简体" w:cs="方正小标宋简体"/>
          <w:lang w:eastAsia="zh-CN"/>
        </w:rPr>
        <w:t>AI实时补偿场景</w:t>
      </w:r>
      <w:bookmarkEnd w:id="8"/>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方正小标宋简体" w:hAnsi="方正小标宋简体" w:eastAsia="方正小标宋简体" w:cs="方正小标宋简体"/>
          <w:sz w:val="44"/>
          <w:szCs w:val="44"/>
          <w:lang w:eastAsia="zh-CN"/>
        </w:rPr>
      </w:pP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一、场景现状描述</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行业背景与业务场景</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CNC（计算机数控）机床是现代制造业中承担高精度、高效率加工任务的核心装备，广泛应用于航空航天、汽车零部件、模具制造、精密仪器等行业。随着零部件结构复杂度和加工精度要求持续提升，机床在长时间、高转速、高负载运行条件下的热稳定性，已成为影响加工质量一致性的关键因素。</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在实际加工过程中，CNC主轴高速旋转会产生轴承摩擦热、电机发热和切削热，热量经主轴、刀柄、刀具及机床结构传导扩散，使主轴轴向产生热伸长。该伸长量通常为微米至几十微米量级，但在精密加工和超精密加工中会直接引起Z向刀位偏移，导致孔深、台阶高度、平面度和重复定位精度出现偏差。</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场景拟建设一套面向机床CNC主轴热伸长问题的AI实时补偿系统：通过采集主轴温度、环境温度、转速、功率、运行时间以及加工材料、刀具、冷却方式等多维工况参数，利用AI小模型实时预测主轴轴向热伸长量，并将预测值转换为Z向补偿量，降低热变形对加工精度的影响。</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主轴热伸长机理与典型特征</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渐进性：主轴由冷态进入热态需要经历温升过程，热伸长量随运行时间逐步累积，并在接近热平衡后趋于稳定。</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滞后性：温度传感器读数与实际轴向位移之间存在热传导与结构响应延迟，单纯按当前温度补偿容易出现过补偿或欠补偿。</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多因素耦合：伸长量受转速、负载、冷却条件、环境温度、加工材料、刀具类型及刀具直径等因素共同影响。</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微量但高敏感：热伸长虽然处于微米级，但对公差要求在 10</w:t>
      </w:r>
      <w:r>
        <w:rPr>
          <w:rFonts w:hint="eastAsia" w:ascii="仿宋_GB2312" w:hAnsi="仿宋_GB2312" w:eastAsia="仿宋_GB2312" w:cs="仿宋_GB2312"/>
          <w:sz w:val="32"/>
          <w:szCs w:val="32"/>
        </w:rPr>
        <w:t>μ</w:t>
      </w:r>
      <w:r>
        <w:rPr>
          <w:rFonts w:hint="eastAsia" w:ascii="仿宋_GB2312" w:hAnsi="仿宋_GB2312" w:eastAsia="仿宋_GB2312" w:cs="仿宋_GB2312"/>
          <w:sz w:val="32"/>
          <w:szCs w:val="32"/>
          <w:lang w:eastAsia="zh-CN"/>
        </w:rPr>
        <w:t>m 以内的精密加工而言，会显著影响尺寸一致性和良品率。</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热伸长对加工质量的影响</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0" w:firstLineChars="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表1 主轴热伸长对加工质量的典型影响</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15"/>
        <w:gridCol w:w="6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731"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影响类型</w:t>
            </w:r>
          </w:p>
        </w:tc>
        <w:tc>
          <w:tcPr>
            <w:tcW w:w="6520"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具体表现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1"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孔深</w:t>
            </w:r>
            <w:r>
              <w:rPr>
                <w:rFonts w:hint="eastAsia" w:ascii="仿宋_GB2312" w:hAnsi="仿宋_GB2312" w:eastAsia="仿宋_GB2312" w:cs="仿宋_GB2312"/>
                <w:sz w:val="32"/>
                <w:szCs w:val="32"/>
                <w:lang w:eastAsia="zh-CN"/>
              </w:rPr>
              <w:t>偏</w:t>
            </w:r>
            <w:r>
              <w:rPr>
                <w:rFonts w:hint="eastAsia" w:ascii="仿宋_GB2312" w:hAnsi="仿宋_GB2312" w:eastAsia="仿宋_GB2312" w:cs="仿宋_GB2312"/>
                <w:sz w:val="32"/>
                <w:szCs w:val="32"/>
              </w:rPr>
              <w:t>差</w:t>
            </w:r>
          </w:p>
        </w:tc>
        <w:tc>
          <w:tcPr>
            <w:tcW w:w="652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钻孔、攻丝和深孔加工中，主轴Z向伸长会使刀具实际切入深度偏离程序设定值。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1"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台阶面高度偏差</w:t>
            </w:r>
          </w:p>
        </w:tc>
        <w:tc>
          <w:tcPr>
            <w:tcW w:w="652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多工序或多刀具加工时，冷热态刀位差异导致不同加工面之间的高度关系失真。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31"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平面度下降</w:t>
            </w:r>
          </w:p>
        </w:tc>
        <w:tc>
          <w:tcPr>
            <w:tcW w:w="652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铣削平面时，热伸长随时间变化，可能造成前后加工区域出现微小阶差。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1"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重复定位精度下降</w:t>
            </w:r>
          </w:p>
        </w:tc>
        <w:tc>
          <w:tcPr>
            <w:tcW w:w="652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同一路径在冷机、热机、停机再启动等状态下加工结果不一致，影响批量稳定性。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1"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返工与废品增加</w:t>
            </w:r>
          </w:p>
        </w:tc>
        <w:tc>
          <w:tcPr>
            <w:tcW w:w="652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尺寸误差超过工艺公差后，需要返修、重新校正或报废，增加设备占用和制造成本。</w:t>
            </w:r>
          </w:p>
        </w:tc>
      </w:tr>
    </w:tbl>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影响因素与现场数据基础</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现场已具备PLC、CNC软件及人工工艺录入等数据来源，可形成用于AI模型训练与在线推理的基础特征集合。输入特征主要覆盖热状态、运行状态、加工工艺和采样条件，输出目标为主轴轴芯热伸长量</w:t>
      </w:r>
      <w:r>
        <w:rPr>
          <w:rFonts w:hint="eastAsia" w:ascii="仿宋_GB2312" w:hAnsi="仿宋_GB2312" w:eastAsia="仿宋_GB2312" w:cs="仿宋_GB2312"/>
          <w:sz w:val="32"/>
          <w:szCs w:val="32"/>
        </w:rPr>
        <w:t>Δ</w:t>
      </w:r>
      <w:r>
        <w:rPr>
          <w:rFonts w:hint="eastAsia" w:ascii="仿宋_GB2312" w:hAnsi="仿宋_GB2312" w:eastAsia="仿宋_GB2312" w:cs="仿宋_GB2312"/>
          <w:sz w:val="32"/>
          <w:szCs w:val="32"/>
          <w:lang w:eastAsia="zh-CN"/>
        </w:rPr>
        <w:t>L。</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0" w:firstLineChars="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表2 主轴热伸长主要影响因素</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7"/>
        <w:gridCol w:w="2264"/>
        <w:gridCol w:w="4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81"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因素类别</w:t>
            </w:r>
          </w:p>
        </w:tc>
        <w:tc>
          <w:tcPr>
            <w:tcW w:w="2268"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具体因素</w:t>
            </w:r>
          </w:p>
        </w:tc>
        <w:tc>
          <w:tcPr>
            <w:tcW w:w="4706"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影响方式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1"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运行参数</w:t>
            </w:r>
          </w:p>
        </w:tc>
        <w:tc>
          <w:tcPr>
            <w:tcW w:w="226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主轴转速 S</w:t>
            </w:r>
          </w:p>
        </w:tc>
        <w:tc>
          <w:tcPr>
            <w:tcW w:w="47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转速越高，轴承摩擦和电机发热越明显，温升速度通常越快。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1"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运行参数</w:t>
            </w:r>
          </w:p>
        </w:tc>
        <w:tc>
          <w:tcPr>
            <w:tcW w:w="226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主轴电机运行功率 KW</w:t>
            </w:r>
          </w:p>
        </w:tc>
        <w:tc>
          <w:tcPr>
            <w:tcW w:w="47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加工负载越大，切削热和主轴负载发热越高。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1"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运行参数</w:t>
            </w:r>
          </w:p>
        </w:tc>
        <w:tc>
          <w:tcPr>
            <w:tcW w:w="226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连续运行时间 t</w:t>
            </w:r>
          </w:p>
        </w:tc>
        <w:tc>
          <w:tcPr>
            <w:tcW w:w="47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运行时间反映热积累程度，是判断冷态、升温态和热稳定态的重要变量。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1"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冷却条件</w:t>
            </w:r>
          </w:p>
        </w:tc>
        <w:tc>
          <w:tcPr>
            <w:tcW w:w="226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刀具冷却方式</w:t>
            </w:r>
          </w:p>
        </w:tc>
        <w:tc>
          <w:tcPr>
            <w:tcW w:w="47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切削液、吹气及关闭冷却等方式会改变散热效率和热平衡过程。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1"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环境因素</w:t>
            </w:r>
          </w:p>
        </w:tc>
        <w:tc>
          <w:tcPr>
            <w:tcW w:w="226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环境温度 T1</w:t>
            </w:r>
          </w:p>
        </w:tc>
        <w:tc>
          <w:tcPr>
            <w:tcW w:w="47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车间温度影响主轴初始热状态和整体散热边界条件。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1"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加工工艺</w:t>
            </w:r>
          </w:p>
        </w:tc>
        <w:tc>
          <w:tcPr>
            <w:tcW w:w="226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加工材料</w:t>
            </w:r>
          </w:p>
        </w:tc>
        <w:tc>
          <w:tcPr>
            <w:tcW w:w="47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材料硬度、导热性和切削特性影响产热强度。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1"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加工工艺</w:t>
            </w:r>
          </w:p>
        </w:tc>
        <w:tc>
          <w:tcPr>
            <w:tcW w:w="226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刀具类型、材料与直径</w:t>
            </w:r>
          </w:p>
        </w:tc>
        <w:tc>
          <w:tcPr>
            <w:tcW w:w="47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刀具几何形状、材料和直径影响切削力、切削温度及主轴负载。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1"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加工工艺</w:t>
            </w:r>
          </w:p>
        </w:tc>
        <w:tc>
          <w:tcPr>
            <w:tcW w:w="226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加工类型</w:t>
            </w:r>
          </w:p>
        </w:tc>
        <w:tc>
          <w:tcPr>
            <w:tcW w:w="47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钻孔、攻丝、粗加工、半精加工、精加工的热负荷差异明显。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81"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采集条件</w:t>
            </w:r>
          </w:p>
        </w:tc>
        <w:tc>
          <w:tcPr>
            <w:tcW w:w="226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采集频率/间隔时间</w:t>
            </w:r>
          </w:p>
        </w:tc>
        <w:tc>
          <w:tcPr>
            <w:tcW w:w="47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影响模型对温升梯度、动态滞后和瞬态变化的捕捉能力。</w:t>
            </w:r>
          </w:p>
        </w:tc>
      </w:tr>
    </w:tbl>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0" w:firstLineChars="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表3 现场已具备或计划采集的运行数据</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9"/>
        <w:gridCol w:w="3115"/>
        <w:gridCol w:w="1456"/>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数据来源</w:t>
            </w:r>
          </w:p>
        </w:tc>
        <w:tc>
          <w:tcPr>
            <w:tcW w:w="3118"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采集参数</w:t>
            </w:r>
          </w:p>
        </w:tc>
        <w:tc>
          <w:tcPr>
            <w:tcW w:w="1456"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w:t>
            </w:r>
          </w:p>
        </w:tc>
        <w:tc>
          <w:tcPr>
            <w:tcW w:w="2268"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PLC</w:t>
            </w:r>
          </w:p>
        </w:tc>
        <w:tc>
          <w:tcPr>
            <w:tcW w:w="311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环境温度T1</w:t>
            </w:r>
          </w:p>
        </w:tc>
        <w:tc>
          <w:tcPr>
            <w:tcW w:w="145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226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模型输入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PLC</w:t>
            </w:r>
          </w:p>
        </w:tc>
        <w:tc>
          <w:tcPr>
            <w:tcW w:w="311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主轴温度T2</w:t>
            </w:r>
          </w:p>
        </w:tc>
        <w:tc>
          <w:tcPr>
            <w:tcW w:w="145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p>
        </w:tc>
        <w:tc>
          <w:tcPr>
            <w:tcW w:w="226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模型输入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PLC</w:t>
            </w:r>
          </w:p>
        </w:tc>
        <w:tc>
          <w:tcPr>
            <w:tcW w:w="311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主轴轴芯伸长量ΔL</w:t>
            </w:r>
          </w:p>
        </w:tc>
        <w:tc>
          <w:tcPr>
            <w:tcW w:w="145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mm</w:t>
            </w:r>
          </w:p>
        </w:tc>
        <w:tc>
          <w:tcPr>
            <w:tcW w:w="226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模型输出/标定目标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PLC</w:t>
            </w:r>
          </w:p>
        </w:tc>
        <w:tc>
          <w:tcPr>
            <w:tcW w:w="311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运行时间t1</w:t>
            </w:r>
          </w:p>
        </w:tc>
        <w:tc>
          <w:tcPr>
            <w:tcW w:w="145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min</w:t>
            </w:r>
          </w:p>
        </w:tc>
        <w:tc>
          <w:tcPr>
            <w:tcW w:w="226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模型输入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PLC</w:t>
            </w:r>
          </w:p>
        </w:tc>
        <w:tc>
          <w:tcPr>
            <w:tcW w:w="311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采集频率/间隔时间t2</w:t>
            </w:r>
          </w:p>
        </w:tc>
        <w:tc>
          <w:tcPr>
            <w:tcW w:w="145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s</w:t>
            </w:r>
          </w:p>
        </w:tc>
        <w:tc>
          <w:tcPr>
            <w:tcW w:w="226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模型输入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CNC软件</w:t>
            </w:r>
          </w:p>
        </w:tc>
        <w:tc>
          <w:tcPr>
            <w:tcW w:w="311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主轴转速S</w:t>
            </w:r>
          </w:p>
        </w:tc>
        <w:tc>
          <w:tcPr>
            <w:tcW w:w="145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r/min</w:t>
            </w:r>
          </w:p>
        </w:tc>
        <w:tc>
          <w:tcPr>
            <w:tcW w:w="226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模型输入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CNC软件</w:t>
            </w:r>
          </w:p>
        </w:tc>
        <w:tc>
          <w:tcPr>
            <w:tcW w:w="311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主轴电机运行功率KW</w:t>
            </w:r>
          </w:p>
        </w:tc>
        <w:tc>
          <w:tcPr>
            <w:tcW w:w="145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w:t>
            </w:r>
          </w:p>
        </w:tc>
        <w:tc>
          <w:tcPr>
            <w:tcW w:w="226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模型输入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CNC软件</w:t>
            </w:r>
          </w:p>
        </w:tc>
        <w:tc>
          <w:tcPr>
            <w:tcW w:w="311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运行时间t3</w:t>
            </w:r>
          </w:p>
        </w:tc>
        <w:tc>
          <w:tcPr>
            <w:tcW w:w="145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min</w:t>
            </w:r>
          </w:p>
        </w:tc>
        <w:tc>
          <w:tcPr>
            <w:tcW w:w="226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模型输入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0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CNC软件</w:t>
            </w:r>
          </w:p>
        </w:tc>
        <w:tc>
          <w:tcPr>
            <w:tcW w:w="311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采集频率/间隔时间t4</w:t>
            </w:r>
          </w:p>
        </w:tc>
        <w:tc>
          <w:tcPr>
            <w:tcW w:w="145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s</w:t>
            </w:r>
          </w:p>
        </w:tc>
        <w:tc>
          <w:tcPr>
            <w:tcW w:w="226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模型输入</w:t>
            </w:r>
          </w:p>
        </w:tc>
      </w:tr>
    </w:tbl>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表4 工艺录入项</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8"/>
        <w:gridCol w:w="6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8"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参数</w:t>
            </w:r>
          </w:p>
        </w:tc>
        <w:tc>
          <w:tcPr>
            <w:tcW w:w="6520"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可选值范围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加工材料</w:t>
            </w:r>
          </w:p>
        </w:tc>
        <w:tc>
          <w:tcPr>
            <w:tcW w:w="652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铝合金、碳钢、不锈钢、黄铜、铸铁等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刀具冷却方式</w:t>
            </w:r>
          </w:p>
        </w:tc>
        <w:tc>
          <w:tcPr>
            <w:tcW w:w="652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水基切削液、乳化液、合成切削液、切削油、加工吹气、吹气关/切削液关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92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刀具直径</w:t>
            </w:r>
          </w:p>
        </w:tc>
        <w:tc>
          <w:tcPr>
            <w:tcW w:w="652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D1-D12等多档位规格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刀具类型</w:t>
            </w:r>
          </w:p>
        </w:tc>
        <w:tc>
          <w:tcPr>
            <w:tcW w:w="652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端铣刀、圆鼻刀、钻头、攻丝刀等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刀具材料</w:t>
            </w:r>
          </w:p>
        </w:tc>
        <w:tc>
          <w:tcPr>
            <w:tcW w:w="652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高速钢（HSS）、硬质合金、涂层硬质合金、CBN、PCD等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28"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加工类型</w:t>
            </w:r>
          </w:p>
        </w:tc>
        <w:tc>
          <w:tcPr>
            <w:tcW w:w="652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钻孔/攻丝、粗加工、半精加工、精加工</w:t>
            </w:r>
          </w:p>
        </w:tc>
      </w:tr>
    </w:tbl>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说明：以上运行数据与工艺录入项共同构成AI模型的输入特征，当前可按12维左右特征组织；主轴轴芯伸长量</w:t>
      </w:r>
      <w:r>
        <w:rPr>
          <w:rFonts w:hint="eastAsia" w:ascii="仿宋_GB2312" w:hAnsi="仿宋_GB2312" w:eastAsia="仿宋_GB2312" w:cs="仿宋_GB2312"/>
          <w:sz w:val="32"/>
          <w:szCs w:val="32"/>
        </w:rPr>
        <w:t>Δ</w:t>
      </w:r>
      <w:r>
        <w:rPr>
          <w:rFonts w:hint="eastAsia" w:ascii="仿宋_GB2312" w:hAnsi="仿宋_GB2312" w:eastAsia="仿宋_GB2312" w:cs="仿宋_GB2312"/>
          <w:sz w:val="32"/>
          <w:szCs w:val="32"/>
          <w:lang w:eastAsia="zh-CN"/>
        </w:rPr>
        <w:t>L为模型输出目标（1维）。现阶段数据量约为数百条，适合开展初始验证、特征有效性分析和小模型原型训练，后续需通过更多工况样本持续提升泛化能力。</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场景建设预期价值</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提升加工精度：降低Z向热误差，提高关键尺寸一致性和批量稳定性。</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减少废品率：降低因热变形导致的尺寸超差、返修和报废。</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缩短辅助时间：减少人工测量、手动校正和反复试切时间，提高设备有效加工时长。</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增强工况适应性：系统可结合不同材料、刀具、冷却方式和运行状态自动调整补偿策略。</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形成可复制示范：沉淀面向机床热误差补偿的采集、建模、推理、补偿和运维闭环方法。</w:t>
      </w: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二、场景困境</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传统经验公式补偿难以覆盖复杂热过程</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当前工业现场常见做法是建立温度与热伸长之间的经验公式，例如采用</w:t>
      </w:r>
      <w:r>
        <w:rPr>
          <w:rFonts w:hint="eastAsia" w:ascii="仿宋_GB2312" w:hAnsi="仿宋_GB2312" w:eastAsia="仿宋_GB2312" w:cs="仿宋_GB2312"/>
          <w:sz w:val="32"/>
          <w:szCs w:val="32"/>
        </w:rPr>
        <w:t>Δ</w:t>
      </w:r>
      <w:r>
        <w:rPr>
          <w:rFonts w:hint="eastAsia" w:ascii="仿宋_GB2312" w:hAnsi="仿宋_GB2312" w:eastAsia="仿宋_GB2312" w:cs="仿宋_GB2312"/>
          <w:sz w:val="32"/>
          <w:szCs w:val="32"/>
          <w:lang w:eastAsia="zh-CN"/>
        </w:rPr>
        <w:t>L=k×</w:t>
      </w:r>
      <w:r>
        <w:rPr>
          <w:rFonts w:hint="eastAsia" w:ascii="仿宋_GB2312" w:hAnsi="仿宋_GB2312" w:eastAsia="仿宋_GB2312" w:cs="仿宋_GB2312"/>
          <w:sz w:val="32"/>
          <w:szCs w:val="32"/>
        </w:rPr>
        <w:t>Δ</w:t>
      </w:r>
      <w:r>
        <w:rPr>
          <w:rFonts w:hint="eastAsia" w:ascii="仿宋_GB2312" w:hAnsi="仿宋_GB2312" w:eastAsia="仿宋_GB2312" w:cs="仿宋_GB2312"/>
          <w:sz w:val="32"/>
          <w:szCs w:val="32"/>
          <w:lang w:eastAsia="zh-CN"/>
        </w:rPr>
        <w:t>T的线性关系，或根据机床型号、主轴类型、加工方式设置固定补偿系数。该方式部署简单，但本质上是对复杂热过程的简化，只能在特定机床、特定工况和特定温升区间内取得有限效果。</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实际加工中，主轴热伸长是电机发热、轴承摩擦热、切削热、冷却散热、环境温度波动等因素共同作用的结果。单一温度变量或固定系数难以准确描述多热源、多路径、多阶段的动态平衡过程，导致经验公式在复杂工况下补偿误差明显增大。</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温度-位移线性补偿存在非线性与滞后误差</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非线性特征明显：温升初期、快速升温阶段和热稳定阶段的伸长变化规律不同，固定斜率难以覆盖全区间。</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同温不同位移：相同主轴温度可能对应不同运行路径，例如高转速短时间与低转速长时间的热分布并不相同。</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动态滞后明显：传感器温度变化与结构位移响应存在延迟，启动、停机、换刀和负载突变时尤其突出。</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多工况切换困难：换材料、换刀具或改变冷却方式后，原有补偿系数往往需要重新标定。</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多因素耦合导致建模与维护成本高</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主轴热伸长不仅受温度影响，还与转速、功率、运行时间、冷却方式、加工材料、刀具状态、环境温度和采集频率等变量有关。这些变量之间存在耦合关系，例如高转速会改变产热强度，也会影响切削液在切削区的覆盖效果；不同材料在相同切削参数下的切削热差异明显；刀具磨损会改变切削力并引入新的热源变化。</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若完全依赖人工经验或少量离线标定实验，需要为大量工况组合建立系数表，维护成本高、覆盖不完整，且无法随着生产数据积累自动优化。</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数据基础薄弱与现场闭环落地难</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现阶段数据量约为数百条，属于初始验证阶段，样本在材料、刀具、转速、功率、冷却方式和环境条件上的覆盖仍有限。若直接训练复杂模型，容易出现过拟合、对新工况适应不足等问题，因此需要结合小模型、特征工程、数据质量控制和增量数据采集策略逐步推进。</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同时，AI预测值要真正作用于机床加工过程，还需要解决 PLC/CNC 数据接入、推理延迟、补偿指令下发、异常工况保护、人工可干预、补偿日志追溯等工程问题。若缺乏稳定闭环，AI预测即使离线精度较高，也难以在现场形成可靠示范效果。</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0" w:firstLineChars="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表5 当前场景主要困境与影响</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95"/>
        <w:gridCol w:w="6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954"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困境</w:t>
            </w:r>
          </w:p>
        </w:tc>
        <w:tc>
          <w:tcPr>
            <w:tcW w:w="6406"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具体影响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4"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稳态精度不足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传统线性补偿在稳态下仍可能存在5-15</w:t>
            </w:r>
            <w:r>
              <w:rPr>
                <w:rFonts w:hint="eastAsia" w:ascii="仿宋_GB2312" w:hAnsi="仿宋_GB2312" w:eastAsia="仿宋_GB2312" w:cs="仿宋_GB2312"/>
                <w:sz w:val="32"/>
                <w:szCs w:val="32"/>
              </w:rPr>
              <w:t>μ</w:t>
            </w:r>
            <w:r>
              <w:rPr>
                <w:rFonts w:hint="eastAsia" w:ascii="仿宋_GB2312" w:hAnsi="仿宋_GB2312" w:eastAsia="仿宋_GB2312" w:cs="仿宋_GB2312"/>
                <w:sz w:val="32"/>
                <w:szCs w:val="32"/>
                <w:lang w:eastAsia="zh-CN"/>
              </w:rPr>
              <w:t>m残差，难以满足高精度加工需求。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4"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动态响应慢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温度与位移存在滞后，传统方案难以处理启动、停机、换刀、负载突变等过渡过程。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54"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工况适应性差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换材料、换刀具、换冷却方式后需要重新标定系数，维护成本高。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4"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多工况覆盖不全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实际生产工况组合远超实验标定范围，大量组合缺少有效补偿依据。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4"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难以持续优化</w:t>
            </w:r>
          </w:p>
        </w:tc>
        <w:tc>
          <w:tcPr>
            <w:tcW w:w="64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经验公式无法自动利用新增数据提升补偿精度。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4"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工程闭环风险</w:t>
            </w:r>
          </w:p>
        </w:tc>
        <w:tc>
          <w:tcPr>
            <w:tcW w:w="64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补偿指令若缺少限幅、告警和回退机制，可能引入新的加工风险。</w:t>
            </w:r>
          </w:p>
        </w:tc>
      </w:tr>
    </w:tbl>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三、场景示范需求</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示范建设总体目标</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场景示范的目标不是仅完成一个离线预测模型，而是构建“数据采集—AI预测—补偿决策—CNC/PLC 执行—结果评估—持续优化”的闭环系统。AI技术加入后，应能够利用多源工况数据实时识别主轴热伸长状态，输出可执行、可追溯、可限制的Z向补偿量，并在不同加工工况下保持稳定精度。</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示范系统应优先面向单台典型 CNC 机床完成闭环验证，再逐步扩展到同型号或同类机床，实现模型参数迁移、工况库扩展和现场运维规范沉淀。</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AI智能化要求</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表6 AI智能化要求</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4"/>
        <w:gridCol w:w="6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6"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能力项</w:t>
            </w:r>
          </w:p>
        </w:tc>
        <w:tc>
          <w:tcPr>
            <w:tcW w:w="6520"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多源特征融合</w:t>
            </w:r>
          </w:p>
        </w:tc>
        <w:tc>
          <w:tcPr>
            <w:tcW w:w="652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模型应同时利用PLC温度/位移数据、CNC转速/功率数据和工艺录入项，形成统一时间戳对齐后的特征向量。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动态热状态识别</w:t>
            </w:r>
          </w:p>
        </w:tc>
        <w:tc>
          <w:tcPr>
            <w:tcW w:w="652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能够区分冷机启动、升温过程、热稳定、停机冷却、换刀/换工况等阶段，避免使用单一稳态规则。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5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小样本建模能力</w:t>
            </w:r>
          </w:p>
        </w:tc>
        <w:tc>
          <w:tcPr>
            <w:tcW w:w="652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在初期数百条样本条件下，优先采用轻量化、可解释、低延迟模型，并通过交叉验证和留出工况验证评估泛化能力。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在线推理能力</w:t>
            </w:r>
          </w:p>
        </w:tc>
        <w:tc>
          <w:tcPr>
            <w:tcW w:w="652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模型应部署在边缘工控机或本地服务中，持续接收工况数据并输出当前主轴热伸长预测值。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补偿决策能力</w:t>
            </w:r>
          </w:p>
        </w:tc>
        <w:tc>
          <w:tcPr>
            <w:tcW w:w="652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预测值需转换为 Z 向补偿量，并支持限幅、平滑、变化率约束和补偿开关控制。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持续学习能力</w:t>
            </w:r>
          </w:p>
        </w:tc>
        <w:tc>
          <w:tcPr>
            <w:tcW w:w="652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系统应记录预测值、实际测量值、补偿值、工况特征和加工结果，为后续增量训练与模型迭代提供数据闭环。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5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异常识别能力</w:t>
            </w:r>
          </w:p>
        </w:tc>
        <w:tc>
          <w:tcPr>
            <w:tcW w:w="652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当温度传感器异常、伸长量跳变、数据丢包或预测残差持续偏大时，应触发告警，并切换到安全补偿或人工确认模式。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5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可解释与可运维</w:t>
            </w:r>
          </w:p>
        </w:tc>
        <w:tc>
          <w:tcPr>
            <w:tcW w:w="6520"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系统应输出关键影响因素、模型版本、推理时间、补偿量和告警原因，便于现场人员理解和追溯。</w:t>
            </w:r>
          </w:p>
        </w:tc>
      </w:tr>
    </w:tbl>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精度要求</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精度要求应同时关注模型预测精度和实际补偿后的加工效果。模型离线指标用于判断AI预测是否可靠，在线补偿指标用于评价系统是否真正降低了机床热误差。</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表7 精度要求</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5"/>
        <w:gridCol w:w="2441"/>
        <w:gridCol w:w="3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5"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w:t>
            </w:r>
          </w:p>
        </w:tc>
        <w:tc>
          <w:tcPr>
            <w:tcW w:w="2494"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目标要求</w:t>
            </w:r>
          </w:p>
        </w:tc>
        <w:tc>
          <w:tcPr>
            <w:tcW w:w="4139"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5"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模型预测RMSE</w:t>
            </w:r>
          </w:p>
        </w:tc>
        <w:tc>
          <w:tcPr>
            <w:tcW w:w="2494"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目标≤1μm（0.001mm）</w:t>
            </w:r>
          </w:p>
        </w:tc>
        <w:tc>
          <w:tcPr>
            <w:tcW w:w="4139"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补偿预测值与实际伸长量之间的均方根误差，用于衡量整体预测稳定性。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5"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模型预测MAE</w:t>
            </w:r>
          </w:p>
        </w:tc>
        <w:tc>
          <w:tcPr>
            <w:tcW w:w="2494"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目标≤2μm</w:t>
            </w:r>
          </w:p>
        </w:tc>
        <w:tc>
          <w:tcPr>
            <w:tcW w:w="4139"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平均绝对误差，用于衡量平均偏差水平；建议后续根据样本噪声进一步校准指标口径。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795"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最大单点误差</w:t>
            </w:r>
          </w:p>
        </w:tc>
        <w:tc>
          <w:tcPr>
            <w:tcW w:w="2494"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建议≤5μm</w:t>
            </w:r>
          </w:p>
        </w:tc>
        <w:tc>
          <w:tcPr>
            <w:tcW w:w="4139"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限制少数异常预测值对加工过程造成影响，必要时触发告警或人工确认。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5"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补偿后残余误差</w:t>
            </w:r>
          </w:p>
        </w:tc>
        <w:tc>
          <w:tcPr>
            <w:tcW w:w="2494"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较传统方案降低50%-80%；精密场景目标进入1-3</w:t>
            </w:r>
            <w:r>
              <w:rPr>
                <w:rFonts w:hint="eastAsia" w:ascii="仿宋_GB2312" w:hAnsi="仿宋_GB2312" w:eastAsia="仿宋_GB2312" w:cs="仿宋_GB2312"/>
                <w:sz w:val="32"/>
                <w:szCs w:val="32"/>
              </w:rPr>
              <w:t>μ</w:t>
            </w:r>
            <w:r>
              <w:rPr>
                <w:rFonts w:hint="eastAsia" w:ascii="仿宋_GB2312" w:hAnsi="仿宋_GB2312" w:eastAsia="仿宋_GB2312" w:cs="仿宋_GB2312"/>
                <w:sz w:val="32"/>
                <w:szCs w:val="32"/>
                <w:lang w:eastAsia="zh-CN"/>
              </w:rPr>
              <w:t>m区间</w:t>
            </w:r>
          </w:p>
        </w:tc>
        <w:tc>
          <w:tcPr>
            <w:tcW w:w="4139"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以实测加工结果或主轴位移测量结果为依据，评价闭环补偿效果。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5"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跨工况泛化精度</w:t>
            </w:r>
          </w:p>
        </w:tc>
        <w:tc>
          <w:tcPr>
            <w:tcW w:w="2494"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新增材料、刀具、冷却方式下误差不应显著劣化</w:t>
            </w:r>
          </w:p>
        </w:tc>
        <w:tc>
          <w:tcPr>
            <w:tcW w:w="4139"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采用留一工况、分组验证或现场试加工验证，避免只在已见样本上表现良好。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95"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重复性要求</w:t>
            </w:r>
          </w:p>
        </w:tc>
        <w:tc>
          <w:tcPr>
            <w:tcW w:w="2494"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同一工况多次运行补偿结果稳定</w:t>
            </w:r>
          </w:p>
        </w:tc>
        <w:tc>
          <w:tcPr>
            <w:tcW w:w="4139"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同条件重复实验中，预测曲线和补偿量应保持一致性。</w:t>
            </w:r>
          </w:p>
        </w:tc>
      </w:tr>
    </w:tbl>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实时性要求</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实时性要求不仅包括模型推理耗时，还包括数据采集、特征处理、补偿量计算、指令下发和日志记录的端到端延迟。系统应保证补偿值能够及时叠加到 Z 轴运动或偏置控制逻辑中，避免补偿滞后引入新的误差。</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0" w:firstLine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表8 实时性要求</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1"/>
        <w:gridCol w:w="2457"/>
        <w:gridCol w:w="3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9"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指标</w:t>
            </w:r>
          </w:p>
        </w:tc>
        <w:tc>
          <w:tcPr>
            <w:tcW w:w="2551"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目标要求</w:t>
            </w:r>
          </w:p>
        </w:tc>
        <w:tc>
          <w:tcPr>
            <w:tcW w:w="3969"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9"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单次模型推理延迟</w:t>
            </w:r>
          </w:p>
        </w:tc>
        <w:tc>
          <w:tcPr>
            <w:tcW w:w="2551"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≤10ms</w:t>
            </w:r>
          </w:p>
        </w:tc>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从特征向量输入模型到输出热伸长预测值的耗时。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9"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端到端补偿延迟</w:t>
            </w:r>
          </w:p>
        </w:tc>
        <w:tc>
          <w:tcPr>
            <w:tcW w:w="2551"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建议≤50ms，最终与CNC/PLC控制周期匹配</w:t>
            </w:r>
          </w:p>
        </w:tc>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包括采集、清洗、推理、补偿量计算、下发和确认。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29"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补偿更新频率</w:t>
            </w:r>
          </w:p>
        </w:tc>
        <w:tc>
          <w:tcPr>
            <w:tcW w:w="2551"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与采样频率和CNC控制周期匹配</w:t>
            </w:r>
          </w:p>
        </w:tc>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避免过低频率导致补偿滞后，也避免过高频率造成指令抖动。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9"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补偿平滑机制</w:t>
            </w:r>
          </w:p>
        </w:tc>
        <w:tc>
          <w:tcPr>
            <w:tcW w:w="2551"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支持滑动平均、限幅、变化率约束</w:t>
            </w:r>
          </w:p>
        </w:tc>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防止因瞬时数据噪声造成Z向补偿突变。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29"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异常响应时间</w:t>
            </w:r>
          </w:p>
        </w:tc>
        <w:tc>
          <w:tcPr>
            <w:tcW w:w="2551"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检测到数据异常后应快速告警并进入安全策略</w:t>
            </w:r>
          </w:p>
        </w:tc>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传感器断线、温度跳变、伸长量异常时，不应继续输出未经校验的补偿值。</w:t>
            </w:r>
          </w:p>
        </w:tc>
      </w:tr>
    </w:tbl>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稳定性、安全与工程集成要求</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0" w:firstLineChars="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表9 稳定性、安全与工程集成要求</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42"/>
        <w:gridCol w:w="6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6"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要求项</w:t>
            </w:r>
          </w:p>
        </w:tc>
        <w:tc>
          <w:tcPr>
            <w:tcW w:w="6406"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连续运行能力</w:t>
            </w:r>
          </w:p>
        </w:tc>
        <w:tc>
          <w:tcPr>
            <w:tcW w:w="64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系统应支持≥24小时连续运行，无补偿服务异常中断。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长期精度一致性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连续运行过程中，预测误差和补偿后残差不应随时间明显退化。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8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安全限幅机制</w:t>
            </w:r>
          </w:p>
        </w:tc>
        <w:tc>
          <w:tcPr>
            <w:tcW w:w="64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补偿量应设置最大值、最小值和变化率限制，防止异常输出直接影响加工安全。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人工干预机制</w:t>
            </w:r>
          </w:p>
        </w:tc>
        <w:tc>
          <w:tcPr>
            <w:tcW w:w="64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应支持人工暂停补偿、切换传统补偿、手动确认补偿或恢复默认参数。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数据完整性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采集数据、模型输入、预测结果、补偿量、告警信息和模型版本应完整记录。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8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接口兼容性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应兼容PLC/CNC现有数据接口，支持本地部署，不依赖外网即可完成实时推理。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8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模型版本管理</w:t>
            </w:r>
          </w:p>
        </w:tc>
        <w:tc>
          <w:tcPr>
            <w:tcW w:w="64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每次模型更新需保留版本号、训练数据范围、验证指标和回退方案。</w:t>
            </w:r>
          </w:p>
        </w:tc>
      </w:tr>
    </w:tbl>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数据采集与验证要求</w:t>
      </w:r>
    </w:p>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ind w:firstLine="0" w:firstLineChars="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表10 数据采集与验证要求</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15"/>
        <w:gridCol w:w="6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6"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要求项</w:t>
            </w:r>
          </w:p>
        </w:tc>
        <w:tc>
          <w:tcPr>
            <w:tcW w:w="6406" w:type="dxa"/>
            <w:shd w:val="clear" w:color="auto" w:fill="D9EAF7"/>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样本覆盖</w:t>
            </w:r>
          </w:p>
        </w:tc>
        <w:tc>
          <w:tcPr>
            <w:tcW w:w="64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应覆盖不同转速、功率、运行时长、材料、刀具、冷却方式和环境温度组合，避免训练数据集中于单一工况。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时间对齐</w:t>
            </w:r>
          </w:p>
        </w:tc>
        <w:tc>
          <w:tcPr>
            <w:tcW w:w="64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PLC、CNC软件和工艺录入数据需按照统一时间戳或采样周期进行对齐。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3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数据清洗</w:t>
            </w:r>
          </w:p>
        </w:tc>
        <w:tc>
          <w:tcPr>
            <w:tcW w:w="64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对缺失值、异常跳变、传感器漂移、重复记录和单位不一致进行处理。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验证方式</w:t>
            </w:r>
          </w:p>
        </w:tc>
        <w:tc>
          <w:tcPr>
            <w:tcW w:w="64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采用离线验证、留出工况验证和现场试加工验证相结合的方式评价模型效果。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评价闭环</w:t>
            </w:r>
          </w:p>
        </w:tc>
        <w:tc>
          <w:tcPr>
            <w:tcW w:w="6406" w:type="dxa"/>
            <w:vAlign w:val="center"/>
          </w:tcPr>
          <w:p>
            <w:pPr>
              <w:keepNext w:val="0"/>
              <w:keepLines w:val="0"/>
              <w:pageBreakBefore w:val="0"/>
              <w:widowControl/>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对比补偿前、传统补偿后、AI补偿后的残余误差、废品率和辅助校正时间。</w:t>
            </w:r>
          </w:p>
        </w:tc>
      </w:tr>
    </w:tbl>
    <w:p>
      <w:pPr>
        <w:pStyle w:val="2"/>
        <w:keepNext w:val="0"/>
        <w:keepLines w:val="0"/>
        <w:pageBreakBefore w:val="0"/>
        <w:kinsoku/>
        <w:overflowPunct/>
        <w:topLinePunct w:val="0"/>
        <w:autoSpaceDE/>
        <w:autoSpaceDN/>
        <w:bidi w:val="0"/>
        <w:adjustRightInd/>
        <w:spacing w:beforeAutospacing="0" w:afterAutospacing="0" w:line="560" w:lineRule="exact"/>
        <w:textAlignment w:val="auto"/>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lang w:val="en-US" w:eastAsia="zh-CN"/>
        </w:rPr>
        <w:br w:type="page"/>
      </w:r>
      <w:bookmarkStart w:id="9" w:name="_Toc945439029"/>
      <w:r>
        <w:rPr>
          <w:rFonts w:hint="eastAsia" w:ascii="方正小标宋简体" w:hAnsi="方正小标宋简体" w:cs="方正小标宋简体"/>
          <w:lang w:val="en-US" w:eastAsia="zh-CN"/>
        </w:rPr>
        <w:t>6</w:t>
      </w:r>
      <w:r>
        <w:rPr>
          <w:rFonts w:hint="eastAsia" w:ascii="方正小标宋简体" w:hAnsi="方正小标宋简体" w:eastAsia="方正小标宋简体" w:cs="方正小标宋简体"/>
        </w:rPr>
        <w:t>基于AI热学仿真的电视热学设计研发</w:t>
      </w:r>
      <w:bookmarkEnd w:id="9"/>
    </w:p>
    <w:p>
      <w:pPr>
        <w:pStyle w:val="2"/>
        <w:keepNext w:val="0"/>
        <w:keepLines w:val="0"/>
        <w:pageBreakBefore w:val="0"/>
        <w:kinsoku/>
        <w:overflowPunct/>
        <w:topLinePunct w:val="0"/>
        <w:autoSpaceDE/>
        <w:autoSpaceDN/>
        <w:bidi w:val="0"/>
        <w:adjustRightInd/>
        <w:spacing w:beforeAutospacing="0" w:afterAutospacing="0" w:line="560" w:lineRule="exact"/>
        <w:textAlignment w:val="auto"/>
        <w:rPr>
          <w:rFonts w:hint="eastAsia" w:ascii="方正小标宋简体" w:hAnsi="方正小标宋简体" w:eastAsia="方正小标宋简体" w:cs="方正小标宋简体"/>
          <w:b w:val="0"/>
          <w:bCs w:val="0"/>
          <w:szCs w:val="44"/>
        </w:rPr>
      </w:pPr>
      <w:bookmarkStart w:id="10" w:name="_Toc726940699"/>
      <w:bookmarkStart w:id="11" w:name="_Toc991991674"/>
      <w:bookmarkStart w:id="12" w:name="_Toc609278643"/>
      <w:r>
        <w:rPr>
          <w:rFonts w:hint="eastAsia" w:ascii="方正小标宋简体" w:hAnsi="方正小标宋简体" w:eastAsia="方正小标宋简体" w:cs="方正小标宋简体"/>
        </w:rPr>
        <w:t>提质场景</w:t>
      </w:r>
      <w:bookmarkEnd w:id="10"/>
      <w:bookmarkEnd w:id="11"/>
      <w:bookmarkEnd w:id="12"/>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val="0"/>
          <w:sz w:val="44"/>
          <w:szCs w:val="44"/>
        </w:rPr>
      </w:pP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一、场景现状与困境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随着电视行业向大屏化、高配置、轻薄化与高集成化快速发展，产品内部硬件布局愈发紧凑，整机热环境复杂度呈指数级提升，热学仿真已成为电视整机研发设计的核心关键环节。电视整机热学仿真深度融合热辐射、热传导、空气对流三大核心热学传递方式，三大效应相互耦合，是兼具高专业性、高复杂性的系统工程，其仿真精准度直接决定产品运行稳定性、硬件性能、使用寿命与用户体验。</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当前传统电视整机热学仿真全程依赖工程师手动操作，从建模到变量输入均由人工完成，存在三大突出痛点，严重制约研发效率与设计质量：</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1.仿真效率低、人力成本高</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手动建模与变量输入流程繁琐复杂，面对多物理场耦合的复杂热环境，仿真效率极低，无法匹配行业快速研发与产品迭代需求；且高度依赖资深工程师经验，人力投入成本高，人工操作局限性大，仿真结果优化空间有限。</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2.经验难以沉淀复用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优质仿真与设计经验高度依赖工程师个人积累，多以零散认知形式存在，无法系统化、标准化沉淀与快速复用，新项目需重复摸索，制约热学设计能力整体提升。</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3.仿真与设计脱节、缺乏智能方案能力</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传统仿真仅能输出基础热数据，无法基于结果快速生成多维度设计方案，也不具备智能挖掘降本点的能力，仿真与整机设计环节脱节，难以从热学角度为研发提供先进、智能、低成本的设计支撑。</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为解决行业痛点，电视整机AI热学仿真项目应运而生，通过引入AI算法与大模型，结合海量仿真数据与工程师专业经验，打造电视热学仿真垂直领域AI大模型，实现输入研发需求即可快速输出优质热学仿真方案，用智能化仿真反哺整机设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目前项目已明确核心目标与推进路径，分三大阶段落地：先完成AI模型底层架构与核心算法研发，适配电视多物理场耦合特性；再构建多维度仿真数据体系，完成模型训练与能力迭代；最后通过验证验收，实现模型在产业端实际落地。当前AI技术在电视复杂热学仿真领域仍处于起步阶段，本项目落地将突破行业技术瓶颈，推动研发智能化升级，具备里程碑式行业价值。</w:t>
      </w: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二、场景示范需求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针对以上问题及痛点，电视整机AI热学仿真项目需满足以下核心需求：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构建融合三大热学原理的AI热学仿真基础模型：利用先进的AI技术，结合电视整机热学仿真原理，构建融合热辐射、热传导及空气对流三大核心热学效应的AI整机热学仿真基础模型。该模型需适配电视整机的复杂热环境，能够精准识别研发设计的核心要求，同时可基于前期的数据投喂与经验输入持续迭代优化，为打造电视热学仿真垂直领域AI大模型奠定核心技术基础。</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构建基于数据与经验的AI大模型训练体系：通过收集和分析现有热学仿真平台的多维度仿真数据，结合工程师的专业热学知识、仿真实操经验和整机设计降本经验，完成人工经验的标准化输入与系统化沉淀，搭建科学的模型训练体系，实现AI模型对热学仿真关键影响因子的精准识别与分析，为后续输出具备设计指导价值的方案提供坚实的数据与经验支撑。</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构建专业的热学仿真知识与智能方案生成体系：构建包含海量电视整机热学仿真案例、设计知识、降本经验的专业数据库，利用AI大模型技术进行深度数据分析与挖掘，能够为研发工作提供丰富的热学仿真资源，包括热学设计思路优化、关键参数调整、降本点挖掘等。结合自然语言交互技术，研发人员仅通过语音或文字提出研发设计要求，模型即可快速输出多套热学设计参考方案，并筛选出更先进、更智能、成本更优的最优方案，实现仿真对整机设计的精准指导。</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val="0"/>
          <w:sz w:val="32"/>
          <w:szCs w:val="32"/>
        </w:rPr>
        <w:t>4.推动AI热学仿真与整机设计深度融合，赋能一流电视产品研发：通过智能化的AI热学仿真手段，推动电视整机研发热学仿真工作的智能化、标准化发展。同时利用AI大模型的数据分析能力，对电视整机热学设计的研发行为进行分析，优化热学仿真与整机设计的衔接流程，将AI热学仿真大模型深度融入电视整机平台技术研发项目，持续为产品研发提供优质的热学解决方案和可落地的降本措施，最终通过仿真环节的智能化升级，从底层优化整机热学设计，提升产品核心竞争力，助力打造一流的电视产品，推动电视行业产品设计与研发水平的整体提升。</w:t>
      </w:r>
    </w:p>
    <w:p>
      <w:pPr>
        <w:pStyle w:val="2"/>
        <w:keepNext w:val="0"/>
        <w:keepLines w:val="0"/>
        <w:pageBreakBefore w:val="0"/>
        <w:kinsoku/>
        <w:overflowPunct/>
        <w:topLinePunct w:val="0"/>
        <w:autoSpaceDE/>
        <w:autoSpaceDN/>
        <w:bidi w:val="0"/>
        <w:adjustRightInd/>
        <w:spacing w:beforeAutospacing="0" w:afterAutospacing="0" w:line="560" w:lineRule="exact"/>
        <w:textAlignment w:val="auto"/>
        <w:rPr>
          <w:rFonts w:hint="eastAsia" w:ascii="方正小标宋简体" w:hAnsi="方正小标宋简体" w:eastAsia="方正小标宋简体" w:cs="方正小标宋简体"/>
          <w:lang w:val="en-US" w:eastAsia="zh-CN"/>
        </w:rPr>
      </w:pPr>
      <w:r>
        <w:rPr>
          <w:rFonts w:hint="eastAsia" w:ascii="方正小标宋简体" w:hAnsi="方正小标宋简体" w:eastAsia="方正小标宋简体" w:cs="方正小标宋简体"/>
          <w:lang w:val="en-US" w:eastAsia="zh-CN"/>
        </w:rPr>
        <w:br w:type="page"/>
      </w:r>
      <w:bookmarkStart w:id="13" w:name="_Toc1890342260"/>
      <w:r>
        <w:rPr>
          <w:rFonts w:hint="eastAsia" w:ascii="方正小标宋简体" w:hAnsi="方正小标宋简体" w:cs="方正小标宋简体"/>
          <w:lang w:val="en-US" w:eastAsia="zh-CN"/>
        </w:rPr>
        <w:t>7</w:t>
      </w:r>
      <w:r>
        <w:rPr>
          <w:rFonts w:hint="eastAsia" w:ascii="方正小标宋简体" w:hAnsi="方正小标宋简体" w:eastAsia="方正小标宋简体" w:cs="方正小标宋简体"/>
          <w:lang w:val="en-US" w:eastAsia="zh-CN"/>
        </w:rPr>
        <w:t>基于AI视觉的电子行业PCB智能插装</w:t>
      </w:r>
      <w:bookmarkEnd w:id="13"/>
    </w:p>
    <w:p>
      <w:pPr>
        <w:pStyle w:val="2"/>
        <w:keepNext w:val="0"/>
        <w:keepLines w:val="0"/>
        <w:pageBreakBefore w:val="0"/>
        <w:kinsoku/>
        <w:overflowPunct/>
        <w:topLinePunct w:val="0"/>
        <w:autoSpaceDE/>
        <w:autoSpaceDN/>
        <w:bidi w:val="0"/>
        <w:adjustRightInd/>
        <w:spacing w:beforeAutospacing="0" w:afterAutospacing="0" w:line="560" w:lineRule="exact"/>
        <w:textAlignment w:val="auto"/>
        <w:rPr>
          <w:rFonts w:hint="default" w:ascii="宋体" w:hAnsi="宋体" w:cs="宋体"/>
          <w:szCs w:val="44"/>
          <w:lang w:val="en-US" w:eastAsia="zh-CN"/>
        </w:rPr>
      </w:pPr>
      <w:bookmarkStart w:id="14" w:name="_Toc1844818228"/>
      <w:bookmarkStart w:id="15" w:name="_Toc152222517"/>
      <w:r>
        <w:rPr>
          <w:rFonts w:hint="eastAsia" w:ascii="方正小标宋简体" w:hAnsi="方正小标宋简体" w:eastAsia="方正小标宋简体" w:cs="方正小标宋简体"/>
          <w:lang w:val="en-US" w:eastAsia="zh-CN"/>
        </w:rPr>
        <w:t>场景</w:t>
      </w:r>
      <w:bookmarkEnd w:id="14"/>
      <w:bookmarkEnd w:id="15"/>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jc w:val="center"/>
        <w:textAlignment w:val="auto"/>
        <w:rPr>
          <w:rFonts w:hint="eastAsia" w:ascii="黑体" w:hAnsi="黑体" w:eastAsia="黑体" w:cs="黑体"/>
          <w:b w:val="0"/>
          <w:bCs w:val="0"/>
          <w:sz w:val="44"/>
          <w:szCs w:val="44"/>
          <w:lang w:val="en-US" w:eastAsia="zh-CN"/>
        </w:rPr>
      </w:pP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一、现状场景描述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工智能技术正以全链条渗透的方式重塑电子制造业，从研发设计的智能迭代、生产流程的柔性调度到质量检测的精准管控，全方位推动行业从传统制造向数智化生产范式跃迁，成为破解生产痛点、释放产能价值的核心驱动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现代电子制造领域，表面贴装技术（SMT）已成为主流的高精度、自动化组装工艺，广泛应用于消费电子、通信设备及汽车电子等高密度PCB生产中。然而，受限于元器件类型、机械强度需求及成本结构的多样性，通孔插装技术（THT）在功率器件、连接器、大型电容及工业控制模块等应用场景中仍不可替代。目前THT工艺在插件、焊接与检测环节高度依赖人工操作，其生产效率低、一致性差、质量波动大等问题，已成为混合工艺产线中制约自动化水平提升的关键瓶颈。</w:t>
      </w: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二、传统技术困境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目前生产设备中涉及THT生产工艺的PCB电路主要依靠操作人员的经验，受限于人员经验差异，生产面临以下技术困境：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1.人力依赖严重，插件、目检、返修依赖熟练技工，培训周期平均3个月，随着产线工人流动率变化导致品控和产能不稳定。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2.良率一致性差，手工插件易造成器件弯折、错装、反装、漏装等低级失误，同时波峰焊产生虚焊、连焊、空焊等依赖人工目检。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3.质量追溯难，为了对工人生产的质量追溯需要额外增加很多流程上操作，比如扫PCB条码和上线员工的绑定，增加员工培训成本和对应系统开发。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解决这些问题存在诸多挑战，产线需求的变更较快，插装的元器件标准化不足，THT工艺数据较为孤立和SMT工艺系统差异较大，导致了目前THT工艺相关自动化装备成本高、难实现。</w:t>
      </w: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三、场景示范需求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实现平台化的PCB智能插装系统，通过机器视觉引导、自适应夹持等技术，装备或者系统能够根据用户定制的工艺档案和供料，完成多品种元器件在PCB上的正确自动插装支持柔性生产。以此解决由于人员经验不足导致的错装、反装、漏装等良率问题。关于错漏反的检出率要求达到98%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实现智能视觉质检系统，融合人工智能机器视觉与3D成像等多元技术，精准识别各类PCB板波峰焊后出现的虚焊、空焊、连焊等多类焊点缺陷，彻底规避人工检测因疏忽导致的漏检问题，筑牢产品品质防线。焊接品质问题检出率要求达到98%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通过扫码系统实现物料条码与质检结果的绑定，在流水线上加工的PCB进入扫码系统后通过用户指定确认对应到某个条码，将此条码与前置质检结果完成对应，然后将绑定结果上报给质量追溯系统。实物与质检对应关系达到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实现产线装配行为分析系统，可通过‌AI视觉识别+动作序列建模（SOP）‌技术，精准判断人员装配步骤是否符合预设工艺流程，及时发现顺序错乱、漏装、反向操作等异常行为。在标准工位，固定视角、均匀光照下行为识别准确率达到85%。</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sz w:val="32"/>
          <w:szCs w:val="32"/>
          <w:lang w:val="en-US" w:eastAsia="zh-CN"/>
        </w:rPr>
        <w:t>通过以上装备及系统逐步打造全链路柔性生产系统，实现从客户定制需求到生产交付的无缝衔接，支持多品种产品的快速切换与定制化生产，通过生产流程的智能化重构，全面提升生产效率，提高产品品质，满足市场多元化需求。</w:t>
      </w:r>
    </w:p>
    <w:p>
      <w:pPr>
        <w:pStyle w:val="2"/>
        <w:bidi w:val="0"/>
        <w:rPr>
          <w:rFonts w:hint="eastAsia" w:ascii="方正小标宋_GBK" w:hAnsi="方正小标宋_GBK" w:eastAsia="方正小标宋_GBK" w:cs="方正小标宋_GBK"/>
          <w:sz w:val="44"/>
          <w:szCs w:val="44"/>
        </w:rPr>
      </w:pPr>
      <w:r>
        <w:rPr>
          <w:rFonts w:hint="eastAsia" w:ascii="方正小标宋简体" w:hAnsi="方正小标宋简体" w:eastAsia="方正小标宋简体" w:cs="方正小标宋简体"/>
          <w:lang w:val="en-US" w:eastAsia="zh-CN"/>
        </w:rPr>
        <w:br w:type="page"/>
      </w:r>
      <w:bookmarkStart w:id="16" w:name="_Toc1913371600"/>
      <w:r>
        <w:rPr>
          <w:rFonts w:hint="eastAsia" w:ascii="方正小标宋简体" w:hAnsi="方正小标宋简体" w:eastAsia="方正小标宋简体" w:cs="方正小标宋简体"/>
          <w:sz w:val="44"/>
          <w:szCs w:val="44"/>
          <w:lang w:val="en-US" w:eastAsia="zh-CN"/>
        </w:rPr>
        <w:t>8</w:t>
      </w:r>
      <w:r>
        <w:rPr>
          <w:rFonts w:hint="eastAsia" w:ascii="方正小标宋简体" w:hAnsi="方正小标宋简体" w:eastAsia="方正小标宋简体" w:cs="方正小标宋简体"/>
          <w:sz w:val="44"/>
          <w:szCs w:val="44"/>
        </w:rPr>
        <w:t>面向消费级3D打印机的AI复杂排障辅助决策场景</w:t>
      </w:r>
      <w:bookmarkEnd w:id="16"/>
    </w:p>
    <w:p>
      <w:pPr>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cs="方正小标宋简体"/>
          <w:b w:val="0"/>
          <w:bCs/>
          <w:sz w:val="44"/>
          <w:szCs w:val="21"/>
        </w:rPr>
      </w:pP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一、现状场景描述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消费级与工业级3D打印技术正在快速普及，我国已成为占据全球3D打印机出口体量约90%的国家，在专利数量与硬件制造水平上均处在世界领先地位。然而，3D打印设备要进一步向大众消费市场及高端柔性制造渗透，仍面临极大的用户体验门槛。现代3D打印机是高度复杂的机电一体化设备，随着打印速度和多色、多材料技术的演进，设备故障率与排障难度陡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打印失败或设备报错时，其故障原因往往具备极高的专业性，严重依赖资深工程师的经验介入。海量的售后排障咨询不仅导致了高昂的企业运营成本，也极大影响了消费者的使用体验。因此，3D打印行业急需引入人工智能技术，完成从“被动售后”向“智能感知+自主诊断决策”的跨越，通过精准分析复杂报错，自动化输出高准确率、强逻辑关联的故障排除方案。</w:t>
      </w: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二、场景困境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复杂的3D打印机故障实时诊断与推理领域，目前通用的大语言模型（LLM）与检索增强生成（RAG）技术在落地应用时，面临着严重的知识不足、算法瓶颈与架构局限，导致现阶段智能体技术的深度应用仍处于初级阶段。该场景的核心困境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当前主流RAG技术存在“逻辑断层”，大模型易产生“幻觉”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3D打印故障具有因果链条长、多因素深度耦合的特点。例如，“打印层错位”故障现象可能由“切片参数异常 → 挤出机过热→特定温度下步进电机丢步→同步带张力衰减”等一系列拓扑逻辑引发。目前主流RAG技术主要依赖文本向量化进行语义相似度检索，这种方式直接割裂设备组件之间的物理与逻辑拓扑依赖，导致检索到的碎片化知识在输入给大模型后，大模型易产生“张冠李戴”的幻觉，不仅误报率高，且给出的排障步骤往往前后矛盾，不能解决用户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现有排障模型泛化能力弱，难以应对跨机型/跨材料的动态机电耦合场景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前的排障AI模型大多基于静态维修手册和单一特定机型的历史语料进行微调。然而，3D打印机新型号快速发展，同时其运行状态动态变化，不同的机器老化程度、不同的温湿度环境以及不同耗材特性耦合在一起时，故障特征千变万化。缺乏动态图谱推理能力的AI模型，无法理解“新场景下的实体拓扑变化”，导致其泛化能力差，缺乏跨设备、跨场景的复用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AI排障决策缺乏可解释性，工程师与用户难以建立信任（“黑盒”痛点）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精密制造与重型设备维保领域，故障排查决策必须具备绝对的确定性与可追溯性。传统深度学习及大语言模型具有“黑盒”特征，即便给出了“更换挤出机齿轮”等具体指令，也难以提供严密的逻辑支撑。这种解释性的缺失，使得前端用户与后端工程师对AI建议心存疑虑，成为AI技术在工业级排障场景深度落地的核心瓶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现存图知识库架构遭遇检索延迟瓶颈，无法满足毫秒级实时决策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GraphRAG是解决逻辑推理问题的主要途径，但现有的技术实现极为臃肿和耗时。其标准流程需要先在通用图数据库（如Neo4j）中进行多跳（Multi-hop）遍历，提取出庞大的相关子图后再进行Prompt组装与大模型生成。由于现有通用图数据库在底层存储上存在严重的指针追逐（Pointer Chasing）问题，导致图检索耗时极高。对于需要实时交互、甚至需要立即停机止损的3D打印排障场景而言，动辄数秒甚至数十秒的推理响应延迟难以满足用户要求。</w:t>
      </w: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三、场景示范需求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推动AI算法在3D打印机复杂硬件排障场景的应用，本项目聚焦攻克底层毫秒级实时图数据库的“卡脖子”难题，实现3D打印复杂排障GraphRAG（图检索增强生成）核心算法与中间件和辅助决策系统，能精准可靠指导用户或者售后人员完整打印故障的快速高效排除。旨在达到以下场景功能与创新示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自研底层毫秒级图数据库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存储层重新构建适合毫秒级图计算的引擎，彻底摒弃传统关系型图存储。创新实现将图的“边（Edge）”以连续内存方式存储，支持内存-磁盘冷热数据换入换出，支持MPP（大规模并行处理）架构。实现存储层O(1)时间复杂度的顶点和边访问，将Cache Missing（缓存未命中）降至最低，支撑百万边/秒的极速遍历，为上层GraphRAG提供实时、毫秒级的硬件拓扑状态上下文。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研发基于3D打印机电逻辑的GraphRAG推理中间件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构建针对复杂排障的动态知识图谱与GraphRAG智能体架构。当用户输入故障现象或设备抛出异常码时，协同底层图数据库瞬间完成多</w:t>
      </w:r>
      <w:r>
        <w:rPr>
          <w:rFonts w:hint="eastAsia" w:ascii="仿宋_GB2312" w:hAnsi="仿宋_GB2312" w:eastAsia="仿宋_GB2312" w:cs="仿宋_GB2312"/>
          <w:sz w:val="32"/>
          <w:szCs w:val="32"/>
          <w:lang w:eastAsia="zh-CN"/>
        </w:rPr>
        <w:t>条</w:t>
      </w:r>
      <w:r>
        <w:rPr>
          <w:rFonts w:hint="eastAsia" w:ascii="仿宋_GB2312" w:hAnsi="仿宋_GB2312" w:eastAsia="仿宋_GB2312" w:cs="仿宋_GB2312"/>
          <w:sz w:val="32"/>
          <w:szCs w:val="32"/>
        </w:rPr>
        <w:t>关键逻辑路径的检索；随后由GraphRAG算法将该“精准子图逻辑”作为强约束上下文注入大语言模型（LLM），有效规避AI幻觉，生成精准、流畅、贴合真实物理逻辑的排障步骤。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达成“高确判率、全可解释、超低延迟”的场景示范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szCs w:val="32"/>
          <w14:ligatures w14:val="none"/>
        </w:rPr>
      </w:pPr>
      <w:r>
        <w:rPr>
          <w:rFonts w:hint="eastAsia" w:ascii="仿宋_GB2312" w:hAnsi="仿宋_GB2312" w:eastAsia="仿宋_GB2312" w:cs="仿宋_GB2312"/>
          <w:sz w:val="32"/>
          <w:szCs w:val="32"/>
        </w:rPr>
        <w:t>通过底层存储结构与上层AI算法的深度协同，将3D打印机复杂故障诊断的确判率提升至90%以上；实现AI推理结果100%具备可解释性（即每一步结论都有明确的图逻辑支撑节点追踪）；实现端到端的排障决策响应时间（从报错到输出带有图逻辑推理的AI报告）控制在秒级范围，显著提升消费者体验与智能制造效率，打造南山区“AI+精密制造”的标杆示范应用。</w:t>
      </w:r>
    </w:p>
    <w:p>
      <w:pPr>
        <w:pStyle w:val="2"/>
        <w:keepNext w:val="0"/>
        <w:keepLines w:val="0"/>
        <w:pageBreakBefore w:val="0"/>
        <w:kinsoku/>
        <w:overflowPunct/>
        <w:topLinePunct w:val="0"/>
        <w:autoSpaceDE/>
        <w:autoSpaceDN/>
        <w:bidi w:val="0"/>
        <w:adjustRightInd/>
        <w:spacing w:beforeAutospacing="0" w:afterAutospacing="0" w:line="560" w:lineRule="exact"/>
        <w:textAlignment w:val="auto"/>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lang w:val="en-US" w:eastAsia="zh-CN"/>
        </w:rPr>
        <w:br w:type="page"/>
      </w:r>
      <w:bookmarkStart w:id="17" w:name="_Toc1063548727"/>
      <w:r>
        <w:rPr>
          <w:rFonts w:hint="eastAsia" w:ascii="方正小标宋简体" w:hAnsi="方正小标宋简体" w:cs="方正小标宋简体"/>
          <w:lang w:val="en-US" w:eastAsia="zh-CN"/>
        </w:rPr>
        <w:t>9</w:t>
      </w:r>
      <w:r>
        <w:rPr>
          <w:rFonts w:hint="eastAsia" w:ascii="方正小标宋简体" w:hAnsi="方正小标宋简体" w:eastAsia="方正小标宋简体" w:cs="方正小标宋简体"/>
        </w:rPr>
        <w:t>基于API统一网关的AI服务智能化管理</w:t>
      </w:r>
      <w:bookmarkEnd w:id="17"/>
    </w:p>
    <w:p>
      <w:pPr>
        <w:pStyle w:val="2"/>
        <w:keepNext w:val="0"/>
        <w:keepLines w:val="0"/>
        <w:pageBreakBefore w:val="0"/>
        <w:kinsoku/>
        <w:overflowPunct/>
        <w:topLinePunct w:val="0"/>
        <w:autoSpaceDE/>
        <w:autoSpaceDN/>
        <w:bidi w:val="0"/>
        <w:adjustRightInd/>
        <w:spacing w:beforeAutospacing="0" w:afterAutospacing="0" w:line="560" w:lineRule="exact"/>
        <w:textAlignment w:val="auto"/>
        <w:rPr>
          <w:rFonts w:hint="eastAsia" w:ascii="方正小标宋简体" w:hAnsi="方正小标宋简体" w:eastAsia="方正小标宋简体" w:cs="方正小标宋简体"/>
        </w:rPr>
      </w:pPr>
      <w:bookmarkStart w:id="18" w:name="_Toc1642126309"/>
      <w:bookmarkStart w:id="19" w:name="_Toc1028359673"/>
      <w:r>
        <w:rPr>
          <w:rFonts w:hint="eastAsia" w:ascii="方正小标宋简体" w:hAnsi="方正小标宋简体" w:eastAsia="方正小标宋简体" w:cs="方正小标宋简体"/>
        </w:rPr>
        <w:t>场景</w:t>
      </w:r>
      <w:bookmarkEnd w:id="18"/>
      <w:bookmarkEnd w:id="19"/>
    </w:p>
    <w:p>
      <w:pPr>
        <w:keepNext w:val="0"/>
        <w:keepLines w:val="0"/>
        <w:pageBreakBefore w:val="0"/>
        <w:kinsoku/>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val="0"/>
          <w:sz w:val="44"/>
          <w:szCs w:val="44"/>
        </w:rPr>
      </w:pP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一、场景现状描述</w:t>
      </w:r>
    </w:p>
    <w:p>
      <w:pPr>
        <w:keepNext w:val="0"/>
        <w:keepLines w:val="0"/>
        <w:pageBreakBefore w:val="0"/>
        <w:kinsoku/>
        <w:overflowPunct/>
        <w:topLinePunct w:val="0"/>
        <w:autoSpaceDE/>
        <w:autoSpaceDN/>
        <w:bidi w:val="0"/>
        <w:adjustRightInd/>
        <w:snapToGrid/>
        <w:spacing w:beforeAutospacing="0" w:afterAutospacing="0" w:line="560" w:lineRule="exact"/>
        <w:ind w:firstLine="646" w:firstLineChars="202"/>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当前企业正全面推进智能化转型，大语言模型（LLM）已成为智能客服、内容生成、智能问答、代码辅助、数据分析等核心业务场景的核心技术支撑。企业已接入Azure OpenAI、Google Gemini、通义千问、智谱AI、Moonshot、文心一言、讯飞星火、百川智能、MiniMax、DeepSeek等多家国内外主流AI大模型服务，各业务团队采用分散式模式独立对接不同AI供应商API，初步实现AI能力在业务端的落地应用。</w:t>
      </w:r>
    </w:p>
    <w:p>
      <w:pPr>
        <w:keepNext w:val="0"/>
        <w:keepLines w:val="0"/>
        <w:pageBreakBefore w:val="0"/>
        <w:kinsoku/>
        <w:overflowPunct/>
        <w:topLinePunct w:val="0"/>
        <w:autoSpaceDE/>
        <w:autoSpaceDN/>
        <w:bidi w:val="0"/>
        <w:adjustRightInd/>
        <w:snapToGrid/>
        <w:spacing w:beforeAutospacing="0" w:afterAutospacing="0" w:line="560" w:lineRule="exact"/>
        <w:ind w:firstLine="646" w:firstLineChars="202"/>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随着AI服务接入规模持续扩大，日均调用量已突破千万级，企业尚未建立统一的AI服务技术标准与管理规范，分散接入模式已无法满足企业级超大规模、高并发、高可用的AI服务治理需求，亟需通过AI-API统一网关平台实现AI服务的集中管控与高效调度。</w:t>
      </w:r>
    </w:p>
    <w:p>
      <w:pPr>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现阶段的接入状态呈现以下特征：</w:t>
      </w:r>
    </w:p>
    <w:p>
      <w:pPr>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接口异构化：各业务线代码库中包含针对不同供应商的定制化SDK与适配逻辑，接口协议、请求格式、错误处理机制各不相同，导致接入成本高昂且维护困难。</w:t>
      </w:r>
    </w:p>
    <w:p>
      <w:pPr>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凭证离散化：API Key由各项目组独立申请、保管和充值，缺乏企业级统一视图与权限管控，存在严重的安全隐患与资源浪费。</w:t>
      </w:r>
    </w:p>
    <w:p>
      <w:pPr>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eastAsia"/>
          <w:b w:val="0"/>
          <w:bCs w:val="0"/>
          <w:sz w:val="32"/>
          <w:szCs w:val="32"/>
        </w:rPr>
      </w:pPr>
      <w:r>
        <w:rPr>
          <w:rFonts w:hint="eastAsia" w:ascii="仿宋_GB2312" w:hAnsi="仿宋_GB2312" w:eastAsia="仿宋_GB2312" w:cs="仿宋_GB2312"/>
          <w:b w:val="0"/>
          <w:bCs w:val="0"/>
          <w:sz w:val="32"/>
          <w:szCs w:val="32"/>
        </w:rPr>
        <w:t>调用黑盒化：缺少对各业务线Token消耗、延迟与错误率的跨供应商统一监控，难以进行成本优化与SLA管理，无法支撑精细化运营决策。</w:t>
      </w: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二、场景困境</w:t>
      </w:r>
    </w:p>
    <w:p>
      <w:pPr>
        <w:keepNext w:val="0"/>
        <w:keepLines w:val="0"/>
        <w:pageBreakBefore w:val="0"/>
        <w:kinsoku/>
        <w:overflowPunct/>
        <w:topLinePunct w:val="0"/>
        <w:autoSpaceDE/>
        <w:autoSpaceDN/>
        <w:bidi w:val="0"/>
        <w:adjustRightInd/>
        <w:snapToGrid/>
        <w:spacing w:beforeAutospacing="0" w:afterAutospacing="0" w:line="560" w:lineRule="exact"/>
        <w:ind w:firstLine="646" w:firstLineChars="202"/>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在由分散试点转向企业级超大规模应用的过程中，现有的接入模式暴露出难以克服的管理盲区与技术短板，具体困境归纳如下：</w:t>
      </w:r>
    </w:p>
    <w:p>
      <w:pPr>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性能瓶颈困境：现有网关架构为单体部署，无法支撑百万级QPS峰值流量，在业务高峰时段频繁出现请求堆积、响应超时甚至服务雪崩。</w:t>
      </w:r>
    </w:p>
    <w:p>
      <w:pPr>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高可用短板：缺乏两地三中心级别的容灾与自动故障转移机制，单一数据中心或单一路由故障即导致业务中断，无法满足核心业务7×24小时不间断运行要求。</w:t>
      </w:r>
    </w:p>
    <w:p>
      <w:pPr>
        <w:keepNext w:val="0"/>
        <w:keepLines w:val="0"/>
        <w:pageBreakBefore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扩展性受限：新增模型供应商或自研模型需要业务方修改代码并重新发布，接入周期长、风险高，无法快速响应市场变化与技术演进。</w:t>
      </w:r>
    </w:p>
    <w:p>
      <w:pPr>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成本失控：Token消耗数据分散在各供应商后台，缺乏统一的计量、统计与分账能力，导致AI调用成本呈失控态势，预算管理形同虚设。</w:t>
      </w:r>
    </w:p>
    <w:p>
      <w:pPr>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安全合规风险：全链路调用日志不完整，权限审计粒度粗，无法满足等保三级及数据安全法合规要求，存在严重的数据泄露与合规风险。</w:t>
      </w: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三、场景示范需求</w:t>
      </w:r>
    </w:p>
    <w:p>
      <w:pPr>
        <w:keepNext w:val="0"/>
        <w:keepLines w:val="0"/>
        <w:pageBreakBefore w:val="0"/>
        <w:kinsoku/>
        <w:overflowPunct/>
        <w:topLinePunct w:val="0"/>
        <w:autoSpaceDE/>
        <w:autoSpaceDN/>
        <w:bidi w:val="0"/>
        <w:adjustRightInd/>
        <w:snapToGrid/>
        <w:spacing w:beforeAutospacing="0" w:afterAutospacing="0" w:line="560" w:lineRule="exact"/>
        <w:ind w:firstLine="646" w:firstLineChars="202"/>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期望通过本项目的实施，解决上述AI服务接入与管理难题，满足企业级AI服务治理需求。围绕统一接入、智能路由、成本管控、安全审计等基础方向进行建设，重点场景如下：</w:t>
      </w:r>
    </w:p>
    <w:p>
      <w:pPr>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1.统一接入与协议转换</w:t>
      </w:r>
    </w:p>
    <w:p>
      <w:pPr>
        <w:keepNext w:val="0"/>
        <w:keepLines w:val="0"/>
        <w:pageBreakBefore w:val="0"/>
        <w:kinsoku/>
        <w:overflowPunct/>
        <w:topLinePunct w:val="0"/>
        <w:autoSpaceDE/>
        <w:autoSpaceDN/>
        <w:bidi w:val="0"/>
        <w:adjustRightInd/>
        <w:snapToGrid/>
        <w:spacing w:beforeAutospacing="0" w:afterAutospacing="0" w:line="560" w:lineRule="exact"/>
        <w:ind w:firstLine="646" w:firstLineChars="202"/>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封装主流第三方AI供应商API，提供统一RESTful/gRPC/GraphQL接口，完成协议转换、请求/响应标准化，实现接入一次，处处可用。向下屏蔽多厂商差异，支持SSE/WebSocket流式数据透传，支持批量请求合并与响应拆分。</w:t>
      </w:r>
    </w:p>
    <w:p>
      <w:pPr>
        <w:keepNext w:val="0"/>
        <w:keepLines w:val="0"/>
        <w:pageBreakBefore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具体指标：</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0" w:type="dxa"/>
          <w:left w:w="120" w:type="dxa"/>
          <w:bottom w:w="80" w:type="dxa"/>
          <w:right w:w="120" w:type="dxa"/>
        </w:tblCellMar>
      </w:tblPr>
      <w:tblGrid>
        <w:gridCol w:w="2922"/>
        <w:gridCol w:w="5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D5E8F0"/>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指标项</w:t>
            </w:r>
          </w:p>
        </w:tc>
        <w:tc>
          <w:tcPr>
            <w:tcW w:w="6240" w:type="dxa"/>
            <w:tcBorders>
              <w:top w:val="single" w:color="000000" w:sz="0" w:space="0"/>
              <w:left w:val="single" w:color="000000" w:sz="0" w:space="0"/>
              <w:bottom w:val="single" w:color="000000" w:sz="0" w:space="0"/>
              <w:right w:val="single" w:color="000000" w:sz="0" w:space="0"/>
            </w:tcBorders>
            <w:shd w:val="clear" w:color="auto" w:fill="D5E8F0"/>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协议兼容性</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支持RESTful、gRPC、GraphQL三协议接入；</w:t>
            </w:r>
          </w:p>
          <w:p>
            <w:pPr>
              <w:keepNext w:val="0"/>
              <w:keepLines w:val="0"/>
              <w:pageBreakBefore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支持OpenAI、Anthropic、Google及国内主流厂商的标准Chat Completion、Embedding、Fine-tuning格式转换；</w:t>
            </w:r>
          </w:p>
          <w:p>
            <w:pPr>
              <w:keepNext w:val="0"/>
              <w:keepLines w:val="0"/>
              <w:pageBreakBefore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支持自定义协议扩展插件。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模型兼容数量</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兼容主流大模型厂商API≥20家（含≥10家商业模型供应商及≥3种开源自部署模型，如Llama、Qwen、ChatGLM系列），支持私有化部署模型无缝接入。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适配成功率</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统一接口适配成功率≥99.9%，失败请求自动重试并切换备用通道。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流式响应性能</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SSE/WebSocket流式数据透传首字延迟增加不超过10ms，端到端P99延迟&lt;100ms。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批量处理能力</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支持单请求批量合并≥100个子请求，批量响应拆分准确率100%。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接入效率提升</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业务接入开发效率提升≥90%，新业务接入周期从2周缩短至1天。</w:t>
            </w:r>
          </w:p>
        </w:tc>
      </w:tr>
    </w:tbl>
    <w:p>
      <w:pPr>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2.智能路由与负载均衡</w:t>
      </w:r>
    </w:p>
    <w:p>
      <w:pPr>
        <w:keepNext w:val="0"/>
        <w:keepLines w:val="0"/>
        <w:pageBreakBefore w:val="0"/>
        <w:kinsoku/>
        <w:overflowPunct/>
        <w:topLinePunct w:val="0"/>
        <w:autoSpaceDE/>
        <w:autoSpaceDN/>
        <w:bidi w:val="0"/>
        <w:adjustRightInd/>
        <w:snapToGrid/>
        <w:spacing w:beforeAutospacing="0" w:afterAutospacing="0" w:line="560" w:lineRule="exact"/>
        <w:ind w:firstLine="646" w:firstLineChars="202"/>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统一管理API Key，支持基于模型性能、成本、可用性、业务优先级、合规要求等多维度策略的智能调度，实现动态路由、负载均衡、故障转移与流量分发。支持A/B测试、灰度发布、蓝绿部署等高级流量管理场景。</w:t>
      </w:r>
    </w:p>
    <w:p>
      <w:pPr>
        <w:keepNext w:val="0"/>
        <w:keepLines w:val="0"/>
        <w:pageBreakBefore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具体指标：</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0" w:type="dxa"/>
          <w:left w:w="120" w:type="dxa"/>
          <w:bottom w:w="80" w:type="dxa"/>
          <w:right w:w="120" w:type="dxa"/>
        </w:tblCellMar>
      </w:tblPr>
      <w:tblGrid>
        <w:gridCol w:w="2932"/>
        <w:gridCol w:w="5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D5E8F0"/>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指标项</w:t>
            </w:r>
          </w:p>
        </w:tc>
        <w:tc>
          <w:tcPr>
            <w:tcW w:w="6240" w:type="dxa"/>
            <w:tcBorders>
              <w:top w:val="single" w:color="000000" w:sz="0" w:space="0"/>
              <w:left w:val="single" w:color="000000" w:sz="0" w:space="0"/>
              <w:bottom w:val="single" w:color="000000" w:sz="0" w:space="0"/>
              <w:right w:val="single" w:color="000000" w:sz="0" w:space="0"/>
            </w:tcBorders>
            <w:shd w:val="clear" w:color="auto" w:fill="D5E8F0"/>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路由策略配置</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路由策略配置响应时间≤100ms；</w:t>
            </w:r>
          </w:p>
          <w:p>
            <w:pPr>
              <w:keepNext w:val="0"/>
              <w:keepLines w:val="0"/>
              <w:pageBreakBefore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支持多维度路由策略≥15种（基于模型优先级、业务优先级、Token成本权重、响应延迟、内容安全等级、数据驻留合规要求等）；</w:t>
            </w:r>
          </w:p>
          <w:p>
            <w:pPr>
              <w:keepNext w:val="0"/>
              <w:keepLines w:val="0"/>
              <w:pageBreakBefore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支持基于LLM意图识别的智能动态路由。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负载均衡准确率</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负载均衡调度准确率≥99.9%，支持加权轮询、最小延迟、最小成本、一致性哈希、自适应负载等算法。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故障切换时效</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监测到主模型5xx错误率超过1%或P99延迟超过5s时，1秒内自动切换至备用模型集群，切换过程对业务方透明无感知。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熔断限流精度</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支持按调用方ID（AppID）、用户ID、IP地址、模型类型、业务场景等多维度QPS限制与Token消耗总量限制，误差率≤0.01%，支持秒级滑动窗口统计。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灰度发布能力</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支持基于流量百分比、用户属性、请求特征的多维度灰度发布，灰度切换延迟&lt;500ms。</w:t>
            </w:r>
          </w:p>
        </w:tc>
      </w:tr>
    </w:tbl>
    <w:p>
      <w:pPr>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3.成本控制</w:t>
      </w:r>
    </w:p>
    <w:p>
      <w:pPr>
        <w:keepNext w:val="0"/>
        <w:keepLines w:val="0"/>
        <w:pageBreakBefore w:val="0"/>
        <w:kinsoku/>
        <w:overflowPunct/>
        <w:topLinePunct w:val="0"/>
        <w:autoSpaceDE/>
        <w:autoSpaceDN/>
        <w:bidi w:val="0"/>
        <w:adjustRightInd/>
        <w:snapToGrid/>
        <w:spacing w:beforeAutospacing="0" w:afterAutospacing="0" w:line="560" w:lineRule="exact"/>
        <w:ind w:firstLine="646" w:firstLineChars="202"/>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自动计算输入/输出Token数量，按部门/项目/用户/应用标识统计消耗，生成成本报表、对接财务系统，支持预算告警与分账管理，解决AI调用糊涂账问题。支持实时成本预测与智能降本建议。</w:t>
      </w:r>
    </w:p>
    <w:p>
      <w:pPr>
        <w:keepNext w:val="0"/>
        <w:keepLines w:val="0"/>
        <w:pageBreakBefore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具体指标：</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0" w:type="dxa"/>
          <w:left w:w="120" w:type="dxa"/>
          <w:bottom w:w="80" w:type="dxa"/>
          <w:right w:w="120" w:type="dxa"/>
        </w:tblCellMar>
      </w:tblPr>
      <w:tblGrid>
        <w:gridCol w:w="2963"/>
        <w:gridCol w:w="5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D5E8F0"/>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指标项</w:t>
            </w:r>
          </w:p>
        </w:tc>
        <w:tc>
          <w:tcPr>
            <w:tcW w:w="6240" w:type="dxa"/>
            <w:tcBorders>
              <w:top w:val="single" w:color="000000" w:sz="0" w:space="0"/>
              <w:left w:val="single" w:color="000000" w:sz="0" w:space="0"/>
              <w:bottom w:val="single" w:color="000000" w:sz="0" w:space="0"/>
              <w:right w:val="single" w:color="000000" w:sz="0" w:space="0"/>
            </w:tcBorders>
            <w:shd w:val="clear" w:color="auto" w:fill="D5E8F0"/>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Token计量精度</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基于各模型官方Tokenizer算法实时计算输入/输出Token数量，计费精度误差≤0.01%，支持中英文混合文本、多模态内容（图像、音频）的Token等效计量。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多租户分账能力</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支持按≥200个部门/项目/用户组独立分账，基于请求头的多维标签识别，自动生成按小时/日/周/月/季度的成本分账报表，支持自定义分账维度。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成本报表时效</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成本报表生成时间≤30秒，支持实时成本看板与秒级消耗趋势监控。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预算告警响应</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预算告警响应延迟≤10秒，支持自定义多级成本阈值（如单项目日/周/月消耗超限告警），触发后自动降级至低成本模型或限流，支持Webhook、短信、邮件多渠道通知。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成本优化建议</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基于历史消耗数据与模型性能分析，自动生成成本优化建议（如模型替换、批量处理、缓存策略），预期月度降本空间≥20%。</w:t>
            </w:r>
          </w:p>
        </w:tc>
      </w:tr>
    </w:tbl>
    <w:p>
      <w:pPr>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4.模型降级与高可用保障</w:t>
      </w:r>
    </w:p>
    <w:p>
      <w:pPr>
        <w:keepNext w:val="0"/>
        <w:keepLines w:val="0"/>
        <w:pageBreakBefore w:val="0"/>
        <w:kinsoku/>
        <w:overflowPunct/>
        <w:topLinePunct w:val="0"/>
        <w:autoSpaceDE/>
        <w:autoSpaceDN/>
        <w:bidi w:val="0"/>
        <w:adjustRightInd/>
        <w:snapToGrid/>
        <w:spacing w:beforeAutospacing="0" w:afterAutospacing="0" w:line="560" w:lineRule="exact"/>
        <w:ind w:firstLine="646" w:firstLineChars="202"/>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实时监控各AI服务健康状态（HTTP状态码、响应延迟、内容质量、Token产出速率等），故障时自动降级切换备用模型，服务恢复后灰度切回，全流程切换行为归档留存。支持多级降级策略与自定义降级链路。</w:t>
      </w:r>
    </w:p>
    <w:p>
      <w:pPr>
        <w:keepNext w:val="0"/>
        <w:keepLines w:val="0"/>
        <w:pageBreakBefore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具体指标：</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0" w:type="dxa"/>
          <w:left w:w="120" w:type="dxa"/>
          <w:bottom w:w="80" w:type="dxa"/>
          <w:right w:w="120" w:type="dxa"/>
        </w:tblCellMar>
      </w:tblPr>
      <w:tblGrid>
        <w:gridCol w:w="2948"/>
        <w:gridCol w:w="5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D5E8F0"/>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指标项</w:t>
            </w:r>
          </w:p>
        </w:tc>
        <w:tc>
          <w:tcPr>
            <w:tcW w:w="6240" w:type="dxa"/>
            <w:tcBorders>
              <w:top w:val="single" w:color="000000" w:sz="0" w:space="0"/>
              <w:left w:val="single" w:color="000000" w:sz="0" w:space="0"/>
              <w:bottom w:val="single" w:color="000000" w:sz="0" w:space="0"/>
              <w:right w:val="single" w:color="000000" w:sz="0" w:space="0"/>
            </w:tcBorders>
            <w:shd w:val="clear" w:color="auto" w:fill="D5E8F0"/>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健康检测频率</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服务健康状态检测频率≤1秒/次，支持主动探活（HTTP Ping、TCP Ping、深度业务探针）与被动感知（异常响应码、超时检测）双模式。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故障切换时间</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故障自动切换时间≤500ms，支持多级降级（同厂商不同模型→不同厂商同类模型→本地轻量模型→缓存兜底）。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平台可用性</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平台整体服务可用性≥99.9%（全年停机时间&lt;5分钟），核心业务链路可用性≥99.9%。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日志留存</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切换日志留存时间≥3年，所有切换行为记录归档用于事后复盘与合规审计，支持结构化检索与可视化分析。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灰度恢复能力</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故障恢复后支持按1%-100%渐进式灰度切回，切回过程支持实时效果监控与一键回滚。</w:t>
            </w:r>
          </w:p>
        </w:tc>
      </w:tr>
    </w:tbl>
    <w:p>
      <w:pPr>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5.熔断限流与安全审计</w:t>
      </w:r>
    </w:p>
    <w:p>
      <w:pPr>
        <w:keepNext w:val="0"/>
        <w:keepLines w:val="0"/>
        <w:pageBreakBefore w:val="0"/>
        <w:kinsoku/>
        <w:overflowPunct/>
        <w:topLinePunct w:val="0"/>
        <w:autoSpaceDE/>
        <w:autoSpaceDN/>
        <w:bidi w:val="0"/>
        <w:adjustRightInd/>
        <w:snapToGrid/>
        <w:spacing w:beforeAutospacing="0" w:afterAutospacing="0" w:line="560" w:lineRule="exact"/>
        <w:ind w:firstLine="486" w:firstLineChars="152"/>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支持多模型熔断、限流、降级等稳定性保障机制，按接入团队设置费用配额与调用阈值；提供全链路调用日志、权限审计与异常监控，实现调用链路的透明化与合规化。满足等保三级、数据安全法、个人信息保护法合规要求。</w:t>
      </w:r>
    </w:p>
    <w:p>
      <w:pPr>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具体指标：</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0" w:type="dxa"/>
          <w:left w:w="120" w:type="dxa"/>
          <w:bottom w:w="80" w:type="dxa"/>
          <w:right w:w="120" w:type="dxa"/>
        </w:tblCellMar>
      </w:tblPr>
      <w:tblGrid>
        <w:gridCol w:w="2917"/>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D5E8F0"/>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指标项</w:t>
            </w:r>
          </w:p>
        </w:tc>
        <w:tc>
          <w:tcPr>
            <w:tcW w:w="6240" w:type="dxa"/>
            <w:tcBorders>
              <w:top w:val="single" w:color="000000" w:sz="0" w:space="0"/>
              <w:left w:val="single" w:color="000000" w:sz="0" w:space="0"/>
              <w:bottom w:val="single" w:color="000000" w:sz="0" w:space="0"/>
              <w:right w:val="single" w:color="000000" w:sz="0" w:space="0"/>
            </w:tcBorders>
            <w:shd w:val="clear" w:color="auto" w:fill="D5E8F0"/>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熔断规则配置</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支持自定义熔断规则≥30种，支持基于错误率、延迟、异常码、自定义业务指标的复合熔断策略。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限流精度</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限流精度误差≤0.01%，支持分布式令牌桶、漏桶、滑动窗口、自适应限流等多种算法。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审计日志完整性</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调用审计日志完整率100%，提供不可篡改的区块链存证API调用审计日志，满足等保三级及数据安全法审计要求。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日志检索性能</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日志检索响应时间≤1秒，支持PB级日志存储与秒级全文检索；对请求体（Prompt）与响应体（Completion）进行自动敏感信息识别与脱敏存储。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监控维度</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提供包括QPS、错误率、Token流速、P99/P999延迟、连接数、队列深度、资源利用率在内的多维度实时监控大盘，监控数据采集间隔≤1秒。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权限管控</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支持RBAC+ABAC细粒度权限管控，支持基于模型类型、业务场景、数据敏感度、用户属性的动态授权，权限变更实时生效（&lt;100ms）。</w:t>
            </w:r>
          </w:p>
        </w:tc>
      </w:tr>
    </w:tbl>
    <w:p>
      <w:pPr>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6.插件化扩展与持续集成</w:t>
      </w:r>
    </w:p>
    <w:p>
      <w:pPr>
        <w:keepNext w:val="0"/>
        <w:keepLines w:val="0"/>
        <w:pageBreakBefore w:val="0"/>
        <w:kinsoku/>
        <w:overflowPunct/>
        <w:topLinePunct w:val="0"/>
        <w:autoSpaceDE/>
        <w:autoSpaceDN/>
        <w:bidi w:val="0"/>
        <w:adjustRightInd/>
        <w:snapToGrid/>
        <w:spacing w:beforeAutospacing="0" w:afterAutospacing="0" w:line="560" w:lineRule="exact"/>
        <w:ind w:firstLine="646" w:firstLineChars="202"/>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采用插件化微内核架构，兼容未来新增模型供应商与自研模型，实现插件化热插拔接入。新供应商或模型可通过标准化接口快速接入，无需业务方修改代码，支持CI/CD持续集成部署与GitOps工作流。</w:t>
      </w:r>
    </w:p>
    <w:p>
      <w:pPr>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具体指标：</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0" w:type="dxa"/>
          <w:left w:w="120" w:type="dxa"/>
          <w:bottom w:w="80" w:type="dxa"/>
          <w:right w:w="120" w:type="dxa"/>
        </w:tblCellMar>
      </w:tblPr>
      <w:tblGrid>
        <w:gridCol w:w="2955"/>
        <w:gridCol w:w="5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D5E8F0"/>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指标项</w:t>
            </w:r>
          </w:p>
        </w:tc>
        <w:tc>
          <w:tcPr>
            <w:tcW w:w="6240" w:type="dxa"/>
            <w:tcBorders>
              <w:top w:val="single" w:color="000000" w:sz="0" w:space="0"/>
              <w:left w:val="single" w:color="000000" w:sz="0" w:space="0"/>
              <w:bottom w:val="single" w:color="000000" w:sz="0" w:space="0"/>
              <w:right w:val="single" w:color="000000" w:sz="0" w:space="0"/>
            </w:tcBorders>
            <w:shd w:val="clear" w:color="auto" w:fill="D5E8F0"/>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扩展时延</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新增模型接入时长≤4小时（含开发、测试、灰度、上线全流程），标准模型插件开发时长≤1小时。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插件兼容率</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第三方插件兼容率≥99.9%，支持WASM、Lua、Go等多种插件运行时。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CI/CD支持</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支持自动化CI/CD部署流程，集成GitOps、蓝绿发布、金丝雀发布、自动回滚，发布失败自动回滚时间&lt;30秒。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热加载能力</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路由策略、模型权重、限流规则、熔断阈值等配置变更支持热加载，生效延迟&lt;100ms，无需重启网关服务即可生效。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开放标准</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提供标准化OpenAPI 3.0规范与SDK（Java、Python、Go、Node.js），支持Swagger UI在线调试与自动化代码生成。</w:t>
            </w:r>
          </w:p>
        </w:tc>
      </w:tr>
    </w:tbl>
    <w:p>
      <w:pPr>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7.高可用高性能高并发部署</w:t>
      </w:r>
    </w:p>
    <w:p>
      <w:pPr>
        <w:keepNext w:val="0"/>
        <w:keepLines w:val="0"/>
        <w:pageBreakBefore w:val="0"/>
        <w:kinsoku/>
        <w:overflowPunct/>
        <w:topLinePunct w:val="0"/>
        <w:autoSpaceDE/>
        <w:autoSpaceDN/>
        <w:bidi w:val="0"/>
        <w:adjustRightInd/>
        <w:snapToGrid/>
        <w:spacing w:beforeAutospacing="0" w:afterAutospacing="0" w:line="560" w:lineRule="exact"/>
        <w:ind w:firstLine="646" w:firstLineChars="202"/>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平台基于容器化无状态部署架构与两地三中心灾备体系，通过Kubernetes容器编排与Service Mesh服务网格技术，构建跨地域、跨可用区的高性能网关集群。网关计算层完全无状态化，状态数据外置至分布式存储；采用TiDB/CockroachDB分布式数据库、Redis Cluster缓存集群及消息队列；基于DPDK/eBPF内核优化与多级缓存策略，实现自动弹性伸缩。</w:t>
      </w:r>
    </w:p>
    <w:p>
      <w:pPr>
        <w:keepNext w:val="0"/>
        <w:keepLines w:val="0"/>
        <w:pageBreakBefore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具体指标：</w:t>
      </w:r>
    </w:p>
    <w:p>
      <w:pPr>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容器化部署：网关核心组件Docker镜像封装，Kubernetes编排调度，完全无状态化设计，状态数据外置至Redis Cluster与分布式数据库，支持跨平台统一部署。</w:t>
      </w:r>
    </w:p>
    <w:p>
      <w:pPr>
        <w:pStyle w:val="15"/>
        <w:keepNext w:val="0"/>
        <w:keepLines w:val="0"/>
        <w:pageBreakBefore w:val="0"/>
        <w:kinsoku/>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两地三中心灾备：生产中心（同域A）承载全量业务，同城灾备中心（同域B）实时同步（RPO=0，RTO≤20分钟），异地灾备中心（异地）异步复制（RPO&lt;5秒，RTO≤2小时），GSLB全局负载均衡智能流量调度。</w:t>
      </w:r>
    </w:p>
    <w:p>
      <w:pPr>
        <w:pStyle w:val="15"/>
        <w:keepNext w:val="0"/>
        <w:keepLines w:val="0"/>
        <w:pageBreakBefore w:val="0"/>
        <w:kinsoku/>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分布式数据架构：采用TiDB/CockroachDB分布式NewSQL数据库（Raft共识，强一致同步RPO=0），Redis Cluster双活缓存集群（命中率&gt;99.9%，故障切换≤10秒），Kafka/RocketMQ消息队列集群，数据三级分层存储（热数据0-7天、温数据7-90天、冷数据90天-3年）。</w:t>
      </w:r>
    </w:p>
    <w:p>
      <w:pPr>
        <w:pStyle w:val="15"/>
        <w:keepNext w:val="0"/>
        <w:keepLines w:val="0"/>
        <w:pageBreakBefore w:val="0"/>
        <w:widowControl/>
        <w:kinsoku/>
        <w:wordWrap w:val="0"/>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性能优化与弹性伸缩：基于DPDK/eBPF内核旁路优化，连接复用率&gt;95%，本地内存（L1）+Redis Cluster（L2）两级缓存（命中率&gt;99.9%，读取延迟&lt;1ms），支持HTTP/2/HTTP/3/QUIC/gRPC协议；通过Kubernetes HPA/VPA实现多维自动扩缩容，扩容响应&lt;15秒，缩容响应&lt;60秒。</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0" w:type="dxa"/>
          <w:left w:w="120" w:type="dxa"/>
          <w:bottom w:w="80" w:type="dxa"/>
          <w:right w:w="120" w:type="dxa"/>
        </w:tblCellMar>
      </w:tblPr>
      <w:tblGrid>
        <w:gridCol w:w="2955"/>
        <w:gridCol w:w="5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D5E8F0"/>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指标项</w:t>
            </w:r>
          </w:p>
        </w:tc>
        <w:tc>
          <w:tcPr>
            <w:tcW w:w="6240" w:type="dxa"/>
            <w:tcBorders>
              <w:top w:val="single" w:color="000000" w:sz="0" w:space="0"/>
              <w:left w:val="single" w:color="000000" w:sz="0" w:space="0"/>
              <w:bottom w:val="single" w:color="000000" w:sz="0" w:space="0"/>
              <w:right w:val="single" w:color="000000" w:sz="0" w:space="0"/>
            </w:tcBorders>
            <w:shd w:val="clear" w:color="auto" w:fill="D5E8F0"/>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峰值QPS</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平台集群峰值并发处理能力≥500万QPS，日常稳态并发≥100万QPS，具备横向扩展至1000万QPS的能力。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响应延迟</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网关层P99延迟&lt;5ms（不含上游模型处理时间），P999延迟&lt;10ms；端到端P99延迟&lt;200ms（含上游模型）。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吞吐量</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单网关实例吞吐量≥10万QPS，集群总吞吐量随节点数线性扩展，扩展效率≥95%。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连接数</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单网关节点并发长连接数≥10万，集群总并发连接数≥1000万，连接建立时间&lt;1ms。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资源利用率</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CPU利用率稳定在60%-70%区间，内存利用率&lt;80%，网络带宽利用率&lt;70%，具备充足的突发流量缓冲余量。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0" w:type="dxa"/>
            <w:left w:w="120" w:type="dxa"/>
            <w:bottom w:w="80" w:type="dxa"/>
            <w:right w:w="120" w:type="dxa"/>
          </w:tblCellMar>
        </w:tblPrEx>
        <w:tc>
          <w:tcPr>
            <w:tcW w:w="312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弹性伸缩</w:t>
            </w:r>
          </w:p>
        </w:tc>
        <w:tc>
          <w:tcPr>
            <w:tcW w:w="6240" w:type="dxa"/>
            <w:tcBorders>
              <w:top w:val="single" w:color="000000" w:sz="0" w:space="0"/>
              <w:left w:val="single" w:color="000000" w:sz="0" w:space="0"/>
              <w:bottom w:val="single" w:color="000000" w:sz="0" w:space="0"/>
              <w:right w:val="single" w:color="000000" w:sz="0" w:space="0"/>
            </w:tcBorders>
            <w:shd w:val="clear" w:color="auto" w:fill="FFFFFF"/>
            <w:vAlign w:val="center"/>
          </w:tcPr>
          <w:p>
            <w:pPr>
              <w:keepNext w:val="0"/>
              <w:keepLines w:val="0"/>
              <w:pageBreakBefore w:val="0"/>
              <w:kinsoku/>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支持秒级自动弹性伸缩，从触发扩容到新增实例承载流量&lt;15秒，缩容过程平滑无抖动。</w:t>
            </w:r>
          </w:p>
        </w:tc>
      </w:tr>
    </w:tbl>
    <w:p>
      <w:pPr>
        <w:keepNext w:val="0"/>
        <w:keepLines w:val="0"/>
        <w:pageBreakBefore w:val="0"/>
        <w:widowControl w:val="0"/>
        <w:kinsoku/>
        <w:wordWrap/>
        <w:overflowPunct/>
        <w:topLinePunct w:val="0"/>
        <w:autoSpaceDE/>
        <w:autoSpaceDN/>
        <w:bidi w:val="0"/>
        <w:adjustRightInd/>
        <w:snapToGrid/>
        <w:spacing w:beforeAutospacing="0" w:after="0" w:afterAutospacing="0" w:line="560" w:lineRule="exact"/>
        <w:textAlignment w:val="auto"/>
        <w:rPr>
          <w:rFonts w:hint="eastAsia" w:ascii="仿宋_GB2312" w:hAnsi="仿宋_GB2312" w:eastAsia="仿宋_GB2312" w:cs="仿宋_GB2312"/>
          <w:b w:val="0"/>
          <w:bCs w:val="0"/>
          <w:sz w:val="32"/>
          <w:szCs w:val="32"/>
          <w14:ligatures w14:val="none"/>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0F1115"/>
          <w:szCs w:val="32"/>
          <w:highlight w:val="none"/>
          <w:shd w:val="clear" w:color="auto" w:fill="FFFFFF"/>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val="0"/>
          <w:bCs w:val="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仿宋_GB2312" w:eastAsia="仿宋_GB2312" w:cs="仿宋_GB2312"/>
          <w:b w:val="0"/>
          <w:bCs/>
          <w:sz w:val="32"/>
          <w:szCs w:val="32"/>
          <w14:ligatures w14: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cs="仿宋_GB2312"/>
          <w:b w:val="0"/>
          <w:bCs w:val="0"/>
          <w:kern w:val="2"/>
          <w:sz w:val="32"/>
          <w:szCs w:val="32"/>
          <w:lang w:val="en-US" w:eastAsia="zh-CN" w:bidi="ar-SA"/>
        </w:rPr>
      </w:pPr>
    </w:p>
    <w:p>
      <w:pPr>
        <w:pStyle w:val="2"/>
        <w:keepNext w:val="0"/>
        <w:keepLines w:val="0"/>
        <w:pageBreakBefore w:val="0"/>
        <w:kinsoku/>
        <w:overflowPunct/>
        <w:topLinePunct w:val="0"/>
        <w:autoSpaceDE/>
        <w:autoSpaceDN/>
        <w:bidi w:val="0"/>
        <w:adjustRightInd/>
        <w:spacing w:beforeAutospacing="0" w:afterAutospacing="0" w:line="560" w:lineRule="exact"/>
        <w:textAlignment w:val="auto"/>
        <w:rPr>
          <w:rFonts w:hint="eastAsia" w:ascii="方正小标宋简体" w:hAnsi="方正小标宋简体" w:eastAsia="方正小标宋简体" w:cs="方正小标宋简体"/>
          <w:b w:val="0"/>
          <w:bCs w:val="0"/>
          <w:szCs w:val="44"/>
        </w:rPr>
      </w:pPr>
      <w:r>
        <w:rPr>
          <w:rFonts w:hint="eastAsia" w:ascii="仿宋_GB2312" w:hAnsi="仿宋_GB2312" w:cs="仿宋_GB2312"/>
          <w:b w:val="0"/>
          <w:bCs w:val="0"/>
          <w:kern w:val="2"/>
          <w:szCs w:val="32"/>
          <w:lang w:val="en-US" w:eastAsia="zh-CN" w:bidi="ar-SA"/>
        </w:rPr>
        <w:br w:type="page"/>
      </w:r>
      <w:bookmarkStart w:id="20" w:name="_Toc1984963904"/>
      <w:r>
        <w:rPr>
          <w:rFonts w:hint="eastAsia" w:ascii="方正小标宋简体" w:hAnsi="方正小标宋简体" w:cs="方正小标宋简体"/>
          <w:lang w:val="en-US" w:eastAsia="zh-CN"/>
        </w:rPr>
        <w:t xml:space="preserve">10 </w:t>
      </w:r>
      <w:r>
        <w:rPr>
          <w:rFonts w:hint="eastAsia" w:ascii="方正小标宋简体" w:hAnsi="方正小标宋简体" w:eastAsia="方正小标宋简体" w:cs="方正小标宋简体"/>
        </w:rPr>
        <w:t>DSR平台智能翻译与合规应答助手场景</w:t>
      </w:r>
      <w:bookmarkEnd w:id="20"/>
    </w:p>
    <w:p>
      <w:pPr>
        <w:pStyle w:val="3"/>
        <w:keepNext w:val="0"/>
        <w:keepLines w:val="0"/>
        <w:pageBreakBefore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方正小标宋简体" w:hAnsi="方正小标宋简体" w:eastAsia="方正小标宋简体" w:cs="方正小标宋简体"/>
          <w:b w:val="0"/>
          <w:bCs w:val="0"/>
          <w:sz w:val="44"/>
          <w:szCs w:val="44"/>
        </w:rPr>
      </w:pP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一、场景现状描述</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据主体权利行使平台（DSR平台）作为用户反馈数据隐私相关请求的统一入口，能够接收大量来自真实用户对于公司产品（含服务、平台、系统等）及其功能（尤其在数据隐私方面）的反馈，该平台一方面便于用户行使个人信息主体权利，另一方面也能有效洞察和反映用户当前的隐私期待以及最受关注的产品隐私问题，是用户反馈产品功能使用问题及建议的有力辅助渠道。</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与此同时，DSR平台还承担着跨地域、多语言、多法域的用户沟通职能。每日接收来自不同国家用户的权利行使请求、投诉建议、咨询问询及其他类型反馈。然而，当前平台并不具备多语言翻译能力，用户提交的多语言内容需由人工复制至第三方翻译软件中处理，流程繁琐、效率低下，且频繁切换工具易造成信息遗漏或处理延迟。</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此外，全球各国数据隐私相关法律法规（如GDPR、PIPL、CCPA等）对用户数据的收集、存储、处理、传输等环节均有不同规定，目前仍需人工识别问题并整理相应的回复模板。在缺乏智能辅助的情况下，难以快速判断面向特定国家用户的回复边界及合规口径，整体处理效率较低。为此，急需引入大模型及AI能力，构建智能翻译与AI回复建议能力，全面提升平台全球化能力与合规水平。</w:t>
      </w: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二、场景困境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多语言翻译能力缺失，处理效率低下：DSR后台仅支持单一语言（如中文或英文），用户以母语提交的反馈内容无法被直接理解。需手动复制文本至外部翻译软件进行转换，再返回平台继续处理。对于小语种或混合语种内容，翻译质量参差不齐，且原始格式与上下文信息难以保留，严重影响了整体处理效率。</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各国数据隐私法律法规差异大，回复内容缺乏合规建议：由于不同国家对用户数据的处理要求及用户权益存在显著差异，当前缺乏能够依据本地法规自动生成回复建议的智能化工具，仅能依赖人工逐一确认并查阅相关资料，导致处理效率低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工审核与回复工作量大：随着合规要求日益严格，每日用户反馈量持续上升。翻译、法规判断、回复起草等环节仍高度依赖人工，处理周期较长，整体效率低下。急需建立自动化辅助工具，以提升处理效率与回复质量。</w:t>
      </w:r>
    </w:p>
    <w:p>
      <w:pPr>
        <w:ind w:firstLine="640"/>
        <w:jc w:val="left"/>
        <w:rPr>
          <w:rFonts w:hint="eastAsia" w:ascii="黑体" w:hAnsi="黑体" w:eastAsia="黑体" w:cstheme="minorBidi"/>
          <w:b w:val="0"/>
          <w:bCs w:val="0"/>
          <w:sz w:val="32"/>
          <w:lang w:val="en-US" w:eastAsia="zh-CN" w:bidi="ar-SA"/>
          <w14:ligatures w14:val="none"/>
        </w:rPr>
      </w:pPr>
      <w:r>
        <w:rPr>
          <w:rFonts w:hint="eastAsia" w:ascii="黑体" w:hAnsi="黑体" w:eastAsia="黑体" w:cstheme="minorBidi"/>
          <w:b w:val="0"/>
          <w:bCs w:val="0"/>
          <w:sz w:val="32"/>
          <w:lang w:val="en-US" w:eastAsia="zh-CN" w:bidi="ar-SA"/>
          <w14:ligatures w14:val="none"/>
        </w:rPr>
        <w:t>三、场景示范需求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1.</w:t>
      </w:r>
      <w:r>
        <w:rPr>
          <w:rFonts w:hint="eastAsia" w:ascii="仿宋_GB2312" w:hAnsi="仿宋_GB2312" w:eastAsia="仿宋_GB2312" w:cs="仿宋_GB2312"/>
          <w:sz w:val="32"/>
          <w:szCs w:val="32"/>
        </w:rPr>
        <w:t>多语言智能翻译</w:t>
      </w:r>
      <w:r>
        <w:rPr>
          <w:rFonts w:hint="default" w:ascii="仿宋_GB2312" w:hAnsi="仿宋_GB2312" w:eastAsia="仿宋_GB2312" w:cs="仿宋_GB2312"/>
          <w:sz w:val="32"/>
          <w:szCs w:val="32"/>
          <w:lang w:val="en-US"/>
        </w:rPr>
        <w:t>:</w:t>
      </w:r>
      <w:r>
        <w:rPr>
          <w:rFonts w:hint="eastAsia" w:ascii="仿宋_GB2312" w:hAnsi="仿宋_GB2312" w:eastAsia="仿宋_GB2312" w:cs="仿宋_GB2312"/>
          <w:sz w:val="32"/>
          <w:szCs w:val="32"/>
        </w:rPr>
        <w:t>基于大模型能力，实现对用户提交的任意语种（包括中、英、日、韩、法、德等主流语言及各类小语种，总覆盖不少于30种语言）反馈内容的实时、高质量翻译。整体翻译准确率≥90%，专业术语及模糊表达的自动标注遗漏率＜5%，并支持人工复核；翻译响应时间＜2秒/千字符，整个翻译过程无需跳转外部工具，在平台内闭环完成，并可在PC端与各类智能移动终端上提供一致体验，保障会话连续性和翻译上下文完整。</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2.</w:t>
      </w:r>
      <w:r>
        <w:rPr>
          <w:rFonts w:hint="eastAsia" w:ascii="仿宋_GB2312" w:hAnsi="仿宋_GB2312" w:eastAsia="仿宋_GB2312" w:cs="仿宋_GB2312"/>
          <w:sz w:val="32"/>
          <w:szCs w:val="32"/>
        </w:rPr>
        <w:t>用户信息自动提取与法规识别</w:t>
      </w:r>
      <w:r>
        <w:rPr>
          <w:rFonts w:hint="default" w:ascii="仿宋_GB2312" w:hAnsi="仿宋_GB2312" w:eastAsia="仿宋_GB2312" w:cs="仿宋_GB2312"/>
          <w:sz w:val="32"/>
          <w:szCs w:val="32"/>
          <w:lang w:val="en-US"/>
        </w:rPr>
        <w:t>:</w:t>
      </w:r>
      <w:r>
        <w:rPr>
          <w:rFonts w:hint="eastAsia" w:ascii="仿宋_GB2312" w:hAnsi="仿宋_GB2312" w:eastAsia="仿宋_GB2312" w:cs="仿宋_GB2312"/>
          <w:sz w:val="32"/>
          <w:szCs w:val="32"/>
        </w:rPr>
        <w:t>基于用户填写的信息，自动识别适用的法律管辖范围（如欧盟GDPR、美国各州法律、中国PIPL、巴西LGPD等），管辖法规匹配准确率≥95%。同时，结合反馈内容中可能涉及的敏感信息（如身份证号、银行账户、健康数据等），自动标注需特别处理的数据类型，敏感信息识别精确率≥90%，召回率≥98%。识别与标注响应时间＜1秒，为后续回复建议提供准确的法规依据。</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3.</w:t>
      </w:r>
      <w:r>
        <w:rPr>
          <w:rFonts w:hint="eastAsia" w:ascii="仿宋_GB2312" w:hAnsi="仿宋_GB2312" w:eastAsia="仿宋_GB2312" w:cs="仿宋_GB2312"/>
          <w:sz w:val="32"/>
          <w:szCs w:val="32"/>
        </w:rPr>
        <w:t>合规回复建议生成</w:t>
      </w:r>
      <w:r>
        <w:rPr>
          <w:rFonts w:hint="default" w:ascii="仿宋_GB2312" w:hAnsi="仿宋_GB2312" w:eastAsia="仿宋_GB2312" w:cs="仿宋_GB2312"/>
          <w:sz w:val="32"/>
          <w:szCs w:val="32"/>
          <w:lang w:val="en-US"/>
        </w:rPr>
        <w:t>:</w:t>
      </w:r>
      <w:r>
        <w:rPr>
          <w:rFonts w:hint="eastAsia" w:ascii="仿宋_GB2312" w:hAnsi="仿宋_GB2312" w:eastAsia="仿宋_GB2312" w:cs="仿宋_GB2312"/>
          <w:sz w:val="32"/>
          <w:szCs w:val="32"/>
        </w:rPr>
        <w:t>根据用户所在国家/地区及具体反馈内容，大模型可自动生成符合当地隐私法规的回复草稿，一次生成即可直接采纳或仅需微小修改的合规率≥80%。建议内容应包含：数据收集与处理的法律依据、用户权利告知（如访问、更正、删除权）等。同时，对于明显违反当地法律要求的用户请求（例如：要求删除非个人数据），能够准确识别并给出拒绝或调整建议，违规请求识别准确率≥95%。回复建议生成时间＜3秒，并支持多语种回复生成。人工可一键采纳，或修改后发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4.</w:t>
      </w:r>
      <w:r>
        <w:rPr>
          <w:rFonts w:hint="eastAsia" w:ascii="仿宋_GB2312" w:hAnsi="仿宋_GB2312" w:eastAsia="仿宋_GB2312" w:cs="仿宋_GB2312"/>
          <w:sz w:val="32"/>
          <w:szCs w:val="32"/>
        </w:rPr>
        <w:t>支持“一键翻译+回复”工作流</w:t>
      </w:r>
      <w:r>
        <w:rPr>
          <w:rFonts w:hint="default" w:ascii="仿宋_GB2312" w:hAnsi="仿宋_GB2312" w:eastAsia="仿宋_GB2312" w:cs="仿宋_GB2312"/>
          <w:sz w:val="32"/>
          <w:szCs w:val="32"/>
          <w:lang w:val="en-US"/>
        </w:rPr>
        <w:t>:</w:t>
      </w:r>
      <w:r>
        <w:rPr>
          <w:rFonts w:hint="eastAsia" w:ascii="仿宋_GB2312" w:hAnsi="仿宋_GB2312" w:eastAsia="仿宋_GB2312" w:cs="仿宋_GB2312"/>
          <w:sz w:val="32"/>
          <w:szCs w:val="32"/>
        </w:rPr>
        <w:t>在DSR平台后台集成智能翻译与回复建议能力。当查看用户原始反馈时，系统自动展示翻译后的内容，并同步呈现合规回复建议，呈现时延＜3秒。处理人员可对建议内容进行灵活调整（如删除、修改），并通过一键采纳完成发送，预计整体单件处理效率提升50%以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5.</w:t>
      </w:r>
      <w:r>
        <w:rPr>
          <w:rFonts w:hint="eastAsia" w:ascii="仿宋_GB2312" w:hAnsi="仿宋_GB2312" w:eastAsia="仿宋_GB2312" w:cs="仿宋_GB2312"/>
          <w:sz w:val="32"/>
          <w:szCs w:val="32"/>
        </w:rPr>
        <w:t>模型自学习与法律法规更新</w:t>
      </w:r>
      <w:r>
        <w:rPr>
          <w:rFonts w:hint="default" w:ascii="仿宋_GB2312" w:hAnsi="仿宋_GB2312" w:eastAsia="仿宋_GB2312" w:cs="仿宋_GB2312"/>
          <w:sz w:val="32"/>
          <w:szCs w:val="32"/>
          <w:lang w:val="en-US"/>
        </w:rPr>
        <w:t>:</w:t>
      </w:r>
      <w:r>
        <w:rPr>
          <w:rFonts w:hint="eastAsia" w:ascii="仿宋_GB2312" w:hAnsi="仿宋_GB2312" w:eastAsia="仿宋_GB2312" w:cs="仿宋_GB2312"/>
          <w:sz w:val="32"/>
          <w:szCs w:val="32"/>
        </w:rPr>
        <w:t>大模型定期从公开法律数据库中抓取各国最新的隐私法律法规信息，新法规或重大修订纳入知识库的延迟不超过5个工作日，经管理员确认后纳</w:t>
      </w:r>
      <w:bookmarkStart w:id="21" w:name="_GoBack"/>
      <w:bookmarkEnd w:id="21"/>
      <w:r>
        <w:rPr>
          <w:rFonts w:hint="eastAsia" w:ascii="仿宋_GB2312" w:hAnsi="仿宋_GB2312" w:eastAsia="仿宋_GB2312" w:cs="仿宋_GB2312"/>
          <w:sz w:val="32"/>
          <w:szCs w:val="32"/>
        </w:rPr>
        <w:t>入模型知识库。同时，基于对建议回复的采纳、修改行为及人工审核反馈持续优化回复生成的准确性与实用性，每季度至少进行一次模型微调，目标使回复建议直接采纳率年度提升≥10%，并持续优化回复生成的准确性与实用性。</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val="0"/>
          <w:bCs/>
          <w:sz w:val="32"/>
          <w:szCs w:val="32"/>
        </w:rPr>
      </w:pPr>
    </w:p>
    <w:sectPr>
      <w:headerReference r:id="rId6" w:type="default"/>
      <w:footerReference r:id="rId7" w:type="default"/>
      <w:pgSz w:w="11905" w:h="16840"/>
      <w:pgMar w:top="1440" w:right="1485" w:bottom="1440" w:left="1800" w:header="720" w:footer="720" w:gutter="0"/>
      <w:pgNumType w:fmt="decimal"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MathJax_Vector">
    <w:panose1 w:val="02000603000000000000"/>
    <w:charset w:val="00"/>
    <w:family w:val="auto"/>
    <w:pitch w:val="default"/>
    <w:sig w:usb0="00000001" w:usb1="00000020" w:usb2="00000000" w:usb3="00000000" w:csb0="00000001" w:csb1="00000000"/>
  </w:font>
  <w:font w:name="Arial">
    <w:altName w:val="DejaVu Sans"/>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EgdhMXKAQAAnAMAAA4AAAAA&#10;AAAAAQAgAAAANAEAAGRycy9lMm9Eb2MueG1sUEsFBgAAAAAGAAYAWQEAAHAFA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hdrShapeDefaults>
    <o:shapelayout v:ext="edit">
      <o:idmap v:ext="edit" data="3,4"/>
    </o:shapelayout>
  </w:hdrShapeDefault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4D1311"/>
    <w:rsid w:val="07B4317A"/>
    <w:rsid w:val="122542D7"/>
    <w:rsid w:val="266F25FA"/>
    <w:rsid w:val="2DFF07B7"/>
    <w:rsid w:val="3267A465"/>
    <w:rsid w:val="3A0421F3"/>
    <w:rsid w:val="4BDFAD15"/>
    <w:rsid w:val="4BEF0412"/>
    <w:rsid w:val="4DC5C6DD"/>
    <w:rsid w:val="51FFED7B"/>
    <w:rsid w:val="6B1154CD"/>
    <w:rsid w:val="6BB3785F"/>
    <w:rsid w:val="76CFCB4A"/>
    <w:rsid w:val="79FBED79"/>
    <w:rsid w:val="7B5FD6BB"/>
    <w:rsid w:val="7FCF483C"/>
    <w:rsid w:val="7FFB0281"/>
    <w:rsid w:val="9BFF4E17"/>
    <w:rsid w:val="A6F7C8ED"/>
    <w:rsid w:val="AD42FFEB"/>
    <w:rsid w:val="CB6B2AB7"/>
    <w:rsid w:val="CCF6D413"/>
    <w:rsid w:val="CDFFB25E"/>
    <w:rsid w:val="DD99E39A"/>
    <w:rsid w:val="EE675C0C"/>
    <w:rsid w:val="F7D5494F"/>
    <w:rsid w:val="FFA0AE6F"/>
    <w:rsid w:val="FFFDE4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paragraph" w:styleId="2">
    <w:name w:val="heading 1"/>
    <w:basedOn w:val="1"/>
    <w:next w:val="1"/>
    <w:qFormat/>
    <w:uiPriority w:val="0"/>
    <w:pPr>
      <w:spacing w:before="0" w:beforeAutospacing="1" w:after="0" w:afterAutospacing="1"/>
      <w:jc w:val="center"/>
      <w:outlineLvl w:val="0"/>
    </w:pPr>
    <w:rPr>
      <w:rFonts w:hint="eastAsia" w:ascii="宋体" w:hAnsi="宋体" w:eastAsia="方正小标宋简体" w:cs="宋体"/>
      <w:bCs/>
      <w:kern w:val="44"/>
      <w:sz w:val="44"/>
      <w:szCs w:val="48"/>
      <w:lang w:val="en-US" w:eastAsia="zh-CN" w:bidi="ar"/>
    </w:rPr>
  </w:style>
  <w:style w:type="paragraph" w:styleId="3">
    <w:name w:val="heading 2"/>
    <w:basedOn w:val="1"/>
    <w:next w:val="1"/>
    <w:unhideWhenUsed/>
    <w:qFormat/>
    <w:uiPriority w:val="0"/>
    <w:pPr>
      <w:spacing w:beforeAutospacing="1" w:afterAutospacing="1"/>
      <w:jc w:val="left"/>
      <w:outlineLvl w:val="1"/>
    </w:pPr>
    <w:rPr>
      <w:rFonts w:hint="eastAsia" w:ascii="宋体" w:hAnsi="宋体"/>
      <w:b/>
      <w:bCs/>
      <w:sz w:val="36"/>
      <w:szCs w:val="36"/>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spacing w:line="360" w:lineRule="auto"/>
      <w:ind w:firstLine="0" w:firstLineChars="0"/>
      <w:jc w:val="left"/>
    </w:pPr>
    <w:rPr>
      <w:rFonts w:eastAsia="黑体"/>
      <w:sz w:val="28"/>
    </w:rPr>
  </w:style>
  <w:style w:type="paragraph" w:styleId="5">
    <w:name w:val="footer"/>
    <w:basedOn w:val="1"/>
    <w:unhideWhenUsed/>
    <w:qFormat/>
    <w:uiPriority w:val="99"/>
    <w:pPr>
      <w:tabs>
        <w:tab w:val="center" w:pos="4680"/>
        <w:tab w:val="right" w:pos="9360"/>
      </w:tabs>
      <w:spacing w:after="0" w:line="240" w:lineRule="auto"/>
    </w:p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styleId="8">
    <w:name w:val="index 9"/>
    <w:basedOn w:val="1"/>
    <w:next w:val="1"/>
    <w:qFormat/>
    <w:uiPriority w:val="0"/>
    <w:pPr>
      <w:ind w:left="1600" w:leftChars="1600"/>
    </w:p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semiHidden/>
    <w:qFormat/>
    <w:uiPriority w:val="0"/>
  </w:style>
  <w:style w:type="paragraph" w:styleId="15">
    <w:name w:val="List Paragraph"/>
    <w:basedOn w:val="1"/>
    <w:qFormat/>
    <w:uiPriority w:val="0"/>
    <w:rPr>
      <w:rFonts w:ascii="宋体" w:hAnsi="宋体" w:eastAsia="宋体" w:cs="宋体"/>
      <w:sz w:val="24"/>
      <w:szCs w:val="24"/>
      <w:lang w:val="en-US" w:eastAsia="zh-CN" w:bidi="ar-SA"/>
    </w:rPr>
  </w:style>
  <w:style w:type="character" w:customStyle="1" w:styleId="16">
    <w:name w:val="ql-author-332174"/>
    <w:basedOn w:val="12"/>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59</Pages>
  <Words>1030</Words>
  <Characters>1071</Characters>
  <TotalTime>4</TotalTime>
  <ScaleCrop>false</ScaleCrop>
  <LinksUpToDate>false</LinksUpToDate>
  <CharactersWithSpaces>1104</CharactersWithSpaces>
  <Application>WPS Office_11.8.2.1131_F1E327BC-269C-435d-A152-05C5408002CA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2026-03-29T11:26:00Z</dcterms:created>
  <dc:creator>Apache POI</dc:creator>
  <cp:lastModifiedBy>向雨秋</cp:lastModifiedBy>
  <dcterms:modified xsi:type="dcterms:W3CDTF">2026-07-02T18:02:40Z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eyJoZGlkIjoiNGRlMTRjMTIyNDM2NzZhYTRhMzNkZTVjOGQzMzc0MTgiLCJ1c2VySWQiOiIxNzY2MjY4NTQ3In0=</vt:lpwstr>
  </property>
  <property fmtid="{D5CDD505-2E9C-101B-9397-08002B2CF9AE}" pid="3" name="KSOProductBuildVer">
    <vt:lpwstr>2052-11.8.2.1131</vt:lpwstr>
  </property>
  <property fmtid="{D5CDD505-2E9C-101B-9397-08002B2CF9AE}" pid="4" name="ICV">
    <vt:lpwstr>43BD187302C8ADC54037466AB3FD031E</vt:lpwstr>
  </property>
  <property fmtid="{D5CDD505-2E9C-101B-9397-08002B2CF9AE}" pid="5" name="workspaceId">
    <vt:lpwstr>2c6d9dc0</vt:lpwstr>
  </property>
  <property fmtid="{D5CDD505-2E9C-101B-9397-08002B2CF9AE}" pid="6" name="panelId">
    <vt:i4>21</vt:i4>
  </property>
</Properties>
</file>